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rFonts w:hint="eastAsia" w:asciiTheme="majorEastAsia" w:hAnsiTheme="majorEastAsia" w:eastAsiaTheme="majorEastAsia" w:cstheme="majorEastAsia"/>
          <w:b/>
          <w:sz w:val="30"/>
          <w:szCs w:val="30"/>
        </w:rPr>
      </w:pPr>
    </w:p>
    <w:p>
      <w:pPr>
        <w:snapToGrid w:val="0"/>
        <w:spacing w:after="98" w:afterLines="30"/>
        <w:ind w:firstLine="301" w:firstLineChars="100"/>
        <w:rPr>
          <w:rFonts w:hint="eastAsia" w:asciiTheme="majorEastAsia" w:hAnsiTheme="majorEastAsia" w:eastAsiaTheme="majorEastAsia" w:cstheme="majorEastAsia"/>
          <w:b/>
          <w:color w:val="000000"/>
          <w:sz w:val="30"/>
          <w:szCs w:val="30"/>
          <w:u w:val="single"/>
        </w:rPr>
      </w:pPr>
      <w:r>
        <w:rPr>
          <w:rFonts w:hint="eastAsia" w:asciiTheme="majorEastAsia" w:hAnsiTheme="majorEastAsia" w:eastAsiaTheme="majorEastAsia" w:cstheme="majorEastAsia"/>
          <w:b/>
          <w:color w:val="000000"/>
          <w:sz w:val="30"/>
          <w:szCs w:val="30"/>
        </w:rPr>
        <w:t>受审核方：</w:t>
      </w:r>
      <w:r>
        <w:rPr>
          <w:rFonts w:hint="eastAsia" w:asciiTheme="majorEastAsia" w:hAnsiTheme="majorEastAsia" w:eastAsiaTheme="majorEastAsia" w:cstheme="majorEastAsia"/>
          <w:b/>
          <w:color w:val="auto"/>
          <w:sz w:val="30"/>
          <w:szCs w:val="30"/>
        </w:rPr>
        <w:t>四川锦华泰建设工程有限公司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0" w:name="E勾选"/>
      <w:r>
        <w:rPr>
          <w:rFonts w:hint="eastAsia" w:ascii="楷体" w:hAnsi="楷体" w:eastAsia="楷体"/>
          <w:b/>
          <w:color w:val="000000"/>
          <w:sz w:val="32"/>
          <w:szCs w:val="32"/>
        </w:rPr>
        <w:t>■</w:t>
      </w:r>
      <w:bookmarkEnd w:id="0"/>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1" w:name="S勾选"/>
      <w:r>
        <w:rPr>
          <w:rFonts w:hint="eastAsia" w:ascii="楷体" w:hAnsi="楷体" w:eastAsia="楷体"/>
          <w:b/>
          <w:color w:val="000000"/>
          <w:sz w:val="32"/>
          <w:szCs w:val="32"/>
        </w:rPr>
        <w:t>■</w:t>
      </w:r>
      <w:bookmarkEnd w:id="1"/>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8"/>
          <w:rFonts w:ascii="楷体" w:hAnsi="楷体" w:eastAsia="楷体"/>
          <w:b/>
          <w:sz w:val="36"/>
          <w:szCs w:val="36"/>
        </w:rPr>
        <w:t>www.</w:t>
      </w:r>
      <w:r>
        <w:rPr>
          <w:rStyle w:val="8"/>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936"/>
        <w:gridCol w:w="1283"/>
        <w:gridCol w:w="2316"/>
        <w:gridCol w:w="993"/>
        <w:gridCol w:w="850"/>
        <w:gridCol w:w="258"/>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tcPr>
          <w:p>
            <w:pPr>
              <w:rPr>
                <w:b/>
                <w:sz w:val="21"/>
                <w:szCs w:val="21"/>
              </w:rPr>
            </w:pPr>
            <w:r>
              <w:rPr>
                <w:rFonts w:hint="eastAsia"/>
                <w:b/>
                <w:sz w:val="21"/>
                <w:szCs w:val="21"/>
              </w:rPr>
              <w:t>邮编</w:t>
            </w:r>
          </w:p>
        </w:tc>
        <w:tc>
          <w:tcPr>
            <w:tcW w:w="1614" w:type="dxa"/>
            <w:gridSpan w:val="2"/>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936" w:type="dxa"/>
            <w:vAlign w:val="center"/>
          </w:tcPr>
          <w:p>
            <w:pPr>
              <w:jc w:val="center"/>
              <w:rPr>
                <w:b/>
                <w:sz w:val="21"/>
                <w:szCs w:val="21"/>
              </w:rPr>
            </w:pPr>
            <w:r>
              <w:rPr>
                <w:rFonts w:hint="eastAsia"/>
                <w:b/>
                <w:sz w:val="21"/>
                <w:szCs w:val="21"/>
              </w:rPr>
              <w:t>职务</w:t>
            </w:r>
          </w:p>
        </w:tc>
        <w:tc>
          <w:tcPr>
            <w:tcW w:w="1283" w:type="dxa"/>
            <w:vAlign w:val="center"/>
          </w:tcPr>
          <w:p>
            <w:pPr>
              <w:jc w:val="center"/>
              <w:rPr>
                <w:b/>
                <w:sz w:val="21"/>
                <w:szCs w:val="21"/>
              </w:rPr>
            </w:pPr>
            <w:r>
              <w:rPr>
                <w:rFonts w:hint="eastAsia"/>
                <w:b/>
                <w:sz w:val="21"/>
                <w:szCs w:val="21"/>
              </w:rPr>
              <w:t>注册级别</w:t>
            </w:r>
          </w:p>
        </w:tc>
        <w:tc>
          <w:tcPr>
            <w:tcW w:w="2316" w:type="dxa"/>
            <w:vAlign w:val="center"/>
          </w:tcPr>
          <w:p>
            <w:pPr>
              <w:jc w:val="center"/>
              <w:rPr>
                <w:b/>
                <w:sz w:val="21"/>
                <w:szCs w:val="21"/>
              </w:rPr>
            </w:pPr>
            <w:r>
              <w:rPr>
                <w:rFonts w:hint="eastAsia"/>
                <w:b/>
                <w:sz w:val="21"/>
                <w:szCs w:val="21"/>
              </w:rPr>
              <w:t>审核员注册号</w:t>
            </w:r>
          </w:p>
        </w:tc>
        <w:tc>
          <w:tcPr>
            <w:tcW w:w="2101" w:type="dxa"/>
            <w:gridSpan w:val="3"/>
            <w:vAlign w:val="center"/>
          </w:tcPr>
          <w:p>
            <w:pPr>
              <w:jc w:val="center"/>
              <w:rPr>
                <w:b/>
                <w:sz w:val="21"/>
                <w:szCs w:val="21"/>
              </w:rPr>
            </w:pPr>
            <w:r>
              <w:rPr>
                <w:rFonts w:hint="eastAsia"/>
                <w:b/>
                <w:sz w:val="21"/>
                <w:szCs w:val="21"/>
              </w:rPr>
              <w:t>专业代码</w:t>
            </w:r>
          </w:p>
        </w:tc>
        <w:tc>
          <w:tcPr>
            <w:tcW w:w="1356" w:type="dxa"/>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李凤仪</w:t>
            </w:r>
          </w:p>
        </w:tc>
        <w:tc>
          <w:tcPr>
            <w:tcW w:w="824" w:type="dxa"/>
            <w:gridSpan w:val="2"/>
            <w:vAlign w:val="center"/>
          </w:tcPr>
          <w:p>
            <w:pPr>
              <w:jc w:val="center"/>
              <w:rPr>
                <w:b/>
                <w:sz w:val="21"/>
                <w:szCs w:val="21"/>
              </w:rPr>
            </w:pPr>
            <w:r>
              <w:rPr>
                <w:b/>
                <w:sz w:val="21"/>
                <w:szCs w:val="21"/>
              </w:rPr>
              <w:t>男</w:t>
            </w:r>
          </w:p>
        </w:tc>
        <w:tc>
          <w:tcPr>
            <w:tcW w:w="936" w:type="dxa"/>
            <w:vAlign w:val="center"/>
          </w:tcPr>
          <w:p>
            <w:pPr>
              <w:jc w:val="center"/>
              <w:rPr>
                <w:b/>
                <w:sz w:val="21"/>
                <w:szCs w:val="21"/>
              </w:rPr>
            </w:pPr>
            <w:r>
              <w:rPr>
                <w:b/>
                <w:sz w:val="21"/>
                <w:szCs w:val="21"/>
              </w:rPr>
              <w:t>组长</w:t>
            </w:r>
          </w:p>
        </w:tc>
        <w:tc>
          <w:tcPr>
            <w:tcW w:w="1283" w:type="dxa"/>
            <w:vAlign w:val="center"/>
          </w:tcPr>
          <w:p>
            <w:pPr>
              <w:jc w:val="center"/>
              <w:rPr>
                <w:b/>
                <w:sz w:val="21"/>
                <w:szCs w:val="21"/>
              </w:rPr>
            </w:pPr>
            <w:r>
              <w:rPr>
                <w:b/>
                <w:sz w:val="21"/>
                <w:szCs w:val="21"/>
              </w:rPr>
              <w:t>EC:审核员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2316" w:type="dxa"/>
            <w:vAlign w:val="center"/>
          </w:tcPr>
          <w:p>
            <w:pPr>
              <w:jc w:val="center"/>
              <w:rPr>
                <w:b/>
                <w:sz w:val="21"/>
                <w:szCs w:val="21"/>
              </w:rPr>
            </w:pPr>
            <w:r>
              <w:rPr>
                <w:b/>
                <w:sz w:val="21"/>
                <w:szCs w:val="21"/>
              </w:rPr>
              <w:t>2019-N1QMS-3031946</w:t>
            </w:r>
          </w:p>
          <w:p>
            <w:pPr>
              <w:jc w:val="center"/>
              <w:rPr>
                <w:b/>
                <w:sz w:val="21"/>
                <w:szCs w:val="21"/>
              </w:rPr>
            </w:pPr>
            <w:r>
              <w:rPr>
                <w:b/>
                <w:sz w:val="21"/>
                <w:szCs w:val="21"/>
              </w:rPr>
              <w:t>2018-N1EMS-2031946</w:t>
            </w:r>
          </w:p>
          <w:p>
            <w:pPr>
              <w:jc w:val="center"/>
              <w:rPr>
                <w:b/>
                <w:sz w:val="21"/>
                <w:szCs w:val="21"/>
              </w:rPr>
            </w:pPr>
            <w:r>
              <w:rPr>
                <w:b/>
                <w:sz w:val="21"/>
                <w:szCs w:val="21"/>
              </w:rPr>
              <w:t>2019-N1OHSMS-2031946</w:t>
            </w:r>
          </w:p>
        </w:tc>
        <w:tc>
          <w:tcPr>
            <w:tcW w:w="2101" w:type="dxa"/>
            <w:gridSpan w:val="3"/>
            <w:vAlign w:val="center"/>
          </w:tcPr>
          <w:p>
            <w:pPr>
              <w:jc w:val="center"/>
              <w:rPr>
                <w:b/>
                <w:sz w:val="21"/>
                <w:szCs w:val="21"/>
              </w:rPr>
            </w:pPr>
            <w:r>
              <w:rPr>
                <w:b/>
                <w:sz w:val="21"/>
                <w:szCs w:val="21"/>
              </w:rPr>
              <w:t>EC:28.02.00,28.03.01,28.07.01</w:t>
            </w:r>
          </w:p>
          <w:p>
            <w:pPr>
              <w:jc w:val="center"/>
              <w:rPr>
                <w:b/>
                <w:sz w:val="21"/>
                <w:szCs w:val="21"/>
              </w:rPr>
            </w:pPr>
            <w:r>
              <w:rPr>
                <w:b/>
                <w:sz w:val="21"/>
                <w:szCs w:val="21"/>
              </w:rPr>
              <w:t>E:28.02.00,28.03.01,28.07.01</w:t>
            </w:r>
          </w:p>
          <w:p>
            <w:pPr>
              <w:jc w:val="center"/>
              <w:rPr>
                <w:b/>
                <w:sz w:val="21"/>
                <w:szCs w:val="21"/>
              </w:rPr>
            </w:pPr>
            <w:r>
              <w:rPr>
                <w:b/>
                <w:sz w:val="21"/>
                <w:szCs w:val="21"/>
              </w:rPr>
              <w:t>O:28.02.00,28.03.01,28.07.01</w:t>
            </w:r>
          </w:p>
        </w:tc>
        <w:tc>
          <w:tcPr>
            <w:tcW w:w="1356" w:type="dxa"/>
            <w:vAlign w:val="center"/>
          </w:tcPr>
          <w:p>
            <w:pPr>
              <w:jc w:val="center"/>
              <w:rPr>
                <w:b/>
                <w:sz w:val="21"/>
                <w:szCs w:val="21"/>
              </w:rPr>
            </w:pPr>
            <w:r>
              <w:rPr>
                <w:b/>
                <w:sz w:val="21"/>
                <w:szCs w:val="21"/>
              </w:rPr>
              <w:t>ISC-31946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李林</w:t>
            </w:r>
          </w:p>
        </w:tc>
        <w:tc>
          <w:tcPr>
            <w:tcW w:w="824" w:type="dxa"/>
            <w:gridSpan w:val="2"/>
            <w:vAlign w:val="center"/>
          </w:tcPr>
          <w:p>
            <w:pPr>
              <w:jc w:val="center"/>
              <w:rPr>
                <w:b/>
                <w:sz w:val="21"/>
                <w:szCs w:val="21"/>
              </w:rPr>
            </w:pPr>
            <w:r>
              <w:rPr>
                <w:b/>
                <w:sz w:val="21"/>
                <w:szCs w:val="21"/>
              </w:rPr>
              <w:t>男</w:t>
            </w:r>
          </w:p>
        </w:tc>
        <w:tc>
          <w:tcPr>
            <w:tcW w:w="936" w:type="dxa"/>
            <w:vAlign w:val="center"/>
          </w:tcPr>
          <w:p>
            <w:pPr>
              <w:jc w:val="center"/>
              <w:rPr>
                <w:b/>
                <w:sz w:val="21"/>
                <w:szCs w:val="21"/>
              </w:rPr>
            </w:pPr>
            <w:r>
              <w:rPr>
                <w:b/>
                <w:sz w:val="21"/>
                <w:szCs w:val="21"/>
              </w:rPr>
              <w:t>组员</w:t>
            </w:r>
          </w:p>
        </w:tc>
        <w:tc>
          <w:tcPr>
            <w:tcW w:w="1283" w:type="dxa"/>
            <w:vAlign w:val="center"/>
          </w:tcPr>
          <w:p>
            <w:pPr>
              <w:jc w:val="both"/>
              <w:rPr>
                <w:b/>
                <w:sz w:val="21"/>
                <w:szCs w:val="21"/>
              </w:rPr>
            </w:pPr>
          </w:p>
          <w:p>
            <w:pPr>
              <w:jc w:val="center"/>
              <w:rPr>
                <w:b/>
                <w:sz w:val="21"/>
                <w:szCs w:val="21"/>
              </w:rPr>
            </w:pPr>
            <w:r>
              <w:rPr>
                <w:b/>
                <w:sz w:val="21"/>
                <w:szCs w:val="21"/>
              </w:rPr>
              <w:t>E:审核员</w:t>
            </w:r>
          </w:p>
        </w:tc>
        <w:tc>
          <w:tcPr>
            <w:tcW w:w="2316" w:type="dxa"/>
            <w:vAlign w:val="center"/>
          </w:tcPr>
          <w:p>
            <w:pPr>
              <w:jc w:val="center"/>
              <w:rPr>
                <w:b/>
                <w:sz w:val="21"/>
                <w:szCs w:val="21"/>
              </w:rPr>
            </w:pPr>
            <w:r>
              <w:rPr>
                <w:b/>
                <w:sz w:val="21"/>
                <w:szCs w:val="21"/>
              </w:rPr>
              <w:t>2019-N1QMS-1242345</w:t>
            </w:r>
          </w:p>
          <w:p>
            <w:pPr>
              <w:jc w:val="center"/>
              <w:rPr>
                <w:b/>
                <w:sz w:val="21"/>
                <w:szCs w:val="21"/>
              </w:rPr>
            </w:pPr>
            <w:r>
              <w:rPr>
                <w:b/>
                <w:sz w:val="21"/>
                <w:szCs w:val="21"/>
              </w:rPr>
              <w:t>2019-N1EMS-1242345</w:t>
            </w:r>
          </w:p>
        </w:tc>
        <w:tc>
          <w:tcPr>
            <w:tcW w:w="2101" w:type="dxa"/>
            <w:gridSpan w:val="3"/>
            <w:vAlign w:val="center"/>
          </w:tcPr>
          <w:p>
            <w:pPr>
              <w:jc w:val="center"/>
              <w:rPr>
                <w:b/>
                <w:sz w:val="21"/>
                <w:szCs w:val="21"/>
              </w:rPr>
            </w:pPr>
          </w:p>
        </w:tc>
        <w:tc>
          <w:tcPr>
            <w:tcW w:w="1356" w:type="dxa"/>
            <w:vAlign w:val="center"/>
          </w:tcPr>
          <w:p>
            <w:pPr>
              <w:jc w:val="center"/>
              <w:rPr>
                <w:b/>
                <w:sz w:val="21"/>
                <w:szCs w:val="21"/>
              </w:rPr>
            </w:pPr>
            <w:r>
              <w:rPr>
                <w:b/>
                <w:sz w:val="21"/>
                <w:szCs w:val="21"/>
              </w:rPr>
              <w:t>ISC-242345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936" w:type="dxa"/>
          </w:tcPr>
          <w:p>
            <w:pPr>
              <w:rPr>
                <w:b/>
                <w:sz w:val="21"/>
                <w:szCs w:val="21"/>
              </w:rPr>
            </w:pPr>
          </w:p>
        </w:tc>
        <w:tc>
          <w:tcPr>
            <w:tcW w:w="1283" w:type="dxa"/>
          </w:tcPr>
          <w:p>
            <w:pPr>
              <w:rPr>
                <w:b/>
                <w:sz w:val="21"/>
                <w:szCs w:val="21"/>
              </w:rPr>
            </w:pPr>
          </w:p>
        </w:tc>
        <w:tc>
          <w:tcPr>
            <w:tcW w:w="2316" w:type="dxa"/>
          </w:tcPr>
          <w:p>
            <w:pPr>
              <w:rPr>
                <w:b/>
                <w:sz w:val="21"/>
                <w:szCs w:val="21"/>
              </w:rPr>
            </w:pPr>
          </w:p>
        </w:tc>
        <w:tc>
          <w:tcPr>
            <w:tcW w:w="2101" w:type="dxa"/>
            <w:gridSpan w:val="3"/>
          </w:tcPr>
          <w:p>
            <w:pPr>
              <w:rPr>
                <w:b/>
                <w:sz w:val="21"/>
                <w:szCs w:val="21"/>
              </w:rPr>
            </w:pPr>
          </w:p>
        </w:tc>
        <w:tc>
          <w:tcPr>
            <w:tcW w:w="1356"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936" w:type="dxa"/>
          </w:tcPr>
          <w:p>
            <w:pPr>
              <w:rPr>
                <w:b/>
                <w:sz w:val="21"/>
                <w:szCs w:val="21"/>
              </w:rPr>
            </w:pPr>
          </w:p>
        </w:tc>
        <w:tc>
          <w:tcPr>
            <w:tcW w:w="1283" w:type="dxa"/>
          </w:tcPr>
          <w:p>
            <w:pPr>
              <w:rPr>
                <w:b/>
                <w:sz w:val="21"/>
                <w:szCs w:val="21"/>
              </w:rPr>
            </w:pPr>
          </w:p>
        </w:tc>
        <w:tc>
          <w:tcPr>
            <w:tcW w:w="2316" w:type="dxa"/>
          </w:tcPr>
          <w:p>
            <w:pPr>
              <w:rPr>
                <w:b/>
                <w:sz w:val="21"/>
                <w:szCs w:val="21"/>
              </w:rPr>
            </w:pPr>
          </w:p>
        </w:tc>
        <w:tc>
          <w:tcPr>
            <w:tcW w:w="2101" w:type="dxa"/>
            <w:gridSpan w:val="3"/>
          </w:tcPr>
          <w:p>
            <w:pPr>
              <w:rPr>
                <w:b/>
                <w:sz w:val="21"/>
                <w:szCs w:val="21"/>
              </w:rPr>
            </w:pPr>
          </w:p>
        </w:tc>
        <w:tc>
          <w:tcPr>
            <w:tcW w:w="1356"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936" w:type="dxa"/>
          </w:tcPr>
          <w:p>
            <w:pPr>
              <w:rPr>
                <w:b/>
                <w:sz w:val="21"/>
                <w:szCs w:val="21"/>
              </w:rPr>
            </w:pPr>
          </w:p>
        </w:tc>
        <w:tc>
          <w:tcPr>
            <w:tcW w:w="1283" w:type="dxa"/>
          </w:tcPr>
          <w:p>
            <w:pPr>
              <w:rPr>
                <w:b/>
                <w:sz w:val="21"/>
                <w:szCs w:val="21"/>
              </w:rPr>
            </w:pPr>
          </w:p>
        </w:tc>
        <w:tc>
          <w:tcPr>
            <w:tcW w:w="2316" w:type="dxa"/>
          </w:tcPr>
          <w:p>
            <w:pPr>
              <w:rPr>
                <w:b/>
                <w:sz w:val="21"/>
                <w:szCs w:val="21"/>
              </w:rPr>
            </w:pPr>
          </w:p>
        </w:tc>
        <w:tc>
          <w:tcPr>
            <w:tcW w:w="2101" w:type="dxa"/>
            <w:gridSpan w:val="3"/>
          </w:tcPr>
          <w:p>
            <w:pPr>
              <w:rPr>
                <w:b/>
                <w:sz w:val="21"/>
                <w:szCs w:val="21"/>
              </w:rPr>
            </w:pPr>
          </w:p>
        </w:tc>
        <w:tc>
          <w:tcPr>
            <w:tcW w:w="1356"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936" w:type="dxa"/>
            <w:vAlign w:val="center"/>
          </w:tcPr>
          <w:p>
            <w:pPr>
              <w:jc w:val="center"/>
              <w:rPr>
                <w:b/>
                <w:sz w:val="21"/>
                <w:szCs w:val="21"/>
              </w:rPr>
            </w:pPr>
            <w:r>
              <w:rPr>
                <w:rFonts w:hint="eastAsia"/>
                <w:b/>
                <w:sz w:val="21"/>
                <w:szCs w:val="21"/>
              </w:rPr>
              <w:t>角色</w:t>
            </w:r>
          </w:p>
        </w:tc>
        <w:tc>
          <w:tcPr>
            <w:tcW w:w="7056"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936" w:type="dxa"/>
            <w:vAlign w:val="center"/>
          </w:tcPr>
          <w:p>
            <w:pPr>
              <w:jc w:val="center"/>
              <w:rPr>
                <w:b/>
                <w:sz w:val="21"/>
                <w:szCs w:val="21"/>
              </w:rPr>
            </w:pPr>
          </w:p>
        </w:tc>
        <w:tc>
          <w:tcPr>
            <w:tcW w:w="7056"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936" w:type="dxa"/>
            <w:vAlign w:val="center"/>
          </w:tcPr>
          <w:p>
            <w:pPr>
              <w:jc w:val="center"/>
              <w:rPr>
                <w:b/>
              </w:rPr>
            </w:pPr>
          </w:p>
        </w:tc>
        <w:tc>
          <w:tcPr>
            <w:tcW w:w="7056"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936" w:type="dxa"/>
            <w:vAlign w:val="center"/>
          </w:tcPr>
          <w:p>
            <w:pPr>
              <w:jc w:val="center"/>
              <w:rPr>
                <w:b/>
              </w:rPr>
            </w:pPr>
          </w:p>
        </w:tc>
        <w:tc>
          <w:tcPr>
            <w:tcW w:w="7056"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2"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2"/>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r>
        <w:rPr>
          <w:rFonts w:hint="eastAsia"/>
          <w:b/>
          <w:sz w:val="21"/>
          <w:szCs w:val="21"/>
        </w:rPr>
        <w:sym w:font="Wingdings 2" w:char="0052"/>
      </w:r>
      <w:r>
        <w:rPr>
          <w:rFonts w:hint="eastAsia"/>
          <w:b/>
          <w:sz w:val="21"/>
          <w:szCs w:val="21"/>
        </w:rPr>
        <w:t xml:space="preserve"> GB/T 19001:2016 idt ISO 9001:2015标准不适用条款: </w:t>
      </w:r>
      <w:r>
        <w:rPr>
          <w:rFonts w:hint="eastAsia"/>
          <w:b/>
          <w:sz w:val="21"/>
          <w:szCs w:val="21"/>
          <w:lang w:val="en-US" w:eastAsia="zh-CN"/>
        </w:rPr>
        <w:t>8.3</w:t>
      </w:r>
    </w:p>
    <w:p>
      <w:pPr>
        <w:tabs>
          <w:tab w:val="left" w:pos="645"/>
        </w:tabs>
        <w:rPr>
          <w:rFonts w:hint="default" w:eastAsia="宋体"/>
          <w:b/>
          <w:sz w:val="21"/>
          <w:szCs w:val="21"/>
          <w:lang w:val="en-US" w:eastAsia="zh-CN"/>
        </w:rPr>
      </w:pPr>
      <w:r>
        <w:rPr>
          <w:rFonts w:hint="eastAsia"/>
          <w:b/>
          <w:sz w:val="21"/>
          <w:szCs w:val="21"/>
        </w:rPr>
        <w:sym w:font="Wingdings 2" w:char="0052"/>
      </w:r>
      <w:r>
        <w:rPr>
          <w:rFonts w:hint="eastAsia"/>
          <w:b/>
          <w:sz w:val="21"/>
          <w:szCs w:val="21"/>
        </w:rPr>
        <w:t xml:space="preserve"> GB/T 50430-2017标准不适用条款: </w:t>
      </w:r>
      <w:r>
        <w:rPr>
          <w:rFonts w:hint="eastAsia"/>
          <w:b/>
          <w:sz w:val="21"/>
          <w:szCs w:val="21"/>
          <w:lang w:val="en-US" w:eastAsia="zh-CN"/>
        </w:rPr>
        <w:t>10.3</w:t>
      </w:r>
    </w:p>
    <w:p>
      <w:pPr>
        <w:tabs>
          <w:tab w:val="left" w:pos="645"/>
        </w:tabs>
        <w:rPr>
          <w:b/>
          <w:sz w:val="21"/>
          <w:szCs w:val="21"/>
        </w:rPr>
      </w:pPr>
      <w:r>
        <w:rPr>
          <w:rFonts w:hint="eastAsia"/>
          <w:b/>
          <w:sz w:val="21"/>
          <w:szCs w:val="21"/>
        </w:rPr>
        <w:sym w:font="Wingdings 2" w:char="0052"/>
      </w:r>
      <w:r>
        <w:rPr>
          <w:rFonts w:hint="eastAsia"/>
          <w:b/>
          <w:sz w:val="21"/>
          <w:szCs w:val="21"/>
        </w:rPr>
        <w:t xml:space="preserve">  GB/T 24001-2016 idt ISO 14001:2015标准</w:t>
      </w:r>
    </w:p>
    <w:p>
      <w:pPr>
        <w:tabs>
          <w:tab w:val="left" w:pos="645"/>
        </w:tabs>
        <w:rPr>
          <w:b/>
          <w:sz w:val="21"/>
          <w:szCs w:val="21"/>
        </w:rPr>
      </w:pPr>
      <w:r>
        <w:rPr>
          <w:rFonts w:hint="eastAsia"/>
          <w:b/>
          <w:sz w:val="21"/>
          <w:szCs w:val="21"/>
        </w:rPr>
        <w:t>□ GB/T 28001-2011 idt OHSMS 18001:2007标准</w:t>
      </w:r>
      <w:bookmarkStart w:id="19" w:name="_GoBack"/>
      <w:bookmarkEnd w:id="19"/>
    </w:p>
    <w:p>
      <w:pPr>
        <w:tabs>
          <w:tab w:val="left" w:pos="645"/>
        </w:tabs>
        <w:rPr>
          <w:b/>
          <w:sz w:val="21"/>
          <w:szCs w:val="21"/>
        </w:rPr>
      </w:pPr>
      <w:r>
        <w:rPr>
          <w:rFonts w:hint="eastAsia"/>
          <w:b/>
          <w:sz w:val="21"/>
          <w:szCs w:val="21"/>
        </w:rPr>
        <w:sym w:font="Wingdings 2" w:char="0052"/>
      </w:r>
      <w:r>
        <w:rPr>
          <w:rFonts w:hint="eastAsia"/>
          <w:b/>
          <w:sz w:val="21"/>
          <w:szCs w:val="21"/>
        </w:rPr>
        <w:t xml:space="preserve">  ISO45001：2018标准</w:t>
      </w:r>
    </w:p>
    <w:p>
      <w:pPr>
        <w:tabs>
          <w:tab w:val="left" w:pos="645"/>
        </w:tabs>
        <w:rPr>
          <w:rFonts w:hint="eastAsia"/>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pPr>
        <w:tabs>
          <w:tab w:val="left" w:pos="645"/>
        </w:tabs>
        <w:rPr>
          <w:rFonts w:hint="eastAsia"/>
          <w:b/>
          <w:sz w:val="21"/>
          <w:szCs w:val="21"/>
        </w:rPr>
      </w:pPr>
    </w:p>
    <w:p>
      <w:pPr>
        <w:tabs>
          <w:tab w:val="left" w:pos="645"/>
        </w:tabs>
        <w:rPr>
          <w:rFonts w:hint="eastAsia"/>
          <w:b/>
          <w:sz w:val="21"/>
          <w:szCs w:val="21"/>
        </w:rPr>
      </w:pP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2141"/>
        <w:gridCol w:w="1066"/>
        <w:gridCol w:w="1200"/>
        <w:gridCol w:w="9"/>
        <w:gridCol w:w="1391"/>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3" w:name="组织名称Add"/>
            <w:r>
              <w:rPr>
                <w:rFonts w:ascii="宋体"/>
                <w:b/>
                <w:color w:val="auto"/>
                <w:sz w:val="21"/>
              </w:rPr>
              <w:t>四川锦华泰建设工程有限公司</w:t>
            </w:r>
            <w:bookmarkEnd w:id="3"/>
          </w:p>
        </w:tc>
        <w:tc>
          <w:tcPr>
            <w:tcW w:w="1391"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781" w:type="dxa"/>
          </w:tcPr>
          <w:p>
            <w:pPr>
              <w:spacing w:line="260" w:lineRule="exact"/>
              <w:rPr>
                <w:rFonts w:hint="default" w:ascii="宋体" w:eastAsia="宋体"/>
                <w:b/>
                <w:sz w:val="21"/>
                <w:lang w:val="en-US" w:eastAsia="zh-CN"/>
              </w:rPr>
            </w:pPr>
            <w:r>
              <w:rPr>
                <w:rFonts w:hint="eastAsia" w:ascii="宋体"/>
                <w:b/>
                <w:sz w:val="21"/>
                <w:lang w:val="en-US" w:eastAsia="zh-CN"/>
              </w:rPr>
              <w:t>148人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4" w:name="注册地址"/>
            <w:r>
              <w:rPr>
                <w:rFonts w:ascii="宋体"/>
                <w:b/>
                <w:sz w:val="21"/>
              </w:rPr>
              <w:t>成都市青羊区青龙街27号1栋2单元7楼306号</w:t>
            </w:r>
            <w:bookmarkEnd w:id="4"/>
          </w:p>
        </w:tc>
        <w:tc>
          <w:tcPr>
            <w:tcW w:w="1391" w:type="dxa"/>
            <w:vMerge w:val="restart"/>
            <w:vAlign w:val="center"/>
          </w:tcPr>
          <w:p>
            <w:pPr>
              <w:jc w:val="center"/>
              <w:rPr>
                <w:rFonts w:ascii="宋体"/>
                <w:b/>
                <w:sz w:val="21"/>
              </w:rPr>
            </w:pPr>
            <w:r>
              <w:rPr>
                <w:rFonts w:hint="eastAsia" w:ascii="宋体" w:hAnsi="宋体"/>
                <w:b/>
                <w:sz w:val="21"/>
              </w:rPr>
              <w:t>邮编</w:t>
            </w:r>
          </w:p>
        </w:tc>
        <w:tc>
          <w:tcPr>
            <w:tcW w:w="1781" w:type="dxa"/>
          </w:tcPr>
          <w:p>
            <w:pPr>
              <w:rPr>
                <w:rFonts w:ascii="宋体"/>
                <w:b/>
                <w:sz w:val="21"/>
              </w:rPr>
            </w:pPr>
            <w:bookmarkStart w:id="5" w:name="注册邮编"/>
            <w:r>
              <w:rPr>
                <w:rFonts w:ascii="宋体"/>
                <w:b/>
                <w:sz w:val="21"/>
              </w:rPr>
              <w:t>610000</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6" w:name="办公地址"/>
            <w:r>
              <w:rPr>
                <w:rFonts w:ascii="宋体"/>
                <w:b/>
                <w:sz w:val="21"/>
              </w:rPr>
              <w:t>成都市成华区崔家店蓝光东方天地7栋624</w:t>
            </w:r>
            <w:bookmarkEnd w:id="6"/>
          </w:p>
        </w:tc>
        <w:tc>
          <w:tcPr>
            <w:tcW w:w="1391" w:type="dxa"/>
            <w:vMerge w:val="continue"/>
            <w:vAlign w:val="center"/>
          </w:tcPr>
          <w:p>
            <w:pPr>
              <w:jc w:val="center"/>
              <w:rPr>
                <w:rFonts w:ascii="宋体"/>
                <w:b/>
                <w:sz w:val="21"/>
              </w:rPr>
            </w:pPr>
          </w:p>
        </w:tc>
        <w:tc>
          <w:tcPr>
            <w:tcW w:w="1781" w:type="dxa"/>
          </w:tcPr>
          <w:p>
            <w:pPr>
              <w:rPr>
                <w:rFonts w:ascii="宋体"/>
                <w:b/>
                <w:sz w:val="21"/>
              </w:rPr>
            </w:pPr>
            <w:bookmarkStart w:id="7" w:name="办公邮编"/>
            <w:r>
              <w:rPr>
                <w:rFonts w:ascii="宋体"/>
                <w:b/>
                <w:sz w:val="21"/>
              </w:rPr>
              <w:t>610000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8" w:name="生产地址Add"/>
            <w:r>
              <w:rPr>
                <w:rFonts w:ascii="宋体"/>
                <w:b/>
                <w:sz w:val="21"/>
              </w:rPr>
              <w:t>成都市成华区崔家店蓝光东方天地7栋624</w:t>
            </w:r>
            <w:bookmarkEnd w:id="8"/>
          </w:p>
        </w:tc>
        <w:tc>
          <w:tcPr>
            <w:tcW w:w="1391" w:type="dxa"/>
            <w:vMerge w:val="continue"/>
            <w:vAlign w:val="center"/>
          </w:tcPr>
          <w:p>
            <w:pPr>
              <w:jc w:val="center"/>
              <w:rPr>
                <w:rFonts w:ascii="宋体"/>
                <w:b/>
                <w:sz w:val="21"/>
              </w:rPr>
            </w:pPr>
          </w:p>
        </w:tc>
        <w:tc>
          <w:tcPr>
            <w:tcW w:w="1781" w:type="dxa"/>
          </w:tcPr>
          <w:p>
            <w:pPr>
              <w:rPr>
                <w:rFonts w:ascii="宋体"/>
                <w:b/>
                <w:sz w:val="21"/>
              </w:rPr>
            </w:pPr>
            <w:bookmarkStart w:id="9" w:name="生产邮编"/>
            <w:r>
              <w:rPr>
                <w:rFonts w:ascii="宋体"/>
                <w:b/>
                <w:sz w:val="21"/>
              </w:rPr>
              <w:t>610000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2141" w:type="dxa"/>
          </w:tcPr>
          <w:p>
            <w:pPr>
              <w:rPr>
                <w:rFonts w:ascii="宋体"/>
                <w:b/>
                <w:sz w:val="21"/>
              </w:rPr>
            </w:pPr>
            <w:bookmarkStart w:id="10" w:name="联系人"/>
            <w:r>
              <w:rPr>
                <w:rFonts w:ascii="宋体"/>
                <w:b/>
                <w:sz w:val="21"/>
              </w:rPr>
              <w:t>陶美廷</w:t>
            </w:r>
            <w:bookmarkEnd w:id="10"/>
          </w:p>
        </w:tc>
        <w:tc>
          <w:tcPr>
            <w:tcW w:w="1066" w:type="dxa"/>
            <w:vAlign w:val="center"/>
          </w:tcPr>
          <w:p>
            <w:pPr>
              <w:jc w:val="center"/>
              <w:rPr>
                <w:rFonts w:ascii="宋体"/>
                <w:b/>
                <w:sz w:val="21"/>
              </w:rPr>
            </w:pPr>
            <w:r>
              <w:rPr>
                <w:rFonts w:hint="eastAsia" w:ascii="宋体" w:hAnsi="宋体"/>
                <w:b/>
                <w:sz w:val="21"/>
              </w:rPr>
              <w:t>电话</w:t>
            </w:r>
            <w:r>
              <w:rPr>
                <w:b/>
                <w:sz w:val="16"/>
                <w:szCs w:val="16"/>
              </w:rPr>
              <w:t>.</w:t>
            </w:r>
          </w:p>
        </w:tc>
        <w:tc>
          <w:tcPr>
            <w:tcW w:w="1209" w:type="dxa"/>
            <w:gridSpan w:val="2"/>
            <w:vAlign w:val="center"/>
          </w:tcPr>
          <w:p>
            <w:pPr>
              <w:jc w:val="center"/>
              <w:rPr>
                <w:rFonts w:ascii="宋体"/>
                <w:b/>
                <w:sz w:val="21"/>
              </w:rPr>
            </w:pPr>
            <w:bookmarkStart w:id="11" w:name="联系人电话Add"/>
            <w:r>
              <w:rPr>
                <w:rFonts w:ascii="宋体"/>
                <w:b/>
                <w:sz w:val="21"/>
              </w:rPr>
              <w:t>18696550880</w:t>
            </w:r>
            <w:bookmarkEnd w:id="11"/>
          </w:p>
        </w:tc>
        <w:tc>
          <w:tcPr>
            <w:tcW w:w="1391" w:type="dxa"/>
            <w:vAlign w:val="center"/>
          </w:tcPr>
          <w:p>
            <w:pPr>
              <w:jc w:val="center"/>
              <w:rPr>
                <w:rFonts w:ascii="宋体"/>
                <w:b/>
                <w:sz w:val="21"/>
              </w:rPr>
            </w:pPr>
            <w:r>
              <w:rPr>
                <w:rFonts w:hint="eastAsia" w:ascii="宋体" w:hAnsi="宋体"/>
                <w:b/>
                <w:sz w:val="21"/>
              </w:rPr>
              <w:t>传真</w:t>
            </w:r>
          </w:p>
        </w:tc>
        <w:tc>
          <w:tcPr>
            <w:tcW w:w="1781" w:type="dxa"/>
          </w:tcPr>
          <w:p>
            <w:pPr>
              <w:rPr>
                <w:rFonts w:ascii="宋体"/>
                <w:b/>
                <w:sz w:val="21"/>
              </w:rPr>
            </w:pPr>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2141" w:type="dxa"/>
            <w:vAlign w:val="center"/>
          </w:tcPr>
          <w:p>
            <w:pPr>
              <w:jc w:val="center"/>
              <w:rPr>
                <w:rFonts w:ascii="宋体" w:hAnsi="宋体"/>
                <w:b/>
                <w:sz w:val="21"/>
                <w:szCs w:val="21"/>
              </w:rPr>
            </w:pPr>
            <w:bookmarkStart w:id="13" w:name="法人"/>
            <w:r>
              <w:rPr>
                <w:rFonts w:ascii="宋体" w:hAnsi="宋体"/>
                <w:b/>
                <w:sz w:val="21"/>
                <w:szCs w:val="21"/>
              </w:rPr>
              <w:t>王亮</w:t>
            </w:r>
            <w:bookmarkEnd w:id="13"/>
          </w:p>
        </w:tc>
        <w:tc>
          <w:tcPr>
            <w:tcW w:w="1066" w:type="dxa"/>
            <w:vAlign w:val="center"/>
          </w:tcPr>
          <w:p>
            <w:pPr>
              <w:jc w:val="center"/>
              <w:rPr>
                <w:rFonts w:ascii="宋体" w:hAnsi="宋体"/>
                <w:b/>
                <w:sz w:val="21"/>
                <w:szCs w:val="21"/>
              </w:rPr>
            </w:pPr>
            <w:r>
              <w:rPr>
                <w:rFonts w:hint="eastAsia" w:ascii="宋体" w:hAnsi="宋体"/>
                <w:b/>
                <w:sz w:val="21"/>
                <w:szCs w:val="21"/>
              </w:rPr>
              <w:t>总经理</w:t>
            </w:r>
          </w:p>
        </w:tc>
        <w:tc>
          <w:tcPr>
            <w:tcW w:w="1209" w:type="dxa"/>
            <w:gridSpan w:val="2"/>
            <w:vAlign w:val="center"/>
          </w:tcPr>
          <w:p>
            <w:pPr>
              <w:jc w:val="center"/>
              <w:rPr>
                <w:rFonts w:ascii="宋体" w:hAnsi="宋体"/>
                <w:b/>
                <w:sz w:val="21"/>
                <w:szCs w:val="21"/>
              </w:rPr>
            </w:pPr>
            <w:r>
              <w:rPr>
                <w:rFonts w:ascii="宋体" w:hAnsi="宋体"/>
                <w:b/>
                <w:color w:val="000000" w:themeColor="text1"/>
                <w:sz w:val="20"/>
                <w:szCs w:val="20"/>
              </w:rPr>
              <w:t>徐明君</w:t>
            </w:r>
          </w:p>
        </w:tc>
        <w:tc>
          <w:tcPr>
            <w:tcW w:w="1391" w:type="dxa"/>
            <w:vAlign w:val="center"/>
          </w:tcPr>
          <w:p>
            <w:pPr>
              <w:jc w:val="center"/>
              <w:rPr>
                <w:rFonts w:ascii="宋体" w:hAnsi="宋体"/>
                <w:b/>
                <w:sz w:val="21"/>
                <w:szCs w:val="21"/>
              </w:rPr>
            </w:pPr>
            <w:r>
              <w:rPr>
                <w:rFonts w:hint="eastAsia" w:ascii="宋体" w:hAnsi="宋体"/>
                <w:b/>
                <w:sz w:val="21"/>
                <w:szCs w:val="21"/>
              </w:rPr>
              <w:t>管理者代表</w:t>
            </w:r>
          </w:p>
        </w:tc>
        <w:tc>
          <w:tcPr>
            <w:tcW w:w="1781" w:type="dxa"/>
            <w:vAlign w:val="center"/>
          </w:tcPr>
          <w:p>
            <w:pPr>
              <w:jc w:val="center"/>
              <w:rPr>
                <w:rFonts w:ascii="宋体"/>
                <w:b/>
                <w:sz w:val="21"/>
              </w:rPr>
            </w:pPr>
            <w:bookmarkStart w:id="14" w:name="管理者代表"/>
            <w:r>
              <w:rPr>
                <w:rFonts w:ascii="宋体"/>
                <w:b/>
                <w:sz w:val="21"/>
              </w:rPr>
              <w:t>陶美廷</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3207" w:type="dxa"/>
            <w:gridSpan w:val="2"/>
            <w:vAlign w:val="center"/>
          </w:tcPr>
          <w:p>
            <w:pPr>
              <w:rPr>
                <w:rFonts w:ascii="宋体" w:hAnsi="宋体"/>
                <w:b/>
                <w:sz w:val="21"/>
                <w:szCs w:val="21"/>
              </w:rPr>
            </w:pPr>
            <w:bookmarkStart w:id="15" w:name="审核日期"/>
            <w:r>
              <w:rPr>
                <w:rFonts w:ascii="宋体" w:hAnsi="宋体"/>
                <w:b/>
                <w:sz w:val="21"/>
                <w:szCs w:val="21"/>
              </w:rPr>
              <w:t>2020年11月09日 上午至2020年11月13日 上午</w:t>
            </w:r>
            <w:bookmarkEnd w:id="15"/>
          </w:p>
        </w:tc>
        <w:tc>
          <w:tcPr>
            <w:tcW w:w="1200"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rPr>
                <w:b/>
                <w:bCs/>
                <w:sz w:val="18"/>
                <w:szCs w:val="18"/>
              </w:rPr>
            </w:pPr>
            <w:bookmarkStart w:id="16" w:name="审核范围"/>
            <w:r>
              <w:rPr>
                <w:b/>
                <w:bCs/>
                <w:sz w:val="18"/>
                <w:szCs w:val="18"/>
              </w:rPr>
              <w:t>EC：资质范围内的建筑工程施工总承包，市政公用工程施工总承包，建筑机电安装工程专业承包，电子与智能化工程专业承包</w:t>
            </w:r>
          </w:p>
          <w:p>
            <w:pPr>
              <w:rPr>
                <w:b/>
                <w:bCs/>
                <w:sz w:val="18"/>
                <w:szCs w:val="18"/>
              </w:rPr>
            </w:pPr>
            <w:r>
              <w:rPr>
                <w:b/>
                <w:bCs/>
                <w:sz w:val="18"/>
                <w:szCs w:val="18"/>
              </w:rPr>
              <w:t>E：资质范围内的建筑工程施工总承包，市政公用工程施工总承包，建筑机电安装工程专业承包，电子与智能化工程专业承包及相关环境管理活动</w:t>
            </w:r>
          </w:p>
          <w:p>
            <w:pPr>
              <w:spacing w:line="360" w:lineRule="exact"/>
              <w:rPr>
                <w:rFonts w:ascii="宋体" w:hAnsi="宋体"/>
                <w:b/>
                <w:sz w:val="21"/>
                <w:szCs w:val="21"/>
              </w:rPr>
            </w:pPr>
            <w:r>
              <w:rPr>
                <w:b/>
                <w:bCs/>
                <w:sz w:val="18"/>
                <w:szCs w:val="18"/>
              </w:rPr>
              <w:t>O：资质范围内的建筑工程施工总承包，市政公用工程施工总承包，建筑机电安装工程专业承包，电子与智能化工程专业承包及相关职业健康安全管理活动</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rPr>
                <w:rFonts w:ascii="宋体" w:hAnsi="宋体"/>
                <w:b/>
                <w:sz w:val="21"/>
                <w:szCs w:val="21"/>
              </w:rPr>
            </w:pPr>
            <w:r>
              <w:rPr>
                <w:rFonts w:hint="eastAsia" w:ascii="宋体" w:hAnsi="宋体"/>
                <w:b/>
                <w:sz w:val="21"/>
                <w:szCs w:val="21"/>
              </w:rPr>
              <w:sym w:font="Wingdings 2" w:char="00A3"/>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2141" w:type="dxa"/>
            <w:vAlign w:val="center"/>
          </w:tcPr>
          <w:p>
            <w:pPr>
              <w:spacing w:line="260" w:lineRule="exact"/>
              <w:jc w:val="both"/>
              <w:rPr>
                <w:rFonts w:ascii="宋体" w:hAnsi="宋体"/>
                <w:b/>
                <w:sz w:val="21"/>
                <w:szCs w:val="21"/>
              </w:rPr>
            </w:pPr>
            <w:bookmarkStart w:id="17" w:name="专业代码"/>
            <w:r>
              <w:rPr>
                <w:rFonts w:ascii="宋体" w:hAnsi="宋体"/>
                <w:b/>
                <w:sz w:val="21"/>
                <w:szCs w:val="21"/>
              </w:rPr>
              <w:t>EC：28.02.00;</w:t>
            </w:r>
          </w:p>
          <w:p>
            <w:pPr>
              <w:spacing w:line="260" w:lineRule="exact"/>
              <w:jc w:val="both"/>
              <w:rPr>
                <w:rFonts w:ascii="宋体" w:hAnsi="宋体"/>
                <w:b/>
                <w:sz w:val="21"/>
                <w:szCs w:val="21"/>
              </w:rPr>
            </w:pPr>
            <w:r>
              <w:rPr>
                <w:rFonts w:ascii="宋体" w:hAnsi="宋体"/>
                <w:b/>
                <w:sz w:val="21"/>
                <w:szCs w:val="21"/>
              </w:rPr>
              <w:t>28.03.01;28.07.01</w:t>
            </w:r>
          </w:p>
          <w:p>
            <w:pPr>
              <w:spacing w:line="260" w:lineRule="exact"/>
              <w:jc w:val="both"/>
              <w:rPr>
                <w:rFonts w:ascii="宋体" w:hAnsi="宋体"/>
                <w:b/>
                <w:sz w:val="21"/>
                <w:szCs w:val="21"/>
              </w:rPr>
            </w:pPr>
            <w:r>
              <w:rPr>
                <w:rFonts w:ascii="宋体" w:hAnsi="宋体"/>
                <w:b/>
                <w:sz w:val="21"/>
                <w:szCs w:val="21"/>
              </w:rPr>
              <w:t>E：28.02.00;</w:t>
            </w:r>
          </w:p>
          <w:p>
            <w:pPr>
              <w:spacing w:line="260" w:lineRule="exact"/>
              <w:jc w:val="both"/>
              <w:rPr>
                <w:rFonts w:ascii="宋体" w:hAnsi="宋体"/>
                <w:b/>
                <w:sz w:val="21"/>
                <w:szCs w:val="21"/>
              </w:rPr>
            </w:pPr>
            <w:r>
              <w:rPr>
                <w:rFonts w:ascii="宋体" w:hAnsi="宋体"/>
                <w:b/>
                <w:sz w:val="21"/>
                <w:szCs w:val="21"/>
              </w:rPr>
              <w:t>28.03.01;28.07.01</w:t>
            </w:r>
          </w:p>
          <w:p>
            <w:pPr>
              <w:spacing w:line="260" w:lineRule="exact"/>
              <w:jc w:val="both"/>
              <w:rPr>
                <w:rFonts w:ascii="宋体" w:hAnsi="宋体"/>
                <w:b/>
                <w:sz w:val="21"/>
                <w:szCs w:val="21"/>
              </w:rPr>
            </w:pPr>
            <w:r>
              <w:rPr>
                <w:rFonts w:ascii="宋体" w:hAnsi="宋体"/>
                <w:b/>
                <w:sz w:val="21"/>
                <w:szCs w:val="21"/>
              </w:rPr>
              <w:t>O：28.02.00;</w:t>
            </w:r>
          </w:p>
          <w:p>
            <w:pPr>
              <w:spacing w:line="260" w:lineRule="exact"/>
              <w:jc w:val="both"/>
              <w:rPr>
                <w:rFonts w:ascii="宋体" w:hAnsi="宋体"/>
                <w:b/>
                <w:sz w:val="21"/>
                <w:szCs w:val="21"/>
              </w:rPr>
            </w:pPr>
            <w:r>
              <w:rPr>
                <w:rFonts w:ascii="宋体" w:hAnsi="宋体"/>
                <w:b/>
                <w:sz w:val="21"/>
                <w:szCs w:val="21"/>
              </w:rPr>
              <w:t>28.03.01;28.07.01</w:t>
            </w:r>
            <w:bookmarkEnd w:id="17"/>
          </w:p>
        </w:tc>
        <w:tc>
          <w:tcPr>
            <w:tcW w:w="1066"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209" w:type="dxa"/>
            <w:gridSpan w:val="2"/>
            <w:vAlign w:val="center"/>
          </w:tcPr>
          <w:p>
            <w:pPr>
              <w:spacing w:line="260" w:lineRule="exact"/>
              <w:jc w:val="center"/>
              <w:rPr>
                <w:rFonts w:hint="default" w:ascii="宋体" w:hAnsi="宋体" w:eastAsia="宋体"/>
                <w:b/>
                <w:sz w:val="21"/>
                <w:szCs w:val="21"/>
                <w:lang w:val="en-US" w:eastAsia="zh-CN"/>
              </w:rPr>
            </w:pPr>
            <w:r>
              <w:rPr>
                <w:rFonts w:hint="eastAsia" w:ascii="宋体" w:hAnsi="宋体"/>
                <w:b/>
                <w:sz w:val="21"/>
                <w:szCs w:val="21"/>
                <w:lang w:val="en-US" w:eastAsia="zh-CN"/>
              </w:rPr>
              <w:t>2022年9月15日</w:t>
            </w:r>
          </w:p>
        </w:tc>
        <w:tc>
          <w:tcPr>
            <w:tcW w:w="1391"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781" w:type="dxa"/>
            <w:vAlign w:val="center"/>
          </w:tcPr>
          <w:p>
            <w:pPr>
              <w:spacing w:line="260" w:lineRule="exact"/>
              <w:jc w:val="center"/>
              <w:rPr>
                <w:rFonts w:hint="default" w:ascii="宋体" w:eastAsia="宋体"/>
                <w:b/>
                <w:sz w:val="21"/>
                <w:lang w:val="en-US" w:eastAsia="zh-CN"/>
              </w:rPr>
            </w:pPr>
            <w:bookmarkStart w:id="18" w:name="审核日期安排"/>
            <w:r>
              <w:rPr>
                <w:rFonts w:hint="eastAsia"/>
                <w:b/>
                <w:sz w:val="20"/>
              </w:rPr>
              <w:t>2019年08月23日 下午至2019年08月29日 上午 (共6.0天)</w:t>
            </w:r>
            <w:bookmarkEnd w:id="18"/>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8</w:t>
      </w:r>
      <w:r>
        <w:rPr>
          <w:rFonts w:hint="eastAsia" w:ascii="宋体" w:hAnsi="宋体"/>
          <w:b/>
          <w:sz w:val="21"/>
          <w:szCs w:val="21"/>
        </w:rPr>
        <w:t>月</w:t>
      </w:r>
      <w:r>
        <w:rPr>
          <w:rFonts w:hint="eastAsia" w:ascii="宋体" w:hAnsi="宋体"/>
          <w:b/>
          <w:sz w:val="21"/>
          <w:szCs w:val="21"/>
          <w:lang w:val="en-US" w:eastAsia="zh-CN"/>
        </w:rPr>
        <w:t>29</w:t>
      </w:r>
      <w:r>
        <w:rPr>
          <w:rFonts w:hint="eastAsia" w:ascii="宋体" w:hAnsi="宋体"/>
          <w:b/>
          <w:sz w:val="21"/>
          <w:szCs w:val="21"/>
        </w:rPr>
        <w:t>日至</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11</w:t>
      </w:r>
      <w:r>
        <w:rPr>
          <w:rFonts w:hint="eastAsia" w:ascii="宋体" w:hAnsi="宋体"/>
          <w:b/>
          <w:sz w:val="21"/>
          <w:szCs w:val="21"/>
        </w:rPr>
        <w:t>月</w:t>
      </w:r>
      <w:r>
        <w:rPr>
          <w:rFonts w:hint="eastAsia" w:ascii="宋体" w:hAnsi="宋体"/>
          <w:b/>
          <w:sz w:val="21"/>
          <w:szCs w:val="21"/>
          <w:lang w:val="en-US" w:eastAsia="zh-CN"/>
        </w:rPr>
        <w:t>14</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numPr>
          <w:ilvl w:val="0"/>
          <w:numId w:val="1"/>
        </w:numPr>
        <w:tabs>
          <w:tab w:val="left" w:pos="645"/>
        </w:tabs>
        <w:spacing w:before="326" w:beforeLines="100" w:after="163" w:afterLines="50" w:line="360" w:lineRule="exact"/>
        <w:rPr>
          <w:rFonts w:hint="eastAsia"/>
          <w:b/>
          <w:sz w:val="26"/>
          <w:szCs w:val="26"/>
        </w:rPr>
      </w:pPr>
      <w:r>
        <w:rPr>
          <w:rFonts w:hint="eastAsia"/>
          <w:b/>
          <w:sz w:val="26"/>
          <w:szCs w:val="26"/>
        </w:rPr>
        <w:t>审核证据及审核发现综述</w:t>
      </w:r>
    </w:p>
    <w:p>
      <w:pPr>
        <w:spacing w:before="312" w:beforeLines="100" w:line="320" w:lineRule="exact"/>
        <w:ind w:left="-374" w:leftChars="-337" w:hanging="435" w:hangingChars="271"/>
        <w:rPr>
          <w:b/>
          <w:color w:val="000000" w:themeColor="text1"/>
          <w:sz w:val="16"/>
          <w:szCs w:val="16"/>
        </w:rPr>
      </w:pP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948"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8970" w:type="dxa"/>
          </w:tcPr>
          <w:p>
            <w:pPr>
              <w:spacing w:line="240" w:lineRule="exact"/>
              <w:rPr>
                <w:b/>
                <w:bCs w:val="0"/>
                <w:color w:val="000000" w:themeColor="text1"/>
                <w:sz w:val="21"/>
                <w:szCs w:val="21"/>
              </w:rPr>
            </w:pPr>
            <w:r>
              <w:rPr>
                <w:b/>
                <w:bCs w:val="0"/>
                <w:color w:val="000000" w:themeColor="text1"/>
                <w:sz w:val="21"/>
                <w:szCs w:val="21"/>
              </w:rPr>
              <w:t>1、</w:t>
            </w:r>
            <w:r>
              <w:rPr>
                <w:rFonts w:hint="eastAsia"/>
                <w:b/>
                <w:bCs w:val="0"/>
                <w:color w:val="000000" w:themeColor="text1"/>
                <w:sz w:val="21"/>
                <w:szCs w:val="21"/>
              </w:rPr>
              <w:t>组织及其环境的识别情况</w:t>
            </w:r>
          </w:p>
          <w:p>
            <w:pPr>
              <w:spacing w:line="240" w:lineRule="exact"/>
              <w:ind w:firstLine="422" w:firstLineChars="200"/>
              <w:rPr>
                <w:b/>
                <w:bCs w:val="0"/>
                <w:color w:val="000000" w:themeColor="text1"/>
                <w:sz w:val="21"/>
                <w:szCs w:val="21"/>
              </w:rPr>
            </w:pPr>
            <w:r>
              <w:rPr>
                <w:rFonts w:hint="eastAsia" w:ascii="宋体" w:hAnsi="宋体"/>
                <w:b/>
                <w:bCs w:val="0"/>
                <w:color w:val="000000" w:themeColor="text1"/>
                <w:sz w:val="21"/>
                <w:szCs w:val="21"/>
              </w:rPr>
              <w:t>组织对内外部因素、相关方需求和期望进行了充分的识别，策划和实施有效。组织确定了体系的边界，基本适用。管理体系除Q</w:t>
            </w:r>
            <w:r>
              <w:rPr>
                <w:rFonts w:ascii="宋体" w:hAnsi="宋体"/>
                <w:b/>
                <w:bCs w:val="0"/>
                <w:color w:val="000000" w:themeColor="text1"/>
                <w:sz w:val="21"/>
                <w:szCs w:val="21"/>
              </w:rPr>
              <w:t>8.3J10.3</w:t>
            </w:r>
            <w:r>
              <w:rPr>
                <w:rFonts w:hint="eastAsia" w:ascii="宋体" w:hAnsi="宋体"/>
                <w:b/>
                <w:bCs w:val="0"/>
                <w:color w:val="000000" w:themeColor="text1"/>
                <w:sz w:val="21"/>
                <w:szCs w:val="21"/>
              </w:rPr>
              <w:t>全条款适用</w:t>
            </w:r>
            <w:r>
              <w:rPr>
                <w:rFonts w:hint="eastAsia" w:ascii="华文楷体" w:hAnsi="华文楷体" w:eastAsia="华文楷体"/>
                <w:b/>
                <w:bCs w:val="0"/>
                <w:i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948"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8970" w:type="dxa"/>
          </w:tcPr>
          <w:p>
            <w:pPr>
              <w:spacing w:line="240" w:lineRule="exact"/>
              <w:rPr>
                <w:b/>
                <w:bCs w:val="0"/>
                <w:color w:val="000000" w:themeColor="text1"/>
                <w:sz w:val="21"/>
                <w:szCs w:val="21"/>
              </w:rPr>
            </w:pPr>
            <w:r>
              <w:rPr>
                <w:b/>
                <w:bCs w:val="0"/>
                <w:color w:val="000000" w:themeColor="text1"/>
                <w:sz w:val="21"/>
                <w:szCs w:val="21"/>
              </w:rPr>
              <w:t>2、</w:t>
            </w:r>
            <w:r>
              <w:rPr>
                <w:rFonts w:hint="eastAsia"/>
                <w:b/>
                <w:bCs w:val="0"/>
                <w:color w:val="000000" w:themeColor="text1"/>
                <w:sz w:val="21"/>
                <w:szCs w:val="21"/>
              </w:rPr>
              <w:t>相关方需求和期望识别情况</w:t>
            </w:r>
          </w:p>
          <w:p>
            <w:pPr>
              <w:spacing w:line="240" w:lineRule="exact"/>
              <w:ind w:firstLine="422" w:firstLineChars="200"/>
              <w:rPr>
                <w:b/>
                <w:bCs w:val="0"/>
                <w:color w:val="000000" w:themeColor="text1"/>
                <w:sz w:val="21"/>
                <w:szCs w:val="21"/>
              </w:rPr>
            </w:pPr>
            <w:r>
              <w:rPr>
                <w:rFonts w:hint="eastAsia" w:ascii="宋体" w:hAnsi="宋体" w:cs="宋体"/>
                <w:b/>
                <w:bCs w:val="0"/>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948"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8970" w:type="dxa"/>
          </w:tcPr>
          <w:p>
            <w:pPr>
              <w:spacing w:line="280" w:lineRule="exact"/>
              <w:rPr>
                <w:rFonts w:ascii="宋体" w:hAnsi="宋体"/>
                <w:b/>
                <w:bCs w:val="0"/>
                <w:color w:val="000000" w:themeColor="text1"/>
                <w:sz w:val="21"/>
                <w:szCs w:val="21"/>
              </w:rPr>
            </w:pPr>
            <w:r>
              <w:rPr>
                <w:b/>
                <w:bCs w:val="0"/>
                <w:color w:val="000000" w:themeColor="text1"/>
                <w:sz w:val="21"/>
                <w:szCs w:val="21"/>
              </w:rPr>
              <w:t>3.</w:t>
            </w:r>
            <w:r>
              <w:rPr>
                <w:rFonts w:hint="eastAsia"/>
                <w:b/>
                <w:bCs w:val="0"/>
                <w:color w:val="000000" w:themeColor="text1"/>
                <w:sz w:val="21"/>
                <w:szCs w:val="21"/>
              </w:rPr>
              <w:t>■</w:t>
            </w:r>
            <w:r>
              <w:rPr>
                <w:rFonts w:hint="eastAsia" w:ascii="宋体" w:hAnsi="宋体"/>
                <w:b/>
                <w:bCs w:val="0"/>
                <w:color w:val="000000" w:themeColor="text1"/>
                <w:sz w:val="21"/>
                <w:szCs w:val="21"/>
              </w:rPr>
              <w:t>质量/■环境/■职业健康安全方针（组织</w:t>
            </w:r>
            <w:r>
              <w:rPr>
                <w:rFonts w:hint="eastAsia"/>
                <w:b/>
                <w:bCs w:val="0"/>
                <w:color w:val="000000" w:themeColor="text1"/>
                <w:sz w:val="21"/>
                <w:szCs w:val="21"/>
              </w:rPr>
              <w:t>方针</w:t>
            </w:r>
            <w:r>
              <w:rPr>
                <w:rFonts w:hint="eastAsia" w:ascii="宋体" w:hAnsi="宋体"/>
                <w:b/>
                <w:bCs w:val="0"/>
                <w:color w:val="000000" w:themeColor="text1"/>
                <w:sz w:val="21"/>
                <w:szCs w:val="21"/>
              </w:rPr>
              <w:t>的适宜性/持续适宜性、方针的传达及职工的理解等）</w:t>
            </w:r>
          </w:p>
          <w:p>
            <w:pPr>
              <w:ind w:firstLine="474" w:firstLineChars="225"/>
              <w:rPr>
                <w:rFonts w:ascii="宋体" w:hAnsi="宋体" w:cs="宋体"/>
                <w:b/>
                <w:bCs w:val="0"/>
                <w:sz w:val="21"/>
                <w:szCs w:val="21"/>
              </w:rPr>
            </w:pPr>
            <w:r>
              <w:rPr>
                <w:rFonts w:hint="eastAsia" w:ascii="宋体" w:hAnsi="宋体"/>
                <w:b/>
                <w:bCs w:val="0"/>
                <w:color w:val="000000" w:themeColor="text1"/>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ascii="宋体" w:hAnsi="宋体" w:cs="宋体"/>
                <w:b/>
                <w:bCs w:val="0"/>
                <w:sz w:val="21"/>
                <w:szCs w:val="21"/>
              </w:rPr>
              <w:t>“遵守国家法律，重视环境保护，确保施工安全，</w:t>
            </w:r>
          </w:p>
          <w:p>
            <w:pPr>
              <w:ind w:firstLine="474" w:firstLineChars="225"/>
              <w:rPr>
                <w:b/>
                <w:bCs w:val="0"/>
                <w:color w:val="000000" w:themeColor="text1"/>
                <w:sz w:val="21"/>
                <w:szCs w:val="21"/>
              </w:rPr>
            </w:pPr>
            <w:r>
              <w:rPr>
                <w:rFonts w:hint="eastAsia" w:ascii="宋体" w:hAnsi="宋体" w:cs="宋体"/>
                <w:b/>
                <w:bCs w:val="0"/>
                <w:sz w:val="21"/>
                <w:szCs w:val="21"/>
              </w:rPr>
              <w:t>争创优质工程，深化企业管理，力求持续发展”。</w:t>
            </w:r>
            <w:r>
              <w:rPr>
                <w:rFonts w:hint="eastAsia" w:ascii="宋体" w:hAnsi="宋体"/>
                <w:b/>
                <w:bCs w:val="0"/>
                <w:color w:val="000000" w:themeColor="text1"/>
                <w:sz w:val="21"/>
                <w:szCs w:val="21"/>
              </w:rPr>
              <w:t>管理方针适宜、充分、有效。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jc w:val="center"/>
        </w:trPr>
        <w:tc>
          <w:tcPr>
            <w:tcW w:w="948"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8970" w:type="dxa"/>
          </w:tcPr>
          <w:p>
            <w:pPr>
              <w:spacing w:line="240" w:lineRule="exact"/>
              <w:rPr>
                <w:b/>
                <w:bCs w:val="0"/>
                <w:color w:val="000000" w:themeColor="text1"/>
                <w:sz w:val="21"/>
                <w:szCs w:val="21"/>
              </w:rPr>
            </w:pPr>
            <w:r>
              <w:rPr>
                <w:b/>
                <w:bCs w:val="0"/>
                <w:color w:val="000000" w:themeColor="text1"/>
                <w:sz w:val="21"/>
                <w:szCs w:val="21"/>
              </w:rPr>
              <w:t>4、</w:t>
            </w:r>
            <w:r>
              <w:rPr>
                <w:rFonts w:hint="eastAsia"/>
                <w:b/>
                <w:bCs w:val="0"/>
                <w:color w:val="000000" w:themeColor="text1"/>
                <w:sz w:val="21"/>
                <w:szCs w:val="21"/>
              </w:rPr>
              <w:t>风险识别与控制策划（QMS）</w:t>
            </w:r>
          </w:p>
          <w:p>
            <w:pPr>
              <w:spacing w:line="240" w:lineRule="exact"/>
              <w:ind w:firstLine="422" w:firstLineChars="200"/>
              <w:rPr>
                <w:rFonts w:ascii="宋体" w:hAnsi="宋体"/>
                <w:b/>
                <w:bCs w:val="0"/>
                <w:color w:val="000000" w:themeColor="text1"/>
                <w:sz w:val="21"/>
                <w:szCs w:val="21"/>
              </w:rPr>
            </w:pPr>
            <w:r>
              <w:rPr>
                <w:rFonts w:hint="eastAsia" w:ascii="宋体" w:hAnsi="宋体"/>
                <w:b/>
                <w:bCs w:val="0"/>
                <w:color w:val="000000" w:themeColor="text1"/>
                <w:sz w:val="21"/>
                <w:szCs w:val="21"/>
              </w:rPr>
              <w:t>制定并实施了相关程序和安全生产管理制度</w:t>
            </w:r>
            <w:r>
              <w:rPr>
                <w:rFonts w:ascii="宋体" w:hAnsi="宋体"/>
                <w:b/>
                <w:bCs w:val="0"/>
                <w:color w:val="000000" w:themeColor="text1"/>
                <w:sz w:val="21"/>
                <w:szCs w:val="21"/>
              </w:rPr>
              <w:t>，</w:t>
            </w:r>
            <w:r>
              <w:rPr>
                <w:rFonts w:hint="eastAsia" w:ascii="宋体" w:hAnsi="宋体"/>
                <w:b/>
                <w:bCs w:val="0"/>
                <w:color w:val="000000" w:themeColor="text1"/>
                <w:sz w:val="21"/>
                <w:szCs w:val="2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948" w:type="dxa"/>
            <w:vMerge w:val="continue"/>
            <w:vAlign w:val="center"/>
          </w:tcPr>
          <w:p>
            <w:pPr>
              <w:spacing w:line="240" w:lineRule="exact"/>
              <w:jc w:val="center"/>
              <w:rPr>
                <w:b/>
                <w:color w:val="000000" w:themeColor="text1"/>
                <w:sz w:val="20"/>
              </w:rPr>
            </w:pPr>
          </w:p>
        </w:tc>
        <w:tc>
          <w:tcPr>
            <w:tcW w:w="8970"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质量管理体系过程有：人力资源、基础设施、文件、机构、职责、产品和服务的要求、外部提供的产品和服务、产品放行、不合格输出控制、绩效评价、改进等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其中关键过程有：隐蔽工程施工、机电设备及电子与智能化设备的安装调试等</w:t>
            </w: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需要确认过程：钢筋焊接、基础灌注桩、防水工程、大体积砼浇筑等</w:t>
            </w:r>
          </w:p>
          <w:p>
            <w:pPr>
              <w:tabs>
                <w:tab w:val="left" w:pos="540"/>
              </w:tabs>
              <w:spacing w:line="300" w:lineRule="exact"/>
              <w:ind w:left="210" w:hanging="240" w:hangingChars="100"/>
              <w:rPr>
                <w:rFonts w:ascii="宋体" w:hAnsi="宋体"/>
                <w:b/>
                <w:color w:val="FF0000"/>
                <w:szCs w:val="21"/>
              </w:rPr>
            </w:pPr>
            <w:r>
              <w:pict>
                <v:shape id="AutoShape 8" o:spid="_x0000_s2051" o:spt="32" type="#_x0000_t32" style="position:absolute;left:0pt;margin-left:157.9pt;margin-top:12.75pt;height:0pt;width:261.75pt;z-index:25166643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">
                  <v:path arrowok="t"/>
                  <v:fill on="f" focussize="0,0"/>
                  <v:stroke/>
                  <v:imagedata o:title=""/>
                  <o:lock v:ext="edit"/>
                </v:shape>
              </w:pict>
            </w:r>
            <w:r>
              <w:pict>
                <v:shape id="AutoShape 7" o:spid="_x0000_s2052" o:spt="32" type="#_x0000_t32" style="position:absolute;left:0pt;margin-left:55.15pt;margin-top:12.75pt;height:0pt;width:42pt;z-index:25166540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4+HgIAADo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">
                  <v:path arrowok="t"/>
                  <v:fill on="f" focussize="0,0"/>
                  <v:stroke/>
                  <v:imagedata o:title=""/>
                  <o:lock v:ext="edit"/>
                </v:shape>
              </w:pict>
            </w:r>
            <w:r>
              <w:rPr>
                <w:rFonts w:hint="eastAsia" w:asciiTheme="minorEastAsia" w:hAnsiTheme="minorEastAsia" w:eastAsiaTheme="minorEastAsia"/>
                <w:bCs/>
                <w:iCs/>
              </w:rPr>
              <w:t>不适用条款是 Q8.3</w:t>
            </w:r>
            <w:r>
              <w:rPr>
                <w:rFonts w:asciiTheme="minorEastAsia" w:hAnsiTheme="minorEastAsia" w:eastAsiaTheme="minorEastAsia"/>
                <w:bCs/>
                <w:iCs/>
              </w:rPr>
              <w:t>J</w:t>
            </w:r>
            <w:r>
              <w:rPr>
                <w:rFonts w:asciiTheme="minorEastAsia" w:hAnsiTheme="minorEastAsia" w:eastAsiaTheme="minorEastAsia"/>
                <w:bCs/>
                <w:iCs/>
                <w:u w:val="single"/>
              </w:rPr>
              <w:t>10.3</w:t>
            </w:r>
            <w:r>
              <w:rPr>
                <w:rFonts w:hint="eastAsia" w:asciiTheme="minorEastAsia" w:hAnsiTheme="minorEastAsia" w:eastAsiaTheme="minorEastAsia"/>
                <w:bCs/>
                <w:iCs/>
                <w:u w:val="single"/>
              </w:rPr>
              <w:t xml:space="preserve"> </w:t>
            </w:r>
            <w:r>
              <w:rPr>
                <w:rFonts w:hint="eastAsia" w:asciiTheme="minorEastAsia" w:hAnsiTheme="minorEastAsia" w:eastAsiaTheme="minorEastAsia"/>
                <w:bCs/>
                <w:iCs/>
              </w:rPr>
              <w:t xml:space="preserve">      ，不适用理由：工程施工按相关法律法规和建设单位要求执行，故该条款不适用。   </w:t>
            </w:r>
            <w:r>
              <w:rPr>
                <w:rFonts w:hint="eastAsia" w:ascii="宋体" w:hAnsi="宋体"/>
                <w:b/>
                <w:color w:val="FF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948" w:type="dxa"/>
            <w:vMerge w:val="continue"/>
            <w:vAlign w:val="center"/>
          </w:tcPr>
          <w:p>
            <w:pPr>
              <w:spacing w:line="240" w:lineRule="exact"/>
              <w:jc w:val="center"/>
              <w:rPr>
                <w:b/>
                <w:color w:val="000000" w:themeColor="text1"/>
                <w:sz w:val="20"/>
              </w:rPr>
            </w:pPr>
          </w:p>
        </w:tc>
        <w:tc>
          <w:tcPr>
            <w:tcW w:w="8970" w:type="dxa"/>
          </w:tcPr>
          <w:p>
            <w:pPr>
              <w:spacing w:line="300" w:lineRule="exact"/>
              <w:rPr>
                <w:rFonts w:ascii="宋体" w:hAnsi="宋体"/>
                <w:b/>
                <w:bCs w:val="0"/>
                <w:color w:val="000000" w:themeColor="text1"/>
                <w:spacing w:val="-12"/>
                <w:sz w:val="21"/>
                <w:szCs w:val="21"/>
              </w:rPr>
            </w:pPr>
            <w:r>
              <w:rPr>
                <w:rFonts w:hint="eastAsia"/>
                <w:b/>
                <w:bCs w:val="0"/>
                <w:color w:val="000000" w:themeColor="text1"/>
                <w:sz w:val="21"/>
                <w:szCs w:val="21"/>
              </w:rPr>
              <w:t xml:space="preserve">6. </w:t>
            </w:r>
            <w:r>
              <w:rPr>
                <w:b/>
                <w:bCs w:val="0"/>
                <w:color w:val="000000" w:themeColor="text1"/>
                <w:spacing w:val="-12"/>
                <w:sz w:val="21"/>
                <w:szCs w:val="21"/>
              </w:rPr>
              <w:t>EMS</w:t>
            </w:r>
            <w:r>
              <w:rPr>
                <w:rFonts w:hint="eastAsia" w:ascii="宋体" w:hAnsi="宋体"/>
                <w:b/>
                <w:bCs w:val="0"/>
                <w:color w:val="000000" w:themeColor="text1"/>
                <w:spacing w:val="-12"/>
                <w:sz w:val="21"/>
                <w:szCs w:val="21"/>
              </w:rPr>
              <w:t>环境因素</w:t>
            </w:r>
            <w:r>
              <w:rPr>
                <w:rFonts w:ascii="宋体" w:hAnsi="宋体"/>
                <w:b/>
                <w:bCs w:val="0"/>
                <w:color w:val="000000" w:themeColor="text1"/>
                <w:spacing w:val="-12"/>
                <w:sz w:val="21"/>
                <w:szCs w:val="21"/>
              </w:rPr>
              <w:t xml:space="preserve"> </w:t>
            </w:r>
          </w:p>
          <w:p>
            <w:pPr>
              <w:spacing w:line="300" w:lineRule="exact"/>
              <w:rPr>
                <w:rFonts w:ascii="宋体" w:hAnsi="宋体"/>
                <w:b/>
                <w:bCs w:val="0"/>
                <w:color w:val="000000" w:themeColor="text1"/>
                <w:spacing w:val="-8"/>
                <w:sz w:val="21"/>
                <w:szCs w:val="21"/>
              </w:rPr>
            </w:pPr>
            <w:r>
              <w:rPr>
                <w:rFonts w:hint="eastAsia" w:ascii="宋体" w:hAnsi="宋体"/>
                <w:b/>
                <w:bCs w:val="0"/>
                <w:color w:val="000000" w:themeColor="text1"/>
                <w:sz w:val="21"/>
                <w:szCs w:val="21"/>
              </w:rPr>
              <w:t>（</w:t>
            </w:r>
            <w:r>
              <w:rPr>
                <w:rFonts w:hint="eastAsia" w:ascii="宋体" w:hAnsi="宋体"/>
                <w:b/>
                <w:bCs w:val="0"/>
                <w:color w:val="000000" w:themeColor="text1"/>
                <w:spacing w:val="-8"/>
                <w:sz w:val="21"/>
                <w:szCs w:val="21"/>
              </w:rPr>
              <w:t>环境因素</w:t>
            </w:r>
            <w:r>
              <w:rPr>
                <w:rFonts w:hint="eastAsia" w:ascii="宋体" w:hAnsi="宋体"/>
                <w:b/>
                <w:bCs w:val="0"/>
                <w:color w:val="000000" w:themeColor="text1"/>
                <w:sz w:val="21"/>
                <w:szCs w:val="21"/>
              </w:rPr>
              <w:t>辨识是否充分、重要环境因素评价合理性，</w:t>
            </w:r>
            <w:r>
              <w:rPr>
                <w:rFonts w:hint="eastAsia" w:ascii="宋体" w:hAnsi="宋体"/>
                <w:b/>
                <w:bCs w:val="0"/>
                <w:color w:val="000000" w:themeColor="text1"/>
                <w:spacing w:val="-8"/>
                <w:sz w:val="21"/>
                <w:szCs w:val="21"/>
              </w:rPr>
              <w:t>以及环境因素动态变更的及时性等）</w:t>
            </w:r>
          </w:p>
          <w:p>
            <w:pPr>
              <w:spacing w:line="300" w:lineRule="exact"/>
              <w:ind w:firstLine="422" w:firstLineChars="200"/>
              <w:rPr>
                <w:rFonts w:asciiTheme="minorEastAsia" w:hAnsiTheme="minorEastAsia" w:eastAsiaTheme="minorEastAsia"/>
                <w:b/>
                <w:bCs w:val="0"/>
                <w:color w:val="000000" w:themeColor="text1"/>
                <w:sz w:val="21"/>
                <w:szCs w:val="21"/>
              </w:rPr>
            </w:pPr>
            <w:r>
              <w:rPr>
                <w:rFonts w:hint="eastAsia" w:asciiTheme="minorEastAsia" w:hAnsiTheme="minorEastAsia" w:eastAsiaTheme="minorEastAsia"/>
                <w:b/>
                <w:bCs w:val="0"/>
                <w:iCs/>
                <w:sz w:val="21"/>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重要环境因素（:1）粉尘排放；2）噪声排放；3）固废（含危废）排放；4）废水排放；5）火灾爆炸；6）资源浪费；7）废气排放）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948" w:type="dxa"/>
            <w:vMerge w:val="continue"/>
            <w:vAlign w:val="center"/>
          </w:tcPr>
          <w:p>
            <w:pPr>
              <w:spacing w:line="240" w:lineRule="exact"/>
              <w:jc w:val="center"/>
              <w:rPr>
                <w:b/>
                <w:color w:val="000000" w:themeColor="text1"/>
                <w:sz w:val="20"/>
              </w:rPr>
            </w:pPr>
          </w:p>
        </w:tc>
        <w:tc>
          <w:tcPr>
            <w:tcW w:w="8970" w:type="dxa"/>
          </w:tcPr>
          <w:p>
            <w:pPr>
              <w:spacing w:line="300" w:lineRule="exact"/>
              <w:rPr>
                <w:rFonts w:ascii="宋体" w:hAnsi="宋体"/>
                <w:b/>
                <w:bCs w:val="0"/>
                <w:color w:val="000000" w:themeColor="text1"/>
                <w:spacing w:val="-12"/>
                <w:sz w:val="21"/>
                <w:szCs w:val="21"/>
              </w:rPr>
            </w:pPr>
            <w:r>
              <w:rPr>
                <w:rFonts w:hint="eastAsia"/>
                <w:b/>
                <w:bCs w:val="0"/>
                <w:color w:val="000000" w:themeColor="text1"/>
                <w:spacing w:val="-10"/>
                <w:sz w:val="21"/>
                <w:szCs w:val="21"/>
              </w:rPr>
              <w:t xml:space="preserve">7. </w:t>
            </w:r>
            <w:r>
              <w:rPr>
                <w:b/>
                <w:bCs w:val="0"/>
                <w:color w:val="000000" w:themeColor="text1"/>
                <w:spacing w:val="-12"/>
                <w:sz w:val="21"/>
                <w:szCs w:val="21"/>
              </w:rPr>
              <w:t>OHSMS</w:t>
            </w:r>
            <w:r>
              <w:rPr>
                <w:rFonts w:hint="eastAsia" w:ascii="宋体" w:hAnsi="宋体"/>
                <w:b/>
                <w:bCs w:val="0"/>
                <w:color w:val="000000" w:themeColor="text1"/>
                <w:spacing w:val="-12"/>
                <w:sz w:val="21"/>
                <w:szCs w:val="21"/>
              </w:rPr>
              <w:t>职业健康安全危险源</w:t>
            </w:r>
          </w:p>
          <w:p>
            <w:pPr>
              <w:spacing w:line="300" w:lineRule="exact"/>
              <w:rPr>
                <w:rFonts w:ascii="宋体" w:hAnsi="宋体"/>
                <w:b/>
                <w:bCs w:val="0"/>
                <w:color w:val="000000" w:themeColor="text1"/>
                <w:spacing w:val="-8"/>
                <w:sz w:val="21"/>
                <w:szCs w:val="21"/>
              </w:rPr>
            </w:pPr>
            <w:r>
              <w:rPr>
                <w:rFonts w:hint="eastAsia" w:ascii="宋体" w:hAnsi="宋体"/>
                <w:b/>
                <w:bCs w:val="0"/>
                <w:color w:val="000000" w:themeColor="text1"/>
                <w:sz w:val="21"/>
                <w:szCs w:val="21"/>
              </w:rPr>
              <w:t>（</w:t>
            </w:r>
            <w:r>
              <w:rPr>
                <w:rFonts w:hint="eastAsia" w:ascii="宋体" w:hAnsi="宋体"/>
                <w:b/>
                <w:bCs w:val="0"/>
                <w:color w:val="000000" w:themeColor="text1"/>
                <w:spacing w:val="-8"/>
                <w:sz w:val="21"/>
                <w:szCs w:val="21"/>
              </w:rPr>
              <w:t>职业健康安全危险源</w:t>
            </w:r>
            <w:r>
              <w:rPr>
                <w:rFonts w:hint="eastAsia" w:ascii="宋体" w:hAnsi="宋体"/>
                <w:b/>
                <w:bCs w:val="0"/>
                <w:color w:val="000000" w:themeColor="text1"/>
                <w:sz w:val="21"/>
                <w:szCs w:val="21"/>
              </w:rPr>
              <w:t>辨识是否充分、风险评价合理性，</w:t>
            </w:r>
            <w:r>
              <w:rPr>
                <w:rFonts w:hint="eastAsia" w:ascii="宋体" w:hAnsi="宋体"/>
                <w:b/>
                <w:bCs w:val="0"/>
                <w:color w:val="000000" w:themeColor="text1"/>
                <w:spacing w:val="-8"/>
                <w:sz w:val="21"/>
                <w:szCs w:val="21"/>
              </w:rPr>
              <w:t>以及风险评价动态变更的及时性等）</w:t>
            </w:r>
          </w:p>
          <w:p>
            <w:pPr>
              <w:spacing w:line="300" w:lineRule="exact"/>
              <w:ind w:firstLine="422" w:firstLineChars="200"/>
              <w:rPr>
                <w:rFonts w:ascii="宋体" w:hAnsi="宋体"/>
                <w:b/>
                <w:bCs w:val="0"/>
                <w:color w:val="000000" w:themeColor="text1"/>
                <w:sz w:val="21"/>
                <w:szCs w:val="21"/>
              </w:rPr>
            </w:pPr>
            <w:r>
              <w:rPr>
                <w:rFonts w:hint="eastAsia" w:ascii="宋体" w:hAnsi="宋体"/>
                <w:b/>
                <w:bCs w:val="0"/>
                <w:color w:val="000000" w:themeColor="text1"/>
                <w:sz w:val="21"/>
                <w:szCs w:val="21"/>
              </w:rPr>
              <w:t>组织建立了危险源识别、评价控制程序，识别评价了危险源、风险相关的过程，评价出了重要危险源，与之相关的过程有安装，针对重要危险源制定了管理方案。控制措施实施有效。</w:t>
            </w:r>
          </w:p>
          <w:p>
            <w:pPr>
              <w:spacing w:line="300" w:lineRule="exact"/>
              <w:ind w:firstLine="422" w:firstLineChars="200"/>
              <w:rPr>
                <w:rFonts w:ascii="宋体" w:hAnsi="宋体"/>
                <w:b/>
                <w:bCs w:val="0"/>
                <w:color w:val="000000" w:themeColor="text1"/>
                <w:sz w:val="21"/>
                <w:szCs w:val="21"/>
              </w:rPr>
            </w:pPr>
            <w:r>
              <w:rPr>
                <w:rFonts w:hint="eastAsia" w:ascii="宋体" w:hAnsi="宋体"/>
                <w:b/>
                <w:bCs w:val="0"/>
                <w:color w:val="000000" w:themeColor="text1"/>
                <w:sz w:val="21"/>
                <w:szCs w:val="21"/>
              </w:rPr>
              <w:t>不可接受危险源：火灾、触电、物体打击、机械伤害、坍塌或垮塌、高处坠落、中暑、食物中毒、暴雨和洪水等制定管理方案和应急预案，控制有效。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948" w:type="dxa"/>
            <w:vMerge w:val="continue"/>
            <w:vAlign w:val="center"/>
          </w:tcPr>
          <w:p>
            <w:pPr>
              <w:spacing w:line="240" w:lineRule="exact"/>
              <w:jc w:val="center"/>
              <w:rPr>
                <w:b/>
                <w:color w:val="000000" w:themeColor="text1"/>
                <w:sz w:val="20"/>
              </w:rPr>
            </w:pPr>
          </w:p>
        </w:tc>
        <w:tc>
          <w:tcPr>
            <w:tcW w:w="8970" w:type="dxa"/>
          </w:tcPr>
          <w:p>
            <w:pPr>
              <w:spacing w:line="300" w:lineRule="exact"/>
              <w:rPr>
                <w:b/>
                <w:bCs w:val="0"/>
                <w:color w:val="000000" w:themeColor="text1"/>
                <w:spacing w:val="-4"/>
                <w:sz w:val="21"/>
                <w:szCs w:val="21"/>
              </w:rPr>
            </w:pPr>
            <w:r>
              <w:rPr>
                <w:rFonts w:hint="eastAsia"/>
                <w:b/>
                <w:bCs w:val="0"/>
                <w:color w:val="000000" w:themeColor="text1"/>
                <w:sz w:val="21"/>
                <w:szCs w:val="21"/>
              </w:rPr>
              <w:t xml:space="preserve">8. </w:t>
            </w:r>
            <w:r>
              <w:rPr>
                <w:rFonts w:hint="eastAsia" w:ascii="宋体" w:hAnsi="宋体"/>
                <w:b/>
                <w:bCs w:val="0"/>
                <w:color w:val="000000" w:themeColor="text1"/>
                <w:spacing w:val="-4"/>
                <w:sz w:val="21"/>
                <w:szCs w:val="21"/>
              </w:rPr>
              <w:t>法律法规及其他要求</w:t>
            </w:r>
          </w:p>
          <w:p>
            <w:pPr>
              <w:tabs>
                <w:tab w:val="left" w:pos="540"/>
              </w:tabs>
              <w:spacing w:line="300" w:lineRule="exact"/>
              <w:ind w:left="211" w:hanging="211" w:hangingChars="100"/>
              <w:rPr>
                <w:rFonts w:ascii="宋体" w:hAnsi="宋体"/>
                <w:b/>
                <w:bCs w:val="0"/>
                <w:color w:val="000000" w:themeColor="text1"/>
                <w:sz w:val="21"/>
                <w:szCs w:val="21"/>
              </w:rPr>
            </w:pPr>
          </w:p>
          <w:p>
            <w:pPr>
              <w:pStyle w:val="13"/>
              <w:numPr>
                <w:ilvl w:val="0"/>
                <w:numId w:val="2"/>
              </w:numPr>
              <w:tabs>
                <w:tab w:val="left" w:pos="540"/>
              </w:tabs>
              <w:spacing w:line="300" w:lineRule="exact"/>
              <w:ind w:firstLineChars="0"/>
              <w:rPr>
                <w:rFonts w:ascii="宋体" w:hAnsi="宋体"/>
                <w:b/>
                <w:bCs w:val="0"/>
                <w:color w:val="000000" w:themeColor="text1"/>
                <w:sz w:val="21"/>
                <w:szCs w:val="21"/>
                <w:u w:val="single"/>
              </w:rPr>
            </w:pPr>
            <w:r>
              <w:rPr>
                <w:rFonts w:hint="eastAsia" w:ascii="宋体" w:hAnsi="宋体"/>
                <w:b/>
                <w:bCs w:val="0"/>
                <w:color w:val="000000" w:themeColor="text1"/>
                <w:sz w:val="21"/>
                <w:szCs w:val="21"/>
              </w:rPr>
              <w:t>获取法律法规项，■法律法规获取充分，□法律法规获取有遗漏，缺少</w:t>
            </w:r>
          </w:p>
          <w:p>
            <w:pPr>
              <w:pStyle w:val="13"/>
              <w:numPr>
                <w:ilvl w:val="0"/>
                <w:numId w:val="2"/>
              </w:numPr>
              <w:tabs>
                <w:tab w:val="left" w:pos="540"/>
              </w:tabs>
              <w:spacing w:line="300" w:lineRule="exact"/>
              <w:ind w:firstLineChars="0"/>
              <w:rPr>
                <w:rFonts w:ascii="宋体" w:hAnsi="宋体"/>
                <w:b/>
                <w:bCs w:val="0"/>
                <w:color w:val="000000" w:themeColor="text1"/>
                <w:sz w:val="21"/>
                <w:szCs w:val="21"/>
              </w:rPr>
            </w:pPr>
            <w:r>
              <w:rPr>
                <w:rFonts w:hint="eastAsia" w:ascii="宋体" w:hAnsi="宋体"/>
                <w:b/>
                <w:bCs w:val="0"/>
                <w:color w:val="000000" w:themeColor="text1"/>
                <w:sz w:val="21"/>
                <w:szCs w:val="21"/>
              </w:rPr>
              <w:t>结合公司的■产品/服务■环境因素■危险源，■确定 □未确定法律法规要求的具体条款，</w:t>
            </w:r>
          </w:p>
          <w:p>
            <w:pPr>
              <w:pStyle w:val="13"/>
              <w:numPr>
                <w:ilvl w:val="0"/>
                <w:numId w:val="2"/>
              </w:numPr>
              <w:tabs>
                <w:tab w:val="left" w:pos="540"/>
              </w:tabs>
              <w:spacing w:line="300" w:lineRule="exact"/>
              <w:ind w:firstLineChars="0"/>
              <w:rPr>
                <w:rFonts w:ascii="宋体" w:hAnsi="宋体"/>
                <w:b/>
                <w:bCs w:val="0"/>
                <w:color w:val="000000" w:themeColor="text1"/>
                <w:sz w:val="21"/>
                <w:szCs w:val="21"/>
              </w:rPr>
            </w:pPr>
            <w:r>
              <w:rPr>
                <w:rFonts w:hint="eastAsia" w:ascii="宋体" w:hAnsi="宋体"/>
                <w:b/>
                <w:bCs w:val="0"/>
                <w:color w:val="000000" w:themeColor="text1"/>
                <w:sz w:val="21"/>
                <w:szCs w:val="21"/>
              </w:rPr>
              <w:t>法律法规的宣传方式：培训、会议、张贴。</w:t>
            </w:r>
          </w:p>
          <w:p>
            <w:pPr>
              <w:pStyle w:val="13"/>
              <w:numPr>
                <w:ilvl w:val="0"/>
                <w:numId w:val="2"/>
              </w:numPr>
              <w:tabs>
                <w:tab w:val="left" w:pos="540"/>
              </w:tabs>
              <w:spacing w:line="300" w:lineRule="exact"/>
              <w:ind w:firstLineChars="0"/>
              <w:rPr>
                <w:rFonts w:ascii="宋体" w:hAnsi="宋体"/>
                <w:b/>
                <w:bCs w:val="0"/>
                <w:color w:val="000000" w:themeColor="text1"/>
                <w:sz w:val="21"/>
                <w:szCs w:val="21"/>
              </w:rPr>
            </w:pPr>
            <w:r>
              <w:rPr>
                <w:rFonts w:hint="eastAsia" w:ascii="宋体" w:hAnsi="宋体"/>
                <w:b/>
                <w:bCs w:val="0"/>
                <w:color w:val="000000" w:themeColor="text1"/>
                <w:sz w:val="21"/>
                <w:szCs w:val="21"/>
              </w:rPr>
              <w:t>法律法规要求及时更新了</w:t>
            </w:r>
          </w:p>
          <w:p>
            <w:pPr>
              <w:tabs>
                <w:tab w:val="left" w:pos="0"/>
              </w:tabs>
              <w:spacing w:line="240" w:lineRule="exact"/>
              <w:rPr>
                <w:b/>
                <w:bCs w:val="0"/>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948" w:type="dxa"/>
            <w:vMerge w:val="continue"/>
            <w:vAlign w:val="center"/>
          </w:tcPr>
          <w:p>
            <w:pPr>
              <w:spacing w:line="240" w:lineRule="exact"/>
              <w:jc w:val="center"/>
              <w:rPr>
                <w:b/>
                <w:color w:val="000000" w:themeColor="text1"/>
                <w:sz w:val="20"/>
              </w:rPr>
            </w:pPr>
          </w:p>
        </w:tc>
        <w:tc>
          <w:tcPr>
            <w:tcW w:w="8970" w:type="dxa"/>
          </w:tcPr>
          <w:p>
            <w:pPr>
              <w:spacing w:line="300" w:lineRule="exact"/>
              <w:rPr>
                <w:rFonts w:ascii="宋体" w:hAnsi="宋体"/>
                <w:b/>
                <w:bCs w:val="0"/>
                <w:color w:val="000000" w:themeColor="text1"/>
                <w:sz w:val="21"/>
                <w:szCs w:val="21"/>
              </w:rPr>
            </w:pPr>
            <w:r>
              <w:rPr>
                <w:rFonts w:hint="eastAsia"/>
                <w:b/>
                <w:bCs w:val="0"/>
                <w:color w:val="000000" w:themeColor="text1"/>
                <w:sz w:val="21"/>
                <w:szCs w:val="21"/>
              </w:rPr>
              <w:t xml:space="preserve">9. </w:t>
            </w:r>
            <w:r>
              <w:rPr>
                <w:rFonts w:hint="eastAsia" w:ascii="宋体" w:hAnsi="宋体"/>
                <w:b/>
                <w:bCs w:val="0"/>
                <w:color w:val="000000" w:themeColor="text1"/>
                <w:sz w:val="21"/>
                <w:szCs w:val="21"/>
              </w:rPr>
              <w:t>目标、方案</w:t>
            </w:r>
          </w:p>
          <w:p>
            <w:pPr>
              <w:spacing w:line="300" w:lineRule="exact"/>
              <w:rPr>
                <w:rFonts w:ascii="宋体" w:hAnsi="宋体"/>
                <w:b/>
                <w:bCs w:val="0"/>
                <w:color w:val="000000" w:themeColor="text1"/>
                <w:sz w:val="21"/>
                <w:szCs w:val="21"/>
              </w:rPr>
            </w:pPr>
            <w:r>
              <w:rPr>
                <w:rFonts w:hint="eastAsia"/>
                <w:b/>
                <w:bCs w:val="0"/>
                <w:color w:val="000000" w:themeColor="text1"/>
                <w:sz w:val="21"/>
                <w:szCs w:val="21"/>
              </w:rPr>
              <w:t>（</w:t>
            </w:r>
            <w:r>
              <w:rPr>
                <w:rFonts w:hint="eastAsia" w:ascii="宋体" w:hAnsi="宋体"/>
                <w:b/>
                <w:bCs w:val="0"/>
                <w:color w:val="000000" w:themeColor="text1"/>
                <w:spacing w:val="-4"/>
                <w:sz w:val="21"/>
                <w:szCs w:val="21"/>
              </w:rPr>
              <w:t>在相关层次上建立</w:t>
            </w:r>
            <w:r>
              <w:rPr>
                <w:rFonts w:hint="eastAsia" w:ascii="宋体" w:hAnsi="宋体"/>
                <w:b/>
                <w:bCs w:val="0"/>
                <w:color w:val="000000" w:themeColor="text1"/>
                <w:sz w:val="21"/>
                <w:szCs w:val="21"/>
              </w:rPr>
              <w:t>可测量的目标，目标、方案的有效性，对质量目标的实现情况进行评价并叙述测量方法）</w:t>
            </w:r>
          </w:p>
          <w:p>
            <w:pPr>
              <w:spacing w:line="300" w:lineRule="exact"/>
              <w:ind w:firstLine="422" w:firstLineChars="200"/>
              <w:rPr>
                <w:rFonts w:ascii="宋体" w:hAnsi="宋体"/>
                <w:b/>
                <w:bCs w:val="0"/>
                <w:color w:val="000000" w:themeColor="text1"/>
                <w:sz w:val="21"/>
                <w:szCs w:val="21"/>
              </w:rPr>
            </w:pPr>
            <w:r>
              <w:rPr>
                <w:rFonts w:hint="eastAsia" w:ascii="宋体" w:hAnsi="宋体" w:cs="宋体"/>
                <w:b/>
                <w:bCs w:val="0"/>
                <w:color w:val="000000"/>
                <w:kern w:val="0"/>
                <w:sz w:val="21"/>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948" w:type="dxa"/>
            <w:vMerge w:val="continue"/>
            <w:vAlign w:val="center"/>
          </w:tcPr>
          <w:p>
            <w:pPr>
              <w:spacing w:line="240" w:lineRule="exact"/>
              <w:jc w:val="center"/>
              <w:rPr>
                <w:b/>
                <w:color w:val="000000" w:themeColor="text1"/>
                <w:sz w:val="20"/>
              </w:rPr>
            </w:pPr>
          </w:p>
        </w:tc>
        <w:tc>
          <w:tcPr>
            <w:tcW w:w="8970" w:type="dxa"/>
          </w:tcPr>
          <w:p>
            <w:pPr>
              <w:spacing w:line="240" w:lineRule="exact"/>
              <w:rPr>
                <w:rFonts w:ascii="宋体" w:hAnsi="宋体"/>
                <w:b/>
                <w:bCs w:val="0"/>
                <w:color w:val="000000" w:themeColor="text1"/>
                <w:sz w:val="21"/>
                <w:szCs w:val="21"/>
              </w:rPr>
            </w:pPr>
            <w:r>
              <w:rPr>
                <w:rFonts w:hint="eastAsia"/>
                <w:b/>
                <w:bCs w:val="0"/>
                <w:color w:val="000000" w:themeColor="text1"/>
                <w:sz w:val="21"/>
                <w:szCs w:val="21"/>
              </w:rPr>
              <w:t>10. 文件与记录控制 (</w:t>
            </w:r>
            <w:r>
              <w:rPr>
                <w:rFonts w:hint="eastAsia" w:ascii="宋体" w:hAnsi="宋体"/>
                <w:b/>
                <w:bCs w:val="0"/>
                <w:color w:val="000000" w:themeColor="text1"/>
                <w:sz w:val="21"/>
                <w:szCs w:val="21"/>
              </w:rPr>
              <w:t>文审修订后文件与标准的符合程度评价、</w:t>
            </w:r>
            <w:r>
              <w:rPr>
                <w:rFonts w:hint="eastAsia" w:ascii="宋体" w:hAnsi="宋体"/>
                <w:b/>
                <w:bCs w:val="0"/>
                <w:color w:val="000000" w:themeColor="text1"/>
                <w:spacing w:val="-4"/>
                <w:sz w:val="21"/>
                <w:szCs w:val="21"/>
              </w:rPr>
              <w:t>文件</w:t>
            </w:r>
            <w:r>
              <w:rPr>
                <w:rFonts w:hint="eastAsia" w:ascii="宋体" w:hAnsi="宋体"/>
                <w:b/>
                <w:bCs w:val="0"/>
                <w:color w:val="000000" w:themeColor="text1"/>
                <w:sz w:val="21"/>
                <w:szCs w:val="21"/>
              </w:rPr>
              <w:t>控制管理等)</w:t>
            </w:r>
          </w:p>
          <w:p>
            <w:pPr>
              <w:tabs>
                <w:tab w:val="left" w:pos="540"/>
              </w:tabs>
              <w:spacing w:line="240" w:lineRule="exact"/>
              <w:ind w:firstLine="422" w:firstLineChars="200"/>
              <w:rPr>
                <w:rFonts w:ascii="宋体" w:hAnsi="宋体"/>
                <w:b/>
                <w:bCs w:val="0"/>
                <w:color w:val="000000" w:themeColor="text1"/>
                <w:sz w:val="21"/>
                <w:szCs w:val="21"/>
              </w:rPr>
            </w:pPr>
            <w:r>
              <w:rPr>
                <w:rFonts w:hint="eastAsia" w:ascii="宋体" w:hAnsi="宋体" w:cs="宋体"/>
                <w:b/>
                <w:bCs w:val="0"/>
                <w:color w:val="000000" w:themeColor="text1"/>
                <w:sz w:val="21"/>
                <w:szCs w:val="21"/>
              </w:rPr>
              <w:t>公司按照申请认证的标准要求，建立并形成了文件化的</w:t>
            </w:r>
            <w:r>
              <w:rPr>
                <w:rFonts w:hint="eastAsia" w:ascii="宋体" w:hAnsi="宋体"/>
                <w:b/>
                <w:bCs w:val="0"/>
                <w:color w:val="000000" w:themeColor="text1"/>
                <w:sz w:val="21"/>
                <w:szCs w:val="21"/>
              </w:rPr>
              <w:t>环境和职业健康安全</w:t>
            </w:r>
            <w:r>
              <w:rPr>
                <w:rFonts w:hint="eastAsia" w:ascii="宋体" w:hAnsi="宋体" w:cs="宋体"/>
                <w:b/>
                <w:bCs w:val="0"/>
                <w:color w:val="000000" w:themeColor="text1"/>
                <w:sz w:val="21"/>
                <w:szCs w:val="21"/>
              </w:rPr>
              <w:t>管理体系，体系文件对管理体系各过程进行了识别确定、明确了各要素间的相互关系及其管控要求。公司体系文件于</w:t>
            </w:r>
            <w:r>
              <w:rPr>
                <w:rFonts w:hint="eastAsia" w:ascii="宋体" w:hAnsi="宋体" w:cs="Arial"/>
                <w:b/>
                <w:bCs w:val="0"/>
                <w:color w:val="000000" w:themeColor="text1"/>
                <w:sz w:val="21"/>
                <w:szCs w:val="21"/>
              </w:rPr>
              <w:t xml:space="preserve">2019 </w:t>
            </w:r>
            <w:r>
              <w:rPr>
                <w:rFonts w:hint="eastAsia" w:ascii="宋体" w:hAnsi="宋体" w:cs="宋体"/>
                <w:b/>
                <w:bCs w:val="0"/>
                <w:color w:val="000000" w:themeColor="text1"/>
                <w:sz w:val="21"/>
                <w:szCs w:val="21"/>
              </w:rPr>
              <w:t>年1月</w:t>
            </w:r>
            <w:r>
              <w:rPr>
                <w:rFonts w:ascii="宋体" w:hAnsi="宋体" w:cs="宋体"/>
                <w:b/>
                <w:bCs w:val="0"/>
                <w:color w:val="000000" w:themeColor="text1"/>
                <w:sz w:val="21"/>
                <w:szCs w:val="21"/>
              </w:rPr>
              <w:t>10</w:t>
            </w:r>
            <w:r>
              <w:rPr>
                <w:rFonts w:hint="eastAsia" w:ascii="宋体" w:hAnsi="宋体" w:cs="宋体"/>
                <w:b/>
                <w:bCs w:val="0"/>
                <w:color w:val="000000" w:themeColor="text1"/>
                <w:sz w:val="21"/>
                <w:szCs w:val="2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948"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8970" w:type="dxa"/>
          </w:tcPr>
          <w:p>
            <w:pPr>
              <w:spacing w:line="300" w:lineRule="exact"/>
              <w:rPr>
                <w:b/>
                <w:bCs w:val="0"/>
                <w:color w:val="000000" w:themeColor="text1"/>
                <w:sz w:val="21"/>
                <w:szCs w:val="21"/>
              </w:rPr>
            </w:pPr>
            <w:r>
              <w:rPr>
                <w:rFonts w:hint="eastAsia" w:ascii="宋体" w:hAnsi="宋体"/>
                <w:b/>
                <w:bCs w:val="0"/>
                <w:color w:val="000000" w:themeColor="text1"/>
                <w:sz w:val="21"/>
                <w:szCs w:val="21"/>
              </w:rPr>
              <w:t>人力资源的简要说明</w:t>
            </w:r>
            <w:r>
              <w:rPr>
                <w:rFonts w:hint="eastAsia"/>
                <w:b/>
                <w:bCs w:val="0"/>
                <w:color w:val="000000" w:themeColor="text1"/>
                <w:sz w:val="21"/>
                <w:szCs w:val="21"/>
              </w:rPr>
              <w:t>.</w:t>
            </w:r>
            <w:r>
              <w:rPr>
                <w:rFonts w:hint="eastAsia" w:ascii="宋体" w:hAnsi="宋体"/>
                <w:b/>
                <w:bCs w:val="0"/>
                <w:color w:val="000000" w:themeColor="text1"/>
                <w:sz w:val="21"/>
                <w:szCs w:val="21"/>
              </w:rPr>
              <w:t>:</w:t>
            </w:r>
          </w:p>
          <w:p>
            <w:pPr>
              <w:tabs>
                <w:tab w:val="left" w:pos="2552"/>
              </w:tabs>
              <w:spacing w:line="0" w:lineRule="atLeast"/>
              <w:ind w:firstLine="422" w:firstLineChars="200"/>
              <w:rPr>
                <w:rFonts w:ascii="宋体" w:hAnsi="宋体"/>
                <w:b/>
                <w:bCs w:val="0"/>
                <w:iCs/>
                <w:sz w:val="21"/>
                <w:szCs w:val="21"/>
              </w:rPr>
            </w:pPr>
            <w:r>
              <w:rPr>
                <w:rFonts w:hint="eastAsia" w:ascii="宋体" w:hAnsi="宋体"/>
                <w:b/>
                <w:bCs w:val="0"/>
                <w:iCs/>
                <w:sz w:val="21"/>
                <w:szCs w:val="21"/>
              </w:rPr>
              <w:t>组织按管理体系需求配置了充足的人员、设施、监视和测量设备等资源，并建立维持了</w:t>
            </w:r>
            <w:r>
              <w:rPr>
                <w:rFonts w:hint="eastAsia" w:ascii="宋体" w:hAnsi="宋体"/>
                <w:b/>
                <w:bCs w:val="0"/>
                <w:sz w:val="21"/>
                <w:szCs w:val="21"/>
              </w:rPr>
              <w:t>人力资源管理</w:t>
            </w:r>
            <w:r>
              <w:rPr>
                <w:rFonts w:hint="eastAsia" w:ascii="宋体" w:hAnsi="宋体"/>
                <w:b/>
                <w:bCs w:val="0"/>
                <w:iCs/>
                <w:sz w:val="21"/>
                <w:szCs w:val="21"/>
              </w:rPr>
              <w:t>及相关服务运行环境，可以维持管理体系的正常运行。</w:t>
            </w:r>
          </w:p>
          <w:p>
            <w:pPr>
              <w:spacing w:line="300" w:lineRule="exact"/>
              <w:rPr>
                <w:rFonts w:ascii="宋体" w:hAnsi="宋体"/>
                <w:b/>
                <w:bCs w:val="0"/>
                <w:color w:val="000000" w:themeColor="text1"/>
                <w:sz w:val="21"/>
                <w:szCs w:val="21"/>
              </w:rPr>
            </w:pPr>
            <w:r>
              <w:rPr>
                <w:rFonts w:hint="eastAsia" w:ascii="宋体" w:hAnsi="宋体"/>
                <w:b/>
                <w:bCs w:val="0"/>
                <w:iCs/>
                <w:sz w:val="21"/>
                <w:szCs w:val="21"/>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948" w:type="dxa"/>
            <w:vMerge w:val="continue"/>
            <w:textDirection w:val="tbRlV"/>
            <w:vAlign w:val="center"/>
          </w:tcPr>
          <w:p>
            <w:pPr>
              <w:spacing w:line="240" w:lineRule="exact"/>
              <w:ind w:left="113" w:right="113"/>
              <w:jc w:val="center"/>
              <w:rPr>
                <w:b/>
                <w:color w:val="000000" w:themeColor="text1"/>
                <w:szCs w:val="21"/>
              </w:rPr>
            </w:pPr>
          </w:p>
        </w:tc>
        <w:tc>
          <w:tcPr>
            <w:tcW w:w="8970" w:type="dxa"/>
          </w:tcPr>
          <w:p>
            <w:pPr>
              <w:spacing w:line="240" w:lineRule="exact"/>
              <w:rPr>
                <w:rFonts w:ascii="宋体" w:hAnsi="宋体"/>
                <w:b/>
                <w:bCs w:val="0"/>
                <w:color w:val="000000" w:themeColor="text1"/>
                <w:sz w:val="21"/>
                <w:szCs w:val="21"/>
              </w:rPr>
            </w:pPr>
            <w:r>
              <w:rPr>
                <w:rFonts w:hint="eastAsia" w:ascii="宋体" w:hAnsi="宋体"/>
                <w:b/>
                <w:bCs w:val="0"/>
                <w:color w:val="000000" w:themeColor="text1"/>
                <w:sz w:val="21"/>
                <w:szCs w:val="21"/>
              </w:rPr>
              <w:t>设备设施（包括信息系统）、</w:t>
            </w:r>
          </w:p>
          <w:p>
            <w:pPr>
              <w:spacing w:line="400" w:lineRule="exact"/>
              <w:ind w:firstLine="422" w:firstLineChars="200"/>
              <w:rPr>
                <w:rFonts w:ascii="宋体" w:hAnsi="宋体"/>
                <w:b/>
                <w:bCs w:val="0"/>
                <w:color w:val="000000"/>
                <w:spacing w:val="-10"/>
                <w:sz w:val="21"/>
                <w:szCs w:val="21"/>
              </w:rPr>
            </w:pPr>
            <w:r>
              <w:rPr>
                <w:rFonts w:hint="eastAsia" w:ascii="宋体" w:hAnsi="宋体"/>
                <w:b/>
                <w:bCs w:val="0"/>
                <w:sz w:val="21"/>
                <w:szCs w:val="21"/>
              </w:rPr>
              <w:t>办公场</w:t>
            </w:r>
            <w:r>
              <w:rPr>
                <w:rFonts w:hint="eastAsia" w:ascii="宋体" w:hAnsi="宋体" w:cs="宋体"/>
                <w:b/>
                <w:bCs w:val="0"/>
                <w:sz w:val="21"/>
                <w:szCs w:val="21"/>
              </w:rPr>
              <w:t>所面积</w:t>
            </w:r>
            <w:r>
              <w:rPr>
                <w:rFonts w:ascii="宋体" w:hAnsi="宋体" w:cs="宋体"/>
                <w:b/>
                <w:bCs w:val="0"/>
                <w:sz w:val="21"/>
                <w:szCs w:val="21"/>
              </w:rPr>
              <w:t>2</w:t>
            </w:r>
            <w:r>
              <w:rPr>
                <w:rFonts w:hint="eastAsia" w:ascii="宋体" w:hAnsi="宋体" w:cs="宋体"/>
                <w:b/>
                <w:bCs w:val="0"/>
                <w:sz w:val="21"/>
                <w:szCs w:val="21"/>
              </w:rPr>
              <w:t>00平方左右。主要生产设备包括</w:t>
            </w:r>
            <w:r>
              <w:rPr>
                <w:rFonts w:hint="eastAsia" w:ascii="宋体" w:hAnsi="宋体"/>
                <w:b/>
                <w:bCs w:val="0"/>
                <w:color w:val="000000"/>
                <w:spacing w:val="-10"/>
                <w:sz w:val="21"/>
                <w:szCs w:val="21"/>
              </w:rPr>
              <w:t>反铲挖掘机</w:t>
            </w:r>
            <w:r>
              <w:rPr>
                <w:rFonts w:ascii="宋体" w:hAnsi="宋体"/>
                <w:b/>
                <w:bCs w:val="0"/>
                <w:color w:val="000000"/>
                <w:spacing w:val="-10"/>
                <w:sz w:val="21"/>
                <w:szCs w:val="21"/>
              </w:rPr>
              <w:t>4</w:t>
            </w:r>
            <w:r>
              <w:rPr>
                <w:rFonts w:hint="eastAsia" w:ascii="宋体" w:hAnsi="宋体"/>
                <w:b/>
                <w:bCs w:val="0"/>
                <w:color w:val="000000"/>
                <w:spacing w:val="-10"/>
                <w:sz w:val="21"/>
                <w:szCs w:val="21"/>
              </w:rPr>
              <w:t>台、东风自卸车</w:t>
            </w:r>
            <w:r>
              <w:rPr>
                <w:rFonts w:ascii="宋体" w:hAnsi="宋体"/>
                <w:b/>
                <w:bCs w:val="0"/>
                <w:color w:val="000000"/>
                <w:spacing w:val="-10"/>
                <w:sz w:val="21"/>
                <w:szCs w:val="21"/>
              </w:rPr>
              <w:t>1</w:t>
            </w:r>
            <w:r>
              <w:rPr>
                <w:rFonts w:hint="eastAsia" w:ascii="宋体" w:hAnsi="宋体"/>
                <w:b/>
                <w:bCs w:val="0"/>
                <w:color w:val="000000"/>
                <w:spacing w:val="-10"/>
                <w:sz w:val="21"/>
                <w:szCs w:val="21"/>
              </w:rPr>
              <w:t>0辆、电渣压力焊2台、直流电焊机2台、交流电焊机2台、钢筋对焊机2台、钢筋弯曲机2台、钢筋调直机2台、钢筋切断机2台、振动棒20个、压路机、水车、混凝土搅拌机等</w:t>
            </w:r>
            <w:r>
              <w:rPr>
                <w:rFonts w:hint="eastAsia" w:ascii="宋体" w:hAnsi="宋体" w:cs="宋体"/>
                <w:b/>
                <w:bCs w:val="0"/>
                <w:sz w:val="21"/>
                <w:szCs w:val="21"/>
              </w:rPr>
              <w:t>。特种设备：塔吊租赁。控制有效。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948" w:type="dxa"/>
            <w:vMerge w:val="continue"/>
            <w:textDirection w:val="tbRlV"/>
            <w:vAlign w:val="center"/>
          </w:tcPr>
          <w:p>
            <w:pPr>
              <w:spacing w:line="240" w:lineRule="exact"/>
              <w:ind w:left="113" w:right="113"/>
              <w:jc w:val="center"/>
              <w:rPr>
                <w:b/>
                <w:color w:val="000000" w:themeColor="text1"/>
                <w:szCs w:val="21"/>
              </w:rPr>
            </w:pPr>
          </w:p>
        </w:tc>
        <w:tc>
          <w:tcPr>
            <w:tcW w:w="8970" w:type="dxa"/>
          </w:tcPr>
          <w:p>
            <w:pPr>
              <w:spacing w:line="240" w:lineRule="exact"/>
              <w:rPr>
                <w:rFonts w:ascii="宋体" w:hAnsi="宋体"/>
                <w:b/>
                <w:bCs w:val="0"/>
                <w:color w:val="000000" w:themeColor="text1"/>
                <w:sz w:val="21"/>
                <w:szCs w:val="21"/>
              </w:rPr>
            </w:pPr>
            <w:r>
              <w:rPr>
                <w:rFonts w:hint="eastAsia" w:ascii="宋体" w:hAnsi="宋体"/>
                <w:b/>
                <w:bCs w:val="0"/>
                <w:color w:val="000000" w:themeColor="text1"/>
                <w:sz w:val="21"/>
                <w:szCs w:val="21"/>
              </w:rPr>
              <w:t>过程运行环境</w:t>
            </w:r>
          </w:p>
          <w:p>
            <w:pPr>
              <w:spacing w:line="240" w:lineRule="exact"/>
              <w:ind w:firstLine="422" w:firstLineChars="200"/>
              <w:rPr>
                <w:rFonts w:ascii="宋体" w:hAnsi="宋体"/>
                <w:b/>
                <w:bCs w:val="0"/>
                <w:color w:val="000000" w:themeColor="text1"/>
                <w:sz w:val="21"/>
                <w:szCs w:val="21"/>
              </w:rPr>
            </w:pPr>
            <w:r>
              <w:rPr>
                <w:rFonts w:hint="eastAsia" w:ascii="宋体" w:hAnsi="宋体" w:cs="宋体"/>
                <w:b/>
                <w:bCs w:val="0"/>
                <w:sz w:val="21"/>
                <w:szCs w:val="21"/>
              </w:rPr>
              <w:t>办公、培训场所和内设备布置合理，通道畅通，照明设施齐全，均配备了消防设施等设施。办公室明亮，培训场所光线较充足。每月由行政部对工作环境进行定期检查。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948" w:type="dxa"/>
            <w:vMerge w:val="continue"/>
            <w:textDirection w:val="tbRlV"/>
            <w:vAlign w:val="center"/>
          </w:tcPr>
          <w:p>
            <w:pPr>
              <w:spacing w:line="240" w:lineRule="exact"/>
              <w:ind w:left="113" w:right="113"/>
              <w:jc w:val="center"/>
              <w:rPr>
                <w:b/>
                <w:color w:val="000000" w:themeColor="text1"/>
                <w:szCs w:val="21"/>
              </w:rPr>
            </w:pPr>
          </w:p>
        </w:tc>
        <w:tc>
          <w:tcPr>
            <w:tcW w:w="8970" w:type="dxa"/>
          </w:tcPr>
          <w:p>
            <w:pPr>
              <w:spacing w:line="240" w:lineRule="exact"/>
              <w:rPr>
                <w:rFonts w:ascii="宋体" w:hAnsi="宋体"/>
                <w:b/>
                <w:bCs w:val="0"/>
                <w:color w:val="000000" w:themeColor="text1"/>
                <w:sz w:val="21"/>
                <w:szCs w:val="21"/>
              </w:rPr>
            </w:pPr>
            <w:r>
              <w:rPr>
                <w:rFonts w:hint="eastAsia" w:ascii="宋体" w:hAnsi="宋体"/>
                <w:b/>
                <w:bCs w:val="0"/>
                <w:color w:val="000000" w:themeColor="text1"/>
                <w:sz w:val="21"/>
                <w:szCs w:val="21"/>
              </w:rPr>
              <w:t>监视和测量资源</w:t>
            </w:r>
          </w:p>
          <w:p>
            <w:pPr>
              <w:spacing w:line="240" w:lineRule="exact"/>
              <w:rPr>
                <w:rFonts w:ascii="宋体" w:hAnsi="宋体"/>
                <w:b/>
                <w:bCs w:val="0"/>
                <w:color w:val="000000" w:themeColor="text1"/>
                <w:sz w:val="21"/>
                <w:szCs w:val="21"/>
              </w:rPr>
            </w:pPr>
            <w:r>
              <w:rPr>
                <w:rFonts w:hint="eastAsia" w:ascii="宋体" w:hAnsi="宋体" w:cs="宋体"/>
                <w:b/>
                <w:bCs w:val="0"/>
                <w:sz w:val="21"/>
                <w:szCs w:val="21"/>
              </w:rPr>
              <w:t xml:space="preserve"> </w:t>
            </w:r>
            <w:r>
              <w:rPr>
                <w:rFonts w:ascii="宋体" w:hAnsi="宋体" w:cs="宋体"/>
                <w:b/>
                <w:bCs w:val="0"/>
                <w:sz w:val="21"/>
                <w:szCs w:val="21"/>
              </w:rPr>
              <w:t xml:space="preserve">   </w:t>
            </w:r>
            <w:r>
              <w:rPr>
                <w:rFonts w:hint="eastAsia" w:ascii="宋体" w:hAnsi="宋体" w:cs="宋体"/>
                <w:b/>
                <w:bCs w:val="0"/>
                <w:sz w:val="21"/>
                <w:szCs w:val="21"/>
              </w:rPr>
              <w:t>水准仪、全站仪、钢卷尺、万用表等，提供在有效期内检定证书。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948" w:type="dxa"/>
            <w:vMerge w:val="continue"/>
            <w:textDirection w:val="tbRlV"/>
            <w:vAlign w:val="center"/>
          </w:tcPr>
          <w:p>
            <w:pPr>
              <w:spacing w:line="240" w:lineRule="exact"/>
              <w:ind w:left="113" w:right="113"/>
              <w:jc w:val="center"/>
              <w:rPr>
                <w:b/>
                <w:color w:val="000000" w:themeColor="text1"/>
                <w:szCs w:val="21"/>
              </w:rPr>
            </w:pPr>
          </w:p>
        </w:tc>
        <w:tc>
          <w:tcPr>
            <w:tcW w:w="8970" w:type="dxa"/>
          </w:tcPr>
          <w:p>
            <w:pPr>
              <w:spacing w:line="240" w:lineRule="exact"/>
              <w:rPr>
                <w:rFonts w:ascii="宋体" w:hAnsi="宋体"/>
                <w:b/>
                <w:bCs w:val="0"/>
                <w:color w:val="000000" w:themeColor="text1"/>
                <w:sz w:val="20"/>
                <w:szCs w:val="20"/>
              </w:rPr>
            </w:pPr>
            <w:r>
              <w:rPr>
                <w:rFonts w:hint="eastAsia" w:ascii="宋体" w:hAnsi="宋体"/>
                <w:b/>
                <w:bCs w:val="0"/>
                <w:color w:val="000000" w:themeColor="text1"/>
                <w:sz w:val="20"/>
                <w:szCs w:val="20"/>
              </w:rPr>
              <w:t>知识</w:t>
            </w:r>
          </w:p>
          <w:p>
            <w:pPr>
              <w:spacing w:line="400" w:lineRule="exact"/>
              <w:ind w:firstLine="316" w:firstLineChars="150"/>
              <w:rPr>
                <w:rFonts w:ascii="宋体" w:hAnsi="宋体" w:cs="宋体"/>
                <w:b/>
                <w:bCs w:val="0"/>
                <w:color w:val="000000"/>
                <w:sz w:val="21"/>
                <w:szCs w:val="21"/>
              </w:rPr>
            </w:pPr>
            <w:r>
              <w:rPr>
                <w:rFonts w:hint="eastAsia" w:ascii="宋体" w:hAnsi="宋体" w:cs="宋体"/>
                <w:b/>
                <w:bCs w:val="0"/>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bCs w:val="0"/>
                <w:color w:val="000000" w:themeColor="text1"/>
                <w:sz w:val="20"/>
                <w:szCs w:val="20"/>
              </w:rPr>
            </w:pPr>
            <w:r>
              <w:rPr>
                <w:rFonts w:hint="eastAsia" w:ascii="宋体" w:hAnsi="宋体" w:cs="宋体"/>
                <w:b/>
                <w:bCs w:val="0"/>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948" w:type="dxa"/>
            <w:vMerge w:val="continue"/>
            <w:textDirection w:val="tbRlV"/>
            <w:vAlign w:val="center"/>
          </w:tcPr>
          <w:p>
            <w:pPr>
              <w:spacing w:line="240" w:lineRule="exact"/>
              <w:ind w:left="113" w:right="113"/>
              <w:jc w:val="center"/>
              <w:rPr>
                <w:b/>
                <w:color w:val="000000" w:themeColor="text1"/>
                <w:szCs w:val="21"/>
              </w:rPr>
            </w:pPr>
          </w:p>
        </w:tc>
        <w:tc>
          <w:tcPr>
            <w:tcW w:w="8970" w:type="dxa"/>
          </w:tcPr>
          <w:p>
            <w:pPr>
              <w:spacing w:line="240" w:lineRule="exact"/>
              <w:rPr>
                <w:rFonts w:ascii="宋体" w:hAnsi="宋体"/>
                <w:b/>
                <w:bCs w:val="0"/>
                <w:sz w:val="20"/>
                <w:szCs w:val="20"/>
              </w:rPr>
            </w:pPr>
            <w:r>
              <w:rPr>
                <w:rFonts w:hint="eastAsia" w:ascii="宋体" w:hAnsi="宋体"/>
                <w:b/>
                <w:bCs w:val="0"/>
                <w:sz w:val="20"/>
                <w:szCs w:val="20"/>
              </w:rPr>
              <w:t>环保设施：</w:t>
            </w:r>
          </w:p>
          <w:p>
            <w:pPr>
              <w:spacing w:line="240" w:lineRule="exact"/>
              <w:ind w:firstLine="402" w:firstLineChars="200"/>
              <w:rPr>
                <w:rFonts w:ascii="宋体" w:hAnsi="宋体"/>
                <w:b/>
                <w:bCs w:val="0"/>
                <w:sz w:val="20"/>
                <w:szCs w:val="20"/>
              </w:rPr>
            </w:pPr>
            <w:r>
              <w:rPr>
                <w:rFonts w:hint="eastAsia" w:ascii="宋体" w:hAnsi="宋体"/>
                <w:b/>
                <w:bCs w:val="0"/>
                <w:sz w:val="20"/>
                <w:szCs w:val="20"/>
              </w:rPr>
              <w:t>消防栓、灭火器、消防砂、消防桶、消防铁锹等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948" w:type="dxa"/>
            <w:vMerge w:val="continue"/>
            <w:textDirection w:val="tbRlV"/>
            <w:vAlign w:val="center"/>
          </w:tcPr>
          <w:p>
            <w:pPr>
              <w:spacing w:line="240" w:lineRule="exact"/>
              <w:ind w:left="113" w:right="113"/>
              <w:jc w:val="center"/>
              <w:rPr>
                <w:b/>
                <w:color w:val="000000" w:themeColor="text1"/>
                <w:szCs w:val="21"/>
              </w:rPr>
            </w:pPr>
          </w:p>
        </w:tc>
        <w:tc>
          <w:tcPr>
            <w:tcW w:w="8970" w:type="dxa"/>
          </w:tcPr>
          <w:p>
            <w:pPr>
              <w:spacing w:line="240" w:lineRule="exact"/>
              <w:rPr>
                <w:rFonts w:ascii="宋体" w:hAnsi="宋体"/>
                <w:b/>
                <w:bCs w:val="0"/>
                <w:sz w:val="20"/>
                <w:szCs w:val="20"/>
              </w:rPr>
            </w:pPr>
            <w:r>
              <w:rPr>
                <w:rFonts w:hint="eastAsia" w:ascii="宋体" w:hAnsi="宋体"/>
                <w:b/>
                <w:bCs w:val="0"/>
                <w:sz w:val="20"/>
                <w:szCs w:val="20"/>
              </w:rPr>
              <w:t>职业健康安全设施：</w:t>
            </w:r>
          </w:p>
          <w:p>
            <w:pPr>
              <w:spacing w:line="240" w:lineRule="exact"/>
              <w:ind w:firstLine="402" w:firstLineChars="200"/>
              <w:rPr>
                <w:rFonts w:ascii="宋体" w:hAnsi="宋体"/>
                <w:b/>
                <w:bCs w:val="0"/>
                <w:sz w:val="20"/>
                <w:szCs w:val="20"/>
              </w:rPr>
            </w:pPr>
            <w:r>
              <w:rPr>
                <w:rFonts w:hint="eastAsia" w:ascii="宋体" w:hAnsi="宋体"/>
                <w:b/>
                <w:bCs w:val="0"/>
                <w:sz w:val="20"/>
                <w:szCs w:val="20"/>
              </w:rPr>
              <w:t>消防栓、灭火器、消防砂、消防桶、消防铁锹等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948"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8970" w:type="dxa"/>
          </w:tcPr>
          <w:p>
            <w:pPr>
              <w:spacing w:line="300" w:lineRule="exact"/>
              <w:rPr>
                <w:b/>
                <w:bCs w:val="0"/>
                <w:color w:val="000000" w:themeColor="text1"/>
                <w:sz w:val="20"/>
                <w:szCs w:val="20"/>
              </w:rPr>
            </w:pPr>
            <w:r>
              <w:rPr>
                <w:rFonts w:hint="eastAsia"/>
                <w:b/>
                <w:bCs w:val="0"/>
                <w:color w:val="000000" w:themeColor="text1"/>
                <w:sz w:val="20"/>
                <w:szCs w:val="20"/>
              </w:rPr>
              <w:t>1. 针对方针的管理职责评审</w:t>
            </w:r>
          </w:p>
          <w:p>
            <w:pPr>
              <w:spacing w:line="300" w:lineRule="exact"/>
              <w:ind w:left="1"/>
              <w:rPr>
                <w:b/>
                <w:bCs w:val="0"/>
                <w:color w:val="000000" w:themeColor="text1"/>
                <w:sz w:val="20"/>
                <w:szCs w:val="20"/>
              </w:rPr>
            </w:pPr>
            <w:r>
              <w:rPr>
                <w:rFonts w:hint="eastAsia"/>
                <w:b/>
                <w:bCs w:val="0"/>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82" w:firstLineChars="200"/>
              <w:rPr>
                <w:rFonts w:ascii="宋体" w:hAnsi="宋体" w:cs="宋体"/>
                <w:b/>
                <w:bCs w:val="0"/>
                <w:szCs w:val="21"/>
              </w:rPr>
            </w:pPr>
            <w:r>
              <w:rPr>
                <w:rFonts w:hint="eastAsia" w:ascii="宋体" w:hAnsi="宋体" w:cs="宋体"/>
                <w:b/>
                <w:bCs w:val="0"/>
                <w:szCs w:val="21"/>
              </w:rPr>
              <w:t>最高管理者组织制定了方针：“遵守国家法律，重视环境保护，确保施工安全，</w:t>
            </w:r>
          </w:p>
          <w:p>
            <w:pPr>
              <w:spacing w:line="300" w:lineRule="exact"/>
              <w:ind w:left="1" w:firstLine="482" w:firstLineChars="200"/>
              <w:rPr>
                <w:b/>
                <w:bCs w:val="0"/>
                <w:color w:val="000000" w:themeColor="text1"/>
                <w:sz w:val="20"/>
                <w:szCs w:val="20"/>
              </w:rPr>
            </w:pPr>
            <w:r>
              <w:rPr>
                <w:rFonts w:hint="eastAsia" w:ascii="宋体" w:hAnsi="宋体" w:cs="宋体"/>
                <w:b/>
                <w:bCs w:val="0"/>
                <w:szCs w:val="21"/>
              </w:rPr>
              <w:t>争创优质工程，深化企业管理，力求持续发展”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948" w:type="dxa"/>
            <w:vMerge w:val="continue"/>
            <w:vAlign w:val="center"/>
          </w:tcPr>
          <w:p>
            <w:pPr>
              <w:spacing w:line="240" w:lineRule="exact"/>
              <w:jc w:val="center"/>
              <w:rPr>
                <w:b/>
                <w:color w:val="000000" w:themeColor="text1"/>
                <w:szCs w:val="21"/>
              </w:rPr>
            </w:pPr>
          </w:p>
        </w:tc>
        <w:tc>
          <w:tcPr>
            <w:tcW w:w="8970" w:type="dxa"/>
          </w:tcPr>
          <w:p>
            <w:pPr>
              <w:spacing w:line="240" w:lineRule="exact"/>
              <w:ind w:left="159" w:hanging="159" w:hangingChars="79"/>
              <w:rPr>
                <w:b/>
                <w:bCs w:val="0"/>
                <w:color w:val="000000" w:themeColor="text1"/>
                <w:sz w:val="20"/>
                <w:szCs w:val="20"/>
              </w:rPr>
            </w:pPr>
            <w:r>
              <w:rPr>
                <w:rFonts w:hint="eastAsia"/>
                <w:b/>
                <w:bCs w:val="0"/>
                <w:color w:val="000000" w:themeColor="text1"/>
                <w:sz w:val="20"/>
                <w:szCs w:val="20"/>
              </w:rPr>
              <w:t>2. 组织内部沟通的充分性与效果；（OHSMS员工参与风险管理/健康安全事务的关心和影响力；组织对外联络关注顾客的感受情况、</w:t>
            </w:r>
            <w:r>
              <w:rPr>
                <w:b/>
                <w:bCs w:val="0"/>
                <w:color w:val="000000" w:themeColor="text1"/>
                <w:sz w:val="20"/>
                <w:szCs w:val="20"/>
              </w:rPr>
              <w:t>信息交流</w:t>
            </w:r>
            <w:r>
              <w:rPr>
                <w:rFonts w:hint="eastAsia"/>
                <w:b/>
                <w:bCs w:val="0"/>
                <w:color w:val="000000" w:themeColor="text1"/>
                <w:sz w:val="20"/>
                <w:szCs w:val="20"/>
              </w:rPr>
              <w:t>包括通报相关方的情况等）</w:t>
            </w:r>
          </w:p>
          <w:p>
            <w:pPr>
              <w:spacing w:line="240" w:lineRule="exact"/>
              <w:rPr>
                <w:rFonts w:ascii="楷体_GB2312" w:eastAsia="楷体_GB2312"/>
                <w:b/>
                <w:bCs w:val="0"/>
                <w:color w:val="000000" w:themeColor="text1"/>
                <w:sz w:val="20"/>
                <w:szCs w:val="20"/>
              </w:rPr>
            </w:pPr>
          </w:p>
          <w:p>
            <w:pPr>
              <w:spacing w:line="240" w:lineRule="exact"/>
              <w:rPr>
                <w:rFonts w:ascii="楷体_GB2312" w:eastAsia="楷体_GB2312"/>
                <w:b/>
                <w:bCs w:val="0"/>
                <w:color w:val="000000" w:themeColor="text1"/>
                <w:sz w:val="20"/>
                <w:szCs w:val="20"/>
              </w:rPr>
            </w:pPr>
            <w:r>
              <w:rPr>
                <w:rFonts w:hint="eastAsia" w:ascii="楷体_GB2312" w:eastAsia="楷体_GB2312"/>
                <w:b/>
                <w:bCs w:val="0"/>
                <w:color w:val="000000" w:themeColor="text1"/>
                <w:sz w:val="20"/>
                <w:szCs w:val="20"/>
              </w:rPr>
              <w:t>内部沟通的情况：内部沟通方式：</w:t>
            </w:r>
            <w:r>
              <w:rPr>
                <w:rFonts w:hint="eastAsia" w:ascii="宋体" w:hAnsi="宋体" w:cs="宋体"/>
                <w:b/>
                <w:bCs w:val="0"/>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bCs w:val="0"/>
                <w:color w:val="000000" w:themeColor="text1"/>
                <w:sz w:val="20"/>
                <w:szCs w:val="20"/>
              </w:rPr>
            </w:pPr>
            <w:r>
              <w:rPr>
                <w:rFonts w:hint="eastAsia" w:ascii="楷体_GB2312" w:eastAsia="楷体_GB2312"/>
                <w:b/>
                <w:bCs w:val="0"/>
                <w:color w:val="000000" w:themeColor="text1"/>
                <w:sz w:val="20"/>
                <w:szCs w:val="20"/>
              </w:rPr>
              <w:t>内部沟通的效果：良好</w:t>
            </w:r>
          </w:p>
          <w:p>
            <w:pPr>
              <w:spacing w:line="240" w:lineRule="exact"/>
              <w:rPr>
                <w:rFonts w:ascii="楷体_GB2312" w:eastAsia="楷体_GB2312"/>
                <w:b/>
                <w:bCs w:val="0"/>
                <w:color w:val="000000" w:themeColor="text1"/>
                <w:sz w:val="20"/>
                <w:szCs w:val="20"/>
              </w:rPr>
            </w:pPr>
          </w:p>
          <w:p>
            <w:pPr>
              <w:spacing w:line="240" w:lineRule="exact"/>
              <w:rPr>
                <w:rFonts w:ascii="楷体_GB2312" w:eastAsia="楷体_GB2312"/>
                <w:b/>
                <w:bCs w:val="0"/>
                <w:color w:val="000000" w:themeColor="text1"/>
                <w:sz w:val="20"/>
                <w:szCs w:val="20"/>
              </w:rPr>
            </w:pPr>
            <w:r>
              <w:rPr>
                <w:rFonts w:hint="eastAsia" w:ascii="楷体_GB2312" w:eastAsia="楷体_GB2312"/>
                <w:b/>
                <w:bCs w:val="0"/>
                <w:color w:val="000000" w:themeColor="text1"/>
                <w:sz w:val="20"/>
                <w:szCs w:val="20"/>
              </w:rPr>
              <w:t>组织对外联络，关注顾客的感受情况（QMS）：采取顾客满意度调查方式了解顾客感受。</w:t>
            </w:r>
          </w:p>
          <w:p>
            <w:pPr>
              <w:spacing w:line="240" w:lineRule="exact"/>
              <w:rPr>
                <w:rFonts w:ascii="楷体_GB2312" w:eastAsia="楷体_GB2312"/>
                <w:b/>
                <w:bCs w:val="0"/>
                <w:color w:val="000000" w:themeColor="text1"/>
                <w:sz w:val="20"/>
                <w:szCs w:val="20"/>
              </w:rPr>
            </w:pPr>
          </w:p>
          <w:p>
            <w:pPr>
              <w:spacing w:line="240" w:lineRule="exact"/>
              <w:rPr>
                <w:rFonts w:ascii="楷体_GB2312" w:eastAsia="楷体_GB2312"/>
                <w:b/>
                <w:bCs w:val="0"/>
                <w:color w:val="000000" w:themeColor="text1"/>
                <w:sz w:val="20"/>
                <w:szCs w:val="20"/>
              </w:rPr>
            </w:pPr>
            <w:r>
              <w:rPr>
                <w:rFonts w:hint="eastAsia" w:ascii="楷体_GB2312" w:eastAsia="楷体_GB2312"/>
                <w:b/>
                <w:bCs w:val="0"/>
                <w:color w:val="000000" w:themeColor="text1"/>
                <w:sz w:val="20"/>
                <w:szCs w:val="20"/>
              </w:rPr>
              <w:t>外部信息的接收、成文并答复的情况（E、S填写）：对会议通知和规定等登记处理</w:t>
            </w:r>
          </w:p>
          <w:p>
            <w:pPr>
              <w:spacing w:line="240" w:lineRule="exact"/>
              <w:rPr>
                <w:rFonts w:ascii="楷体_GB2312" w:eastAsia="楷体_GB2312"/>
                <w:b/>
                <w:bCs w:val="0"/>
                <w:color w:val="000000" w:themeColor="text1"/>
                <w:sz w:val="20"/>
                <w:szCs w:val="20"/>
              </w:rPr>
            </w:pPr>
          </w:p>
          <w:p>
            <w:pPr>
              <w:spacing w:line="240" w:lineRule="exact"/>
              <w:rPr>
                <w:b/>
                <w:bCs w:val="0"/>
                <w:szCs w:val="21"/>
              </w:rPr>
            </w:pPr>
            <w:r>
              <w:rPr>
                <w:rFonts w:hint="eastAsia" w:ascii="楷体_GB2312" w:eastAsia="楷体_GB2312"/>
                <w:b/>
                <w:bCs w:val="0"/>
                <w:color w:val="000000" w:themeColor="text1"/>
                <w:sz w:val="20"/>
                <w:szCs w:val="20"/>
              </w:rPr>
              <w:t>重要环境因素信息对外交流情况（EMS填写）：</w:t>
            </w:r>
            <w:r>
              <w:rPr>
                <w:rFonts w:hint="eastAsia"/>
                <w:b/>
                <w:bCs w:val="0"/>
                <w:szCs w:val="21"/>
              </w:rPr>
              <w:t>主要通过网络、交流及公开信、合同等方式进行，并达成一致性意见实施有效控制</w:t>
            </w:r>
          </w:p>
          <w:p>
            <w:pPr>
              <w:spacing w:line="240" w:lineRule="exact"/>
              <w:rPr>
                <w:rFonts w:ascii="楷体_GB2312" w:eastAsia="楷体_GB2312"/>
                <w:b/>
                <w:bCs w:val="0"/>
                <w:color w:val="000000" w:themeColor="text1"/>
                <w:sz w:val="20"/>
                <w:szCs w:val="20"/>
              </w:rPr>
            </w:pPr>
          </w:p>
          <w:p>
            <w:pPr>
              <w:spacing w:line="240" w:lineRule="exact"/>
              <w:rPr>
                <w:rFonts w:ascii="楷体_GB2312" w:eastAsia="楷体_GB2312"/>
                <w:b/>
                <w:bCs w:val="0"/>
                <w:color w:val="000000" w:themeColor="text1"/>
                <w:sz w:val="20"/>
                <w:szCs w:val="20"/>
              </w:rPr>
            </w:pPr>
            <w:r>
              <w:rPr>
                <w:rFonts w:hint="eastAsia" w:ascii="楷体_GB2312" w:eastAsia="楷体_GB2312"/>
                <w:b/>
                <w:bCs w:val="0"/>
                <w:color w:val="000000" w:themeColor="text1"/>
                <w:sz w:val="20"/>
                <w:szCs w:val="20"/>
              </w:rPr>
              <w:t>OHSMS事务代表协商和交流的情况（OHSMS填写）：</w:t>
            </w:r>
            <w:r>
              <w:rPr>
                <w:rFonts w:hint="eastAsia" w:ascii="宋体" w:hAnsi="宋体" w:cs="Arial"/>
                <w:b/>
                <w:bCs w:val="0"/>
                <w:szCs w:val="21"/>
              </w:rPr>
              <w:t>与安全健康管理有关的法律法规，包括《劳动合同法》、《工伤保险条例》、《职业病防治法》等关于员工权益、保险等内容</w:t>
            </w:r>
          </w:p>
          <w:p>
            <w:pPr>
              <w:spacing w:line="240" w:lineRule="exact"/>
              <w:rPr>
                <w:rFonts w:ascii="楷体_GB2312" w:eastAsia="楷体_GB2312"/>
                <w:b/>
                <w:bCs w:val="0"/>
                <w:color w:val="000000" w:themeColor="text1"/>
                <w:szCs w:val="21"/>
              </w:rPr>
            </w:pPr>
          </w:p>
          <w:p>
            <w:pPr>
              <w:spacing w:line="240" w:lineRule="exact"/>
              <w:rPr>
                <w:rFonts w:ascii="楷体_GB2312" w:eastAsia="楷体_GB2312"/>
                <w:b/>
                <w:bCs w:val="0"/>
                <w:color w:val="000000" w:themeColor="text1"/>
                <w:szCs w:val="21"/>
              </w:rPr>
            </w:pPr>
            <w:r>
              <w:rPr>
                <w:rFonts w:hint="eastAsia" w:ascii="楷体_GB2312" w:eastAsia="楷体_GB2312"/>
                <w:b/>
                <w:bCs w:val="0"/>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2" w:hRule="atLeast"/>
          <w:jc w:val="center"/>
        </w:trPr>
        <w:tc>
          <w:tcPr>
            <w:tcW w:w="948" w:type="dxa"/>
            <w:vMerge w:val="continue"/>
            <w:vAlign w:val="center"/>
          </w:tcPr>
          <w:p>
            <w:pPr>
              <w:spacing w:line="240" w:lineRule="exact"/>
              <w:jc w:val="center"/>
              <w:rPr>
                <w:b/>
                <w:color w:val="000000" w:themeColor="text1"/>
                <w:szCs w:val="21"/>
              </w:rPr>
            </w:pPr>
          </w:p>
        </w:tc>
        <w:tc>
          <w:tcPr>
            <w:tcW w:w="8970" w:type="dxa"/>
          </w:tcPr>
          <w:p>
            <w:pPr>
              <w:spacing w:line="240" w:lineRule="exact"/>
              <w:rPr>
                <w:b/>
                <w:bCs w:val="0"/>
                <w:color w:val="000000" w:themeColor="text1"/>
                <w:sz w:val="20"/>
                <w:szCs w:val="20"/>
              </w:rPr>
            </w:pPr>
            <w:r>
              <w:rPr>
                <w:rFonts w:hint="eastAsia"/>
                <w:b/>
                <w:bCs w:val="0"/>
                <w:color w:val="000000" w:themeColor="text1"/>
                <w:sz w:val="20"/>
                <w:szCs w:val="20"/>
              </w:rPr>
              <w:t>3.  QMS 组织对重要过程实施控制的结果</w:t>
            </w:r>
          </w:p>
          <w:p>
            <w:pPr>
              <w:spacing w:line="240" w:lineRule="exact"/>
              <w:ind w:left="201" w:leftChars="42" w:hanging="100" w:hangingChars="50"/>
              <w:rPr>
                <w:b/>
                <w:bCs w:val="0"/>
                <w:color w:val="000000" w:themeColor="text1"/>
                <w:sz w:val="20"/>
                <w:szCs w:val="20"/>
              </w:rPr>
            </w:pPr>
            <w:r>
              <w:rPr>
                <w:rFonts w:hint="eastAsia"/>
                <w:b/>
                <w:bCs w:val="0"/>
                <w:color w:val="000000" w:themeColor="text1"/>
                <w:sz w:val="20"/>
                <w:szCs w:val="20"/>
              </w:rPr>
              <w:t>(包括对QMS关键工序(过程)、特殊过程控制;评价组织对过程实施控制情况/)</w:t>
            </w:r>
          </w:p>
          <w:p>
            <w:pPr>
              <w:spacing w:line="240" w:lineRule="exact"/>
              <w:ind w:firstLine="482" w:firstLineChars="200"/>
              <w:rPr>
                <w:rFonts w:ascii="宋体" w:hAnsi="宋体" w:cs="宋体"/>
                <w:b/>
                <w:bCs w:val="0"/>
                <w:color w:val="000000"/>
                <w:szCs w:val="21"/>
              </w:rPr>
            </w:pPr>
            <w:r>
              <w:rPr>
                <w:rFonts w:hint="eastAsia" w:ascii="宋体" w:hAnsi="宋体" w:cs="宋体"/>
                <w:b/>
                <w:bCs w:val="0"/>
                <w:color w:val="000000"/>
                <w:szCs w:val="21"/>
              </w:rPr>
              <w:t>特殊过程：钢筋焊接、基础灌注桩、防水工程、大体积砼浇筑等钢筋焊接和防水工程，对人员和设备及工艺参数都做了确认，提供特殊过程确认记录。</w:t>
            </w:r>
          </w:p>
          <w:p>
            <w:pPr>
              <w:spacing w:line="240" w:lineRule="exact"/>
              <w:ind w:firstLine="482" w:firstLineChars="200"/>
              <w:rPr>
                <w:rFonts w:ascii="宋体" w:hAnsi="宋体" w:cs="宋体"/>
                <w:b/>
                <w:bCs w:val="0"/>
                <w:color w:val="000000"/>
                <w:szCs w:val="21"/>
              </w:rPr>
            </w:pPr>
            <w:r>
              <w:rPr>
                <w:rFonts w:hint="eastAsia" w:ascii="宋体" w:hAnsi="宋体" w:cs="宋体"/>
                <w:b/>
                <w:bCs w:val="0"/>
                <w:color w:val="000000"/>
                <w:szCs w:val="21"/>
              </w:rPr>
              <w:t>关键过程为隐蔽工程施工，制定作业指导书。</w:t>
            </w:r>
          </w:p>
          <w:p>
            <w:pPr>
              <w:spacing w:line="240" w:lineRule="exact"/>
              <w:ind w:firstLine="482" w:firstLineChars="200"/>
              <w:rPr>
                <w:b/>
                <w:bCs w:val="0"/>
                <w:color w:val="000000" w:themeColor="text1"/>
                <w:sz w:val="20"/>
                <w:szCs w:val="20"/>
              </w:rPr>
            </w:pPr>
            <w:r>
              <w:rPr>
                <w:rFonts w:hint="eastAsia" w:ascii="宋体" w:hAnsi="宋体" w:cs="宋体"/>
                <w:b/>
                <w:bCs w:val="0"/>
                <w:color w:val="000000"/>
                <w:szCs w:val="21"/>
              </w:rPr>
              <w:t>对关键过程和特殊过程有效控制。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7" w:hRule="atLeast"/>
          <w:jc w:val="center"/>
        </w:trPr>
        <w:tc>
          <w:tcPr>
            <w:tcW w:w="948" w:type="dxa"/>
            <w:vMerge w:val="continue"/>
            <w:vAlign w:val="center"/>
          </w:tcPr>
          <w:p>
            <w:pPr>
              <w:spacing w:line="240" w:lineRule="exact"/>
              <w:jc w:val="center"/>
              <w:rPr>
                <w:b/>
                <w:color w:val="000000" w:themeColor="text1"/>
                <w:szCs w:val="21"/>
              </w:rPr>
            </w:pPr>
          </w:p>
        </w:tc>
        <w:tc>
          <w:tcPr>
            <w:tcW w:w="8970" w:type="dxa"/>
          </w:tcPr>
          <w:p>
            <w:pPr>
              <w:spacing w:line="300" w:lineRule="exact"/>
              <w:jc w:val="left"/>
              <w:rPr>
                <w:b/>
                <w:bCs w:val="0"/>
                <w:color w:val="000000" w:themeColor="text1"/>
                <w:sz w:val="21"/>
                <w:szCs w:val="21"/>
              </w:rPr>
            </w:pPr>
            <w:r>
              <w:rPr>
                <w:rFonts w:hint="eastAsia"/>
                <w:b/>
                <w:bCs w:val="0"/>
                <w:color w:val="000000" w:themeColor="text1"/>
                <w:sz w:val="21"/>
                <w:szCs w:val="21"/>
              </w:rPr>
              <w:t>4.QMS产品/服务的标准、协议/规范的有效性以及产品/服务质量符合要求，向顾客稳定提供合格产品的情况；</w:t>
            </w:r>
          </w:p>
          <w:p>
            <w:pPr>
              <w:spacing w:line="240" w:lineRule="exact"/>
              <w:ind w:firstLine="422" w:firstLineChars="200"/>
              <w:rPr>
                <w:rFonts w:ascii="宋体" w:hAnsi="宋体" w:cs="宋体"/>
                <w:b/>
                <w:bCs w:val="0"/>
                <w:color w:val="000000"/>
                <w:sz w:val="21"/>
                <w:szCs w:val="21"/>
              </w:rPr>
            </w:pPr>
            <w:r>
              <w:rPr>
                <w:rFonts w:hint="eastAsia" w:ascii="宋体" w:hAnsi="宋体" w:cs="宋体"/>
                <w:b/>
                <w:bCs w:val="0"/>
                <w:color w:val="000000"/>
                <w:sz w:val="21"/>
                <w:szCs w:val="21"/>
              </w:rPr>
              <w:t>制定并实施了工程检验控制规定，规定了公司各管理层次和检测部门在各阶段对产品服务质量实施检查与验收的管理要求。内容基本具备全面性、系统性及可操作性。质量检查与验收均在工程前予以实现，范围包括：过程、最终产品。以此保证持续向顾客稳定提供稳定合格的产品。</w:t>
            </w:r>
          </w:p>
          <w:p>
            <w:pPr>
              <w:spacing w:line="240" w:lineRule="exact"/>
              <w:rPr>
                <w:b/>
                <w:bCs w:val="0"/>
                <w:color w:val="000000" w:themeColor="text1"/>
                <w:sz w:val="21"/>
                <w:szCs w:val="21"/>
              </w:rPr>
            </w:pPr>
            <w:r>
              <w:rPr>
                <w:rFonts w:hint="eastAsia"/>
                <w:b/>
                <w:bCs w:val="0"/>
                <w:color w:val="000000" w:themeColor="text1"/>
                <w:sz w:val="21"/>
                <w:szCs w:val="21"/>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jc w:val="center"/>
        </w:trPr>
        <w:tc>
          <w:tcPr>
            <w:tcW w:w="948" w:type="dxa"/>
            <w:vMerge w:val="continue"/>
            <w:vAlign w:val="center"/>
          </w:tcPr>
          <w:p>
            <w:pPr>
              <w:spacing w:line="240" w:lineRule="exact"/>
              <w:jc w:val="center"/>
              <w:rPr>
                <w:b/>
                <w:color w:val="000000" w:themeColor="text1"/>
                <w:szCs w:val="21"/>
              </w:rPr>
            </w:pPr>
          </w:p>
        </w:tc>
        <w:tc>
          <w:tcPr>
            <w:tcW w:w="8970" w:type="dxa"/>
          </w:tcPr>
          <w:p>
            <w:pPr>
              <w:spacing w:line="240" w:lineRule="exact"/>
              <w:rPr>
                <w:b/>
                <w:bCs w:val="0"/>
                <w:color w:val="000000" w:themeColor="text1"/>
                <w:sz w:val="21"/>
                <w:szCs w:val="21"/>
              </w:rPr>
            </w:pPr>
            <w:r>
              <w:rPr>
                <w:rFonts w:hint="eastAsia"/>
                <w:b/>
                <w:bCs w:val="0"/>
                <w:color w:val="000000" w:themeColor="text1"/>
                <w:sz w:val="21"/>
                <w:szCs w:val="21"/>
              </w:rPr>
              <w:t>5 .QMS国家/地方技术监督部门监测（检测、委托检测、定期监测、型式试验等）、抽查结果</w:t>
            </w:r>
          </w:p>
          <w:p>
            <w:pPr>
              <w:spacing w:line="300" w:lineRule="exact"/>
              <w:ind w:firstLine="207" w:firstLineChars="98"/>
              <w:rPr>
                <w:b/>
                <w:bCs w:val="0"/>
                <w:color w:val="000000" w:themeColor="text1"/>
                <w:sz w:val="21"/>
                <w:szCs w:val="21"/>
              </w:rPr>
            </w:pPr>
            <w:r>
              <w:rPr>
                <w:rFonts w:hint="eastAsia"/>
                <w:b/>
                <w:bCs w:val="0"/>
                <w:color w:val="000000" w:themeColor="text1"/>
                <w:sz w:val="21"/>
                <w:szCs w:val="21"/>
              </w:rPr>
              <w:t>无</w:t>
            </w:r>
          </w:p>
          <w:p>
            <w:pPr>
              <w:spacing w:line="300" w:lineRule="exact"/>
              <w:ind w:firstLine="207" w:firstLineChars="98"/>
              <w:rPr>
                <w:b/>
                <w:bCs w:val="0"/>
                <w:color w:val="000000" w:themeColor="text1"/>
                <w:sz w:val="21"/>
                <w:szCs w:val="21"/>
              </w:rPr>
            </w:pPr>
            <w:r>
              <w:rPr>
                <w:rFonts w:hint="eastAsia"/>
                <w:b/>
                <w:bCs w:val="0"/>
                <w:color w:val="000000" w:themeColor="text1"/>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948" w:type="dxa"/>
            <w:vMerge w:val="continue"/>
            <w:vAlign w:val="center"/>
          </w:tcPr>
          <w:p>
            <w:pPr>
              <w:spacing w:line="240" w:lineRule="exact"/>
              <w:jc w:val="center"/>
              <w:rPr>
                <w:b/>
                <w:color w:val="000000" w:themeColor="text1"/>
                <w:szCs w:val="21"/>
              </w:rPr>
            </w:pPr>
          </w:p>
        </w:tc>
        <w:tc>
          <w:tcPr>
            <w:tcW w:w="8970" w:type="dxa"/>
          </w:tcPr>
          <w:p>
            <w:pPr>
              <w:spacing w:line="240" w:lineRule="exact"/>
              <w:rPr>
                <w:b/>
                <w:bCs w:val="0"/>
                <w:color w:val="000000" w:themeColor="text1"/>
                <w:spacing w:val="-8"/>
                <w:sz w:val="21"/>
                <w:szCs w:val="21"/>
              </w:rPr>
            </w:pPr>
            <w:r>
              <w:rPr>
                <w:rFonts w:hint="eastAsia"/>
                <w:b/>
                <w:bCs w:val="0"/>
                <w:color w:val="000000" w:themeColor="text1"/>
                <w:sz w:val="21"/>
                <w:szCs w:val="21"/>
              </w:rPr>
              <w:t xml:space="preserve">6. </w:t>
            </w:r>
            <w:r>
              <w:rPr>
                <w:rFonts w:hint="eastAsia"/>
                <w:b/>
                <w:bCs w:val="0"/>
                <w:color w:val="000000" w:themeColor="text1"/>
                <w:spacing w:val="-8"/>
                <w:sz w:val="21"/>
                <w:szCs w:val="21"/>
              </w:rPr>
              <w:t>不合格品/项的识别、控制;</w:t>
            </w:r>
          </w:p>
          <w:p>
            <w:pPr>
              <w:spacing w:line="240" w:lineRule="exact"/>
              <w:ind w:firstLine="422" w:firstLineChars="200"/>
              <w:rPr>
                <w:b/>
                <w:bCs w:val="0"/>
                <w:color w:val="000000" w:themeColor="text1"/>
                <w:sz w:val="21"/>
                <w:szCs w:val="21"/>
              </w:rPr>
            </w:pPr>
            <w:r>
              <w:rPr>
                <w:rFonts w:hint="eastAsia" w:ascii="宋体" w:hAnsi="宋体" w:cs="宋体"/>
                <w:b/>
                <w:bCs w:val="0"/>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948" w:type="dxa"/>
            <w:vMerge w:val="continue"/>
            <w:vAlign w:val="center"/>
          </w:tcPr>
          <w:p>
            <w:pPr>
              <w:spacing w:line="240" w:lineRule="exact"/>
              <w:jc w:val="center"/>
              <w:rPr>
                <w:b/>
                <w:color w:val="000000" w:themeColor="text1"/>
                <w:szCs w:val="21"/>
              </w:rPr>
            </w:pPr>
          </w:p>
        </w:tc>
        <w:tc>
          <w:tcPr>
            <w:tcW w:w="8970" w:type="dxa"/>
          </w:tcPr>
          <w:p>
            <w:pPr>
              <w:spacing w:line="240" w:lineRule="exact"/>
              <w:rPr>
                <w:b/>
                <w:bCs w:val="0"/>
                <w:color w:val="000000" w:themeColor="text1"/>
                <w:sz w:val="21"/>
                <w:szCs w:val="21"/>
              </w:rPr>
            </w:pPr>
            <w:r>
              <w:rPr>
                <w:rFonts w:hint="eastAsia"/>
                <w:b/>
                <w:bCs w:val="0"/>
                <w:color w:val="000000" w:themeColor="text1"/>
                <w:sz w:val="21"/>
                <w:szCs w:val="21"/>
              </w:rPr>
              <w:t>7. EMS组织对重要环境因素实施控制的结果</w:t>
            </w:r>
          </w:p>
          <w:p>
            <w:pPr>
              <w:spacing w:line="240" w:lineRule="exact"/>
              <w:rPr>
                <w:b/>
                <w:bCs w:val="0"/>
                <w:color w:val="000000" w:themeColor="text1"/>
                <w:sz w:val="21"/>
                <w:szCs w:val="21"/>
              </w:rPr>
            </w:pPr>
            <w:r>
              <w:rPr>
                <w:rFonts w:hint="eastAsia"/>
                <w:b/>
                <w:bCs w:val="0"/>
                <w:color w:val="000000" w:themeColor="text1"/>
                <w:sz w:val="21"/>
                <w:szCs w:val="21"/>
              </w:rPr>
              <w:t>（EMS对重要环境因素控制，重大环境因素对周边环境产生的影响及控制;对相关方施加影响）</w:t>
            </w:r>
          </w:p>
          <w:p>
            <w:pPr>
              <w:tabs>
                <w:tab w:val="left" w:pos="2552"/>
              </w:tabs>
              <w:spacing w:line="360" w:lineRule="exact"/>
              <w:ind w:firstLine="527" w:firstLineChars="250"/>
              <w:rPr>
                <w:b/>
                <w:bCs w:val="0"/>
                <w:color w:val="000000" w:themeColor="text1"/>
                <w:sz w:val="21"/>
                <w:szCs w:val="21"/>
              </w:rPr>
            </w:pPr>
            <w:r>
              <w:rPr>
                <w:rFonts w:hint="eastAsia" w:asciiTheme="minorEastAsia" w:hAnsiTheme="minorEastAsia" w:eastAsiaTheme="minorEastAsia"/>
                <w:b/>
                <w:bCs w:val="0"/>
                <w:iCs/>
                <w:sz w:val="21"/>
                <w:szCs w:val="21"/>
              </w:rPr>
              <w:t>组织重要环境因素为扬尘排放、噪声排放、废水排放、火灾爆炸、固废(含危废)排放、废气排放、资源浪费等，需要应对的风险和机遇相关的过程为施工过程，建立了控制过程的识别、策划控制程序，控制措施实施有效性（包括组织自身的污染预防控制及对相关方的控制）；组织在运行策划时，基于产品生命周期的思维，识别了整个过程的环境影响。具体控制措施，包括：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948" w:type="dxa"/>
            <w:vMerge w:val="continue"/>
            <w:vAlign w:val="center"/>
          </w:tcPr>
          <w:p>
            <w:pPr>
              <w:spacing w:line="240" w:lineRule="exact"/>
              <w:jc w:val="center"/>
              <w:rPr>
                <w:b/>
                <w:color w:val="000000" w:themeColor="text1"/>
                <w:szCs w:val="21"/>
              </w:rPr>
            </w:pPr>
          </w:p>
        </w:tc>
        <w:tc>
          <w:tcPr>
            <w:tcW w:w="8970" w:type="dxa"/>
          </w:tcPr>
          <w:p>
            <w:pPr>
              <w:spacing w:line="240" w:lineRule="exact"/>
              <w:rPr>
                <w:b/>
                <w:bCs w:val="0"/>
                <w:color w:val="000000" w:themeColor="text1"/>
                <w:sz w:val="21"/>
                <w:szCs w:val="21"/>
              </w:rPr>
            </w:pPr>
            <w:r>
              <w:rPr>
                <w:rFonts w:hint="eastAsia"/>
                <w:b/>
                <w:bCs w:val="0"/>
                <w:color w:val="000000" w:themeColor="text1"/>
                <w:sz w:val="21"/>
                <w:szCs w:val="21"/>
              </w:rPr>
              <w:t>8. OHS 组织对不可接受风险实施控制的结果</w:t>
            </w:r>
          </w:p>
          <w:p>
            <w:pPr>
              <w:tabs>
                <w:tab w:val="left" w:pos="2552"/>
              </w:tabs>
              <w:spacing w:line="360" w:lineRule="exact"/>
              <w:ind w:firstLine="422" w:firstLineChars="200"/>
              <w:rPr>
                <w:rFonts w:asciiTheme="minorEastAsia" w:hAnsiTheme="minorEastAsia" w:eastAsiaTheme="minorEastAsia"/>
                <w:b/>
                <w:bCs w:val="0"/>
                <w:iCs/>
                <w:sz w:val="21"/>
                <w:szCs w:val="21"/>
              </w:rPr>
            </w:pPr>
            <w:r>
              <w:rPr>
                <w:rFonts w:hint="eastAsia" w:asciiTheme="minorEastAsia" w:hAnsiTheme="minorEastAsia" w:eastAsiaTheme="minorEastAsia"/>
                <w:b/>
                <w:bCs w:val="0"/>
                <w:iCs/>
                <w:sz w:val="21"/>
                <w:szCs w:val="21"/>
              </w:rPr>
              <w:t>组织建立了危险源识别、评价控制程序，识别评价了危险源、风险相关的过程，评价出了重要危险源，与之相关的过程有施工过程、信息处理过程，针对不可接受风险制定了管理方案。控制措施实施有效。</w:t>
            </w:r>
          </w:p>
          <w:p>
            <w:pPr>
              <w:spacing w:line="240" w:lineRule="exact"/>
              <w:rPr>
                <w:b/>
                <w:bCs w:val="0"/>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948" w:type="dxa"/>
            <w:vMerge w:val="continue"/>
            <w:vAlign w:val="center"/>
          </w:tcPr>
          <w:p>
            <w:pPr>
              <w:spacing w:line="240" w:lineRule="exact"/>
              <w:jc w:val="center"/>
              <w:rPr>
                <w:b/>
                <w:color w:val="000000" w:themeColor="text1"/>
                <w:szCs w:val="21"/>
              </w:rPr>
            </w:pPr>
          </w:p>
        </w:tc>
        <w:tc>
          <w:tcPr>
            <w:tcW w:w="8970" w:type="dxa"/>
          </w:tcPr>
          <w:p>
            <w:pPr>
              <w:spacing w:line="240" w:lineRule="exact"/>
              <w:ind w:left="201" w:hanging="211" w:hangingChars="100"/>
              <w:rPr>
                <w:b/>
                <w:bCs w:val="0"/>
                <w:color w:val="000000" w:themeColor="text1"/>
                <w:sz w:val="21"/>
                <w:szCs w:val="21"/>
              </w:rPr>
            </w:pPr>
            <w:r>
              <w:rPr>
                <w:rFonts w:hint="eastAsia"/>
                <w:b/>
                <w:bCs w:val="0"/>
                <w:color w:val="000000" w:themeColor="text1"/>
                <w:sz w:val="21"/>
                <w:szCs w:val="21"/>
              </w:rPr>
              <w:t xml:space="preserve">9. 应急准备与相应活动的演练及对预案可行性的评价(当有规定时) </w:t>
            </w:r>
          </w:p>
          <w:p>
            <w:pPr>
              <w:spacing w:line="240" w:lineRule="exact"/>
              <w:ind w:left="201" w:hanging="211" w:hangingChars="100"/>
              <w:rPr>
                <w:b/>
                <w:bCs w:val="0"/>
                <w:color w:val="000000" w:themeColor="text1"/>
                <w:sz w:val="21"/>
                <w:szCs w:val="21"/>
              </w:rPr>
            </w:pPr>
          </w:p>
          <w:p>
            <w:pPr>
              <w:spacing w:line="240" w:lineRule="exact"/>
              <w:ind w:firstLine="422" w:firstLineChars="200"/>
              <w:rPr>
                <w:rFonts w:asciiTheme="minorEastAsia" w:hAnsiTheme="minorEastAsia" w:eastAsiaTheme="minorEastAsia"/>
                <w:b/>
                <w:bCs w:val="0"/>
                <w:color w:val="000000" w:themeColor="text1"/>
                <w:spacing w:val="-4"/>
                <w:sz w:val="21"/>
                <w:szCs w:val="21"/>
              </w:rPr>
            </w:pPr>
            <w:r>
              <w:rPr>
                <w:rFonts w:hint="eastAsia" w:asciiTheme="minorEastAsia" w:hAnsiTheme="minorEastAsia" w:eastAsiaTheme="minorEastAsia"/>
                <w:b/>
                <w:bCs w:val="0"/>
                <w:iCs/>
                <w:sz w:val="21"/>
                <w:szCs w:val="21"/>
              </w:rPr>
              <w:t>组织识别了紧急情况，应急准备和响应为潜在火灾、高空坠落、触电、中暑等，识别合理、有效。应急物资配备有灭火器和消防栓，编制有应急预案，并组织了演练，并对应急预案进行了评价。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948" w:type="dxa"/>
            <w:vMerge w:val="continue"/>
            <w:vAlign w:val="center"/>
          </w:tcPr>
          <w:p>
            <w:pPr>
              <w:spacing w:line="240" w:lineRule="exact"/>
              <w:jc w:val="center"/>
              <w:rPr>
                <w:b/>
                <w:color w:val="000000" w:themeColor="text1"/>
                <w:szCs w:val="21"/>
              </w:rPr>
            </w:pPr>
          </w:p>
        </w:tc>
        <w:tc>
          <w:tcPr>
            <w:tcW w:w="8970" w:type="dxa"/>
          </w:tcPr>
          <w:p>
            <w:pPr>
              <w:spacing w:line="240" w:lineRule="exact"/>
              <w:rPr>
                <w:b/>
                <w:bCs w:val="0"/>
                <w:color w:val="000000" w:themeColor="text1"/>
                <w:sz w:val="21"/>
                <w:szCs w:val="21"/>
              </w:rPr>
            </w:pPr>
            <w:r>
              <w:rPr>
                <w:rFonts w:hint="eastAsia"/>
                <w:b/>
                <w:bCs w:val="0"/>
                <w:color w:val="000000" w:themeColor="text1"/>
                <w:sz w:val="21"/>
                <w:szCs w:val="21"/>
              </w:rPr>
              <w:t xml:space="preserve">10. 对特种设备的维护; </w:t>
            </w:r>
            <w:r>
              <w:rPr>
                <w:rFonts w:hint="eastAsia"/>
                <w:b/>
                <w:bCs w:val="0"/>
                <w:sz w:val="21"/>
                <w:szCs w:val="21"/>
              </w:rPr>
              <w:t>（适用时）</w:t>
            </w:r>
          </w:p>
          <w:p>
            <w:pPr>
              <w:spacing w:line="240" w:lineRule="exact"/>
              <w:ind w:firstLine="422" w:firstLineChars="200"/>
              <w:rPr>
                <w:b/>
                <w:bCs w:val="0"/>
                <w:color w:val="000000" w:themeColor="text1"/>
                <w:sz w:val="21"/>
                <w:szCs w:val="21"/>
              </w:rPr>
            </w:pPr>
            <w:r>
              <w:rPr>
                <w:rFonts w:hint="eastAsia" w:asciiTheme="minorEastAsia" w:hAnsiTheme="minorEastAsia" w:eastAsiaTheme="minorEastAsia"/>
                <w:b/>
                <w:bCs w:val="0"/>
                <w:iCs/>
                <w:sz w:val="21"/>
                <w:szCs w:val="21"/>
              </w:rPr>
              <w:t>塔吊，适用时租赁，正常维护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948" w:type="dxa"/>
            <w:vMerge w:val="continue"/>
            <w:vAlign w:val="center"/>
          </w:tcPr>
          <w:p>
            <w:pPr>
              <w:spacing w:line="240" w:lineRule="exact"/>
              <w:jc w:val="center"/>
              <w:rPr>
                <w:b/>
                <w:color w:val="000000" w:themeColor="text1"/>
                <w:szCs w:val="21"/>
              </w:rPr>
            </w:pPr>
          </w:p>
        </w:tc>
        <w:tc>
          <w:tcPr>
            <w:tcW w:w="8970" w:type="dxa"/>
          </w:tcPr>
          <w:p>
            <w:pPr>
              <w:spacing w:line="240" w:lineRule="exact"/>
              <w:rPr>
                <w:b/>
                <w:bCs w:val="0"/>
                <w:sz w:val="20"/>
                <w:szCs w:val="20"/>
              </w:rPr>
            </w:pPr>
            <w:r>
              <w:rPr>
                <w:rFonts w:hint="eastAsia"/>
                <w:b/>
                <w:bCs w:val="0"/>
                <w:color w:val="000000" w:themeColor="text1"/>
                <w:sz w:val="20"/>
                <w:szCs w:val="20"/>
              </w:rPr>
              <w:t>11 .对危险化学品销售、使用、储存、运输处置，规定的执行力度(必要时);</w:t>
            </w:r>
            <w:r>
              <w:rPr>
                <w:rFonts w:hint="eastAsia"/>
                <w:b/>
                <w:bCs w:val="0"/>
                <w:color w:val="FF0000"/>
                <w:sz w:val="20"/>
                <w:szCs w:val="20"/>
              </w:rPr>
              <w:t xml:space="preserve"> </w:t>
            </w:r>
            <w:r>
              <w:rPr>
                <w:rFonts w:hint="eastAsia"/>
                <w:b/>
                <w:bCs w:val="0"/>
                <w:sz w:val="20"/>
                <w:szCs w:val="20"/>
              </w:rPr>
              <w:t>（适用时）</w:t>
            </w:r>
          </w:p>
          <w:p>
            <w:pPr>
              <w:spacing w:line="240" w:lineRule="exact"/>
              <w:ind w:firstLine="402" w:firstLineChars="200"/>
              <w:rPr>
                <w:b/>
                <w:bCs w:val="0"/>
                <w:sz w:val="20"/>
                <w:szCs w:val="20"/>
              </w:rPr>
            </w:pPr>
            <w:r>
              <w:rPr>
                <w:rFonts w:hint="eastAsia"/>
                <w:b/>
                <w:bCs w:val="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948"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8970" w:type="dxa"/>
          </w:tcPr>
          <w:p>
            <w:pPr>
              <w:spacing w:line="240" w:lineRule="exact"/>
              <w:ind w:left="100" w:hanging="105" w:hangingChars="50"/>
              <w:rPr>
                <w:b/>
                <w:bCs w:val="0"/>
                <w:color w:val="000000" w:themeColor="text1"/>
                <w:sz w:val="21"/>
                <w:szCs w:val="21"/>
              </w:rPr>
            </w:pPr>
            <w:r>
              <w:rPr>
                <w:rFonts w:hint="eastAsia"/>
                <w:b/>
                <w:bCs w:val="0"/>
                <w:color w:val="000000" w:themeColor="text1"/>
                <w:sz w:val="21"/>
                <w:szCs w:val="21"/>
              </w:rPr>
              <w:t>1. .对质量/环境/职业健康安全目标指标进行定期监测/检查情况</w:t>
            </w:r>
            <w:r>
              <w:rPr>
                <w:rFonts w:hint="eastAsia"/>
                <w:b/>
                <w:bCs w:val="0"/>
                <w:sz w:val="21"/>
                <w:szCs w:val="21"/>
              </w:rPr>
              <w:t>（适用时）</w:t>
            </w:r>
          </w:p>
          <w:p>
            <w:pPr>
              <w:spacing w:line="240" w:lineRule="exact"/>
              <w:ind w:firstLine="316" w:firstLineChars="150"/>
              <w:rPr>
                <w:b/>
                <w:bCs w:val="0"/>
                <w:color w:val="000000" w:themeColor="text1"/>
                <w:sz w:val="21"/>
                <w:szCs w:val="21"/>
              </w:rPr>
            </w:pPr>
            <w:r>
              <w:rPr>
                <w:rFonts w:hint="eastAsia" w:ascii="宋体" w:hAnsi="宋体" w:cs="宋体"/>
                <w:b/>
                <w:bCs w:val="0"/>
                <w:color w:val="000000"/>
                <w:sz w:val="21"/>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ascii="宋体" w:hAnsi="宋体" w:cs="宋体"/>
                <w:b/>
                <w:bCs w:val="0"/>
                <w:sz w:val="21"/>
                <w:szCs w:val="21"/>
              </w:rPr>
              <w:t>20</w:t>
            </w:r>
            <w:r>
              <w:rPr>
                <w:rFonts w:hint="eastAsia" w:ascii="宋体" w:hAnsi="宋体" w:cs="宋体"/>
                <w:b/>
                <w:bCs w:val="0"/>
                <w:sz w:val="21"/>
                <w:szCs w:val="21"/>
                <w:lang w:val="en-US" w:eastAsia="zh-CN"/>
              </w:rPr>
              <w:t>20</w:t>
            </w:r>
            <w:r>
              <w:rPr>
                <w:rFonts w:hint="eastAsia" w:ascii="宋体" w:hAnsi="宋体" w:cs="宋体"/>
                <w:b/>
                <w:bCs w:val="0"/>
                <w:sz w:val="21"/>
                <w:szCs w:val="21"/>
              </w:rPr>
              <w:t>年1-</w:t>
            </w:r>
            <w:r>
              <w:rPr>
                <w:rFonts w:hint="eastAsia" w:ascii="宋体" w:hAnsi="宋体" w:cs="宋体"/>
                <w:b/>
                <w:bCs w:val="0"/>
                <w:sz w:val="21"/>
                <w:szCs w:val="21"/>
                <w:lang w:val="en-US" w:eastAsia="zh-CN"/>
              </w:rPr>
              <w:t>10</w:t>
            </w:r>
            <w:r>
              <w:rPr>
                <w:rFonts w:hint="eastAsia" w:ascii="宋体" w:hAnsi="宋体" w:cs="宋体"/>
                <w:b/>
                <w:bCs w:val="0"/>
                <w:sz w:val="21"/>
                <w:szCs w:val="21"/>
              </w:rPr>
              <w:t>月</w:t>
            </w:r>
            <w:r>
              <w:rPr>
                <w:rFonts w:hint="eastAsia" w:ascii="宋体" w:hAnsi="宋体" w:cs="宋体"/>
                <w:b/>
                <w:bCs w:val="0"/>
                <w:color w:val="000000"/>
                <w:sz w:val="21"/>
                <w:szCs w:val="21"/>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948" w:type="dxa"/>
            <w:vMerge w:val="continue"/>
            <w:textDirection w:val="tbRlV"/>
            <w:vAlign w:val="center"/>
          </w:tcPr>
          <w:p>
            <w:pPr>
              <w:spacing w:line="240" w:lineRule="exact"/>
              <w:ind w:left="113" w:right="113"/>
              <w:jc w:val="center"/>
              <w:rPr>
                <w:b/>
                <w:color w:val="000000" w:themeColor="text1"/>
                <w:szCs w:val="21"/>
              </w:rPr>
            </w:pPr>
          </w:p>
        </w:tc>
        <w:tc>
          <w:tcPr>
            <w:tcW w:w="8970" w:type="dxa"/>
          </w:tcPr>
          <w:p>
            <w:pPr>
              <w:spacing w:line="240" w:lineRule="exact"/>
              <w:ind w:left="100" w:hanging="105" w:hangingChars="50"/>
              <w:rPr>
                <w:b/>
                <w:bCs w:val="0"/>
                <w:color w:val="000000" w:themeColor="text1"/>
                <w:sz w:val="21"/>
                <w:szCs w:val="21"/>
              </w:rPr>
            </w:pPr>
            <w:r>
              <w:rPr>
                <w:rFonts w:hint="eastAsia"/>
                <w:b/>
                <w:bCs w:val="0"/>
                <w:color w:val="000000" w:themeColor="text1"/>
                <w:sz w:val="21"/>
                <w:szCs w:val="21"/>
              </w:rPr>
              <w:t>2.顾客满意</w:t>
            </w:r>
          </w:p>
          <w:p>
            <w:pPr>
              <w:spacing w:line="240" w:lineRule="exact"/>
              <w:ind w:left="120" w:leftChars="50" w:firstLine="316" w:firstLineChars="150"/>
              <w:rPr>
                <w:b/>
                <w:bCs w:val="0"/>
                <w:color w:val="000000" w:themeColor="text1"/>
                <w:sz w:val="21"/>
                <w:szCs w:val="21"/>
              </w:rPr>
            </w:pPr>
            <w:r>
              <w:rPr>
                <w:rFonts w:hint="eastAsia" w:ascii="宋体" w:hAnsi="宋体" w:cs="宋体"/>
                <w:b/>
                <w:bCs w:val="0"/>
                <w:color w:val="000000"/>
                <w:sz w:val="21"/>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b/>
                <w:bCs w:val="0"/>
                <w:sz w:val="21"/>
                <w:szCs w:val="21"/>
              </w:rPr>
              <w:t>20</w:t>
            </w:r>
            <w:r>
              <w:rPr>
                <w:rFonts w:hint="eastAsia" w:ascii="宋体" w:hAnsi="宋体" w:cs="宋体"/>
                <w:b/>
                <w:bCs w:val="0"/>
                <w:sz w:val="21"/>
                <w:szCs w:val="21"/>
                <w:lang w:val="en-US" w:eastAsia="zh-CN"/>
              </w:rPr>
              <w:t>20</w:t>
            </w:r>
            <w:r>
              <w:rPr>
                <w:rFonts w:hint="eastAsia" w:ascii="宋体" w:hAnsi="宋体" w:cs="宋体"/>
                <w:b/>
                <w:bCs w:val="0"/>
                <w:sz w:val="21"/>
                <w:szCs w:val="21"/>
              </w:rPr>
              <w:t>年5月实施，满意度评价9</w:t>
            </w:r>
            <w:r>
              <w:rPr>
                <w:rFonts w:hint="eastAsia" w:ascii="宋体" w:hAnsi="宋体" w:cs="宋体"/>
                <w:b/>
                <w:bCs w:val="0"/>
                <w:sz w:val="21"/>
                <w:szCs w:val="21"/>
                <w:lang w:val="en-US" w:eastAsia="zh-CN"/>
              </w:rPr>
              <w:t>6％</w:t>
            </w:r>
            <w:r>
              <w:rPr>
                <w:rFonts w:hint="eastAsia" w:ascii="宋体" w:hAnsi="宋体" w:cs="宋体"/>
                <w:b/>
                <w:bCs w:val="0"/>
                <w:sz w:val="21"/>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4" w:hRule="atLeast"/>
          <w:jc w:val="center"/>
        </w:trPr>
        <w:tc>
          <w:tcPr>
            <w:tcW w:w="948" w:type="dxa"/>
            <w:vMerge w:val="continue"/>
            <w:textDirection w:val="tbRlV"/>
            <w:vAlign w:val="center"/>
          </w:tcPr>
          <w:p>
            <w:pPr>
              <w:spacing w:line="240" w:lineRule="exact"/>
              <w:ind w:left="201" w:right="113" w:hanging="201" w:hangingChars="100"/>
              <w:jc w:val="center"/>
              <w:rPr>
                <w:b/>
                <w:color w:val="000000" w:themeColor="text1"/>
                <w:sz w:val="20"/>
              </w:rPr>
            </w:pPr>
          </w:p>
        </w:tc>
        <w:tc>
          <w:tcPr>
            <w:tcW w:w="8970" w:type="dxa"/>
          </w:tcPr>
          <w:p>
            <w:pPr>
              <w:spacing w:line="240" w:lineRule="exact"/>
              <w:rPr>
                <w:b/>
                <w:bCs w:val="0"/>
                <w:color w:val="000000" w:themeColor="text1"/>
                <w:sz w:val="21"/>
                <w:szCs w:val="21"/>
              </w:rPr>
            </w:pPr>
            <w:r>
              <w:rPr>
                <w:rFonts w:hint="eastAsia"/>
                <w:b/>
                <w:bCs w:val="0"/>
                <w:color w:val="000000" w:themeColor="text1"/>
                <w:sz w:val="21"/>
                <w:szCs w:val="21"/>
              </w:rPr>
              <w:t>3. 内审（包括内审策划审核方案中考虑拟审核的过程和区域的状况和重要性）</w:t>
            </w:r>
          </w:p>
          <w:p>
            <w:pPr>
              <w:spacing w:line="240" w:lineRule="exact"/>
              <w:ind w:firstLine="422" w:firstLineChars="200"/>
              <w:rPr>
                <w:b/>
                <w:bCs w:val="0"/>
                <w:color w:val="FF0000"/>
                <w:sz w:val="21"/>
                <w:szCs w:val="21"/>
              </w:rPr>
            </w:pPr>
            <w:r>
              <w:rPr>
                <w:rFonts w:hint="eastAsia" w:ascii="宋体" w:hAnsi="宋体"/>
                <w:b/>
                <w:bCs w:val="0"/>
                <w:sz w:val="21"/>
                <w:szCs w:val="21"/>
              </w:rPr>
              <w:t>建立有《内部审核控制程序》，规定了内审频次一年一次，内审时间：20</w:t>
            </w:r>
            <w:r>
              <w:rPr>
                <w:rFonts w:hint="eastAsia" w:ascii="宋体" w:hAnsi="宋体"/>
                <w:b/>
                <w:bCs w:val="0"/>
                <w:sz w:val="21"/>
                <w:szCs w:val="21"/>
                <w:lang w:val="en-US" w:eastAsia="zh-CN"/>
              </w:rPr>
              <w:t>20</w:t>
            </w:r>
            <w:r>
              <w:rPr>
                <w:rFonts w:hint="eastAsia" w:ascii="宋体" w:hAnsi="宋体"/>
                <w:b/>
                <w:bCs w:val="0"/>
                <w:sz w:val="21"/>
                <w:szCs w:val="21"/>
              </w:rPr>
              <w:t>年</w:t>
            </w:r>
            <w:r>
              <w:rPr>
                <w:rFonts w:ascii="宋体" w:hAnsi="宋体"/>
                <w:b/>
                <w:bCs w:val="0"/>
                <w:sz w:val="21"/>
                <w:szCs w:val="21"/>
              </w:rPr>
              <w:t>6</w:t>
            </w:r>
            <w:r>
              <w:rPr>
                <w:rFonts w:hint="eastAsia" w:ascii="宋体" w:hAnsi="宋体"/>
                <w:b/>
                <w:bCs w:val="0"/>
                <w:sz w:val="21"/>
                <w:szCs w:val="21"/>
              </w:rPr>
              <w:t>月</w:t>
            </w:r>
            <w:r>
              <w:rPr>
                <w:rFonts w:hint="eastAsia" w:ascii="宋体" w:hAnsi="宋体"/>
                <w:b/>
                <w:bCs w:val="0"/>
                <w:sz w:val="21"/>
                <w:szCs w:val="21"/>
                <w:lang w:val="en-US" w:eastAsia="zh-CN"/>
              </w:rPr>
              <w:t>3</w:t>
            </w:r>
            <w:r>
              <w:rPr>
                <w:rFonts w:hint="eastAsia" w:ascii="宋体" w:hAnsi="宋体"/>
                <w:b/>
                <w:bCs w:val="0"/>
                <w:sz w:val="21"/>
                <w:szCs w:val="21"/>
              </w:rPr>
              <w:t>-</w:t>
            </w:r>
            <w:r>
              <w:rPr>
                <w:rFonts w:hint="eastAsia" w:ascii="宋体" w:hAnsi="宋体"/>
                <w:b/>
                <w:bCs w:val="0"/>
                <w:sz w:val="21"/>
                <w:szCs w:val="21"/>
                <w:lang w:val="en-US" w:eastAsia="zh-CN"/>
              </w:rPr>
              <w:t>5</w:t>
            </w:r>
            <w:r>
              <w:rPr>
                <w:rFonts w:hint="eastAsia" w:ascii="宋体" w:hAnsi="宋体"/>
                <w:b/>
                <w:bCs w:val="0"/>
                <w:sz w:val="21"/>
                <w:szCs w:val="21"/>
              </w:rPr>
              <w:t>日，拟定了审核实施表，明确了内审范围，内审人员经培训合格上岗，能力满足要求，未出现审核本部门情况，内审不符合项1项，涉及行政部</w:t>
            </w:r>
            <w:r>
              <w:rPr>
                <w:rFonts w:hint="eastAsia" w:ascii="宋体" w:hAnsi="宋体"/>
                <w:b/>
                <w:bCs w:val="0"/>
                <w:sz w:val="21"/>
                <w:szCs w:val="21"/>
                <w:lang w:val="en-US" w:eastAsia="zh-CN"/>
              </w:rPr>
              <w:t>Q9.1.2J12.3</w:t>
            </w:r>
            <w:r>
              <w:rPr>
                <w:rFonts w:hint="eastAsia" w:ascii="宋体" w:hAnsi="宋体"/>
                <w:b/>
                <w:bCs w:val="0"/>
                <w:sz w:val="21"/>
                <w:szCs w:val="21"/>
              </w:rPr>
              <w:t>条款，针对该不符合项，已及时采取纠正措施后，经内审员验证关闭。内审的有效性需要改善。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6" w:hRule="atLeast"/>
          <w:jc w:val="center"/>
        </w:trPr>
        <w:tc>
          <w:tcPr>
            <w:tcW w:w="948" w:type="dxa"/>
            <w:vMerge w:val="continue"/>
            <w:textDirection w:val="tbRlV"/>
            <w:vAlign w:val="center"/>
          </w:tcPr>
          <w:p>
            <w:pPr>
              <w:spacing w:line="240" w:lineRule="exact"/>
              <w:ind w:left="201" w:right="113" w:hanging="201" w:hangingChars="100"/>
              <w:jc w:val="center"/>
              <w:rPr>
                <w:b/>
                <w:color w:val="000000" w:themeColor="text1"/>
                <w:sz w:val="20"/>
              </w:rPr>
            </w:pPr>
          </w:p>
        </w:tc>
        <w:tc>
          <w:tcPr>
            <w:tcW w:w="8970" w:type="dxa"/>
          </w:tcPr>
          <w:p>
            <w:pPr>
              <w:spacing w:line="240" w:lineRule="exact"/>
              <w:rPr>
                <w:b/>
                <w:bCs w:val="0"/>
                <w:color w:val="000000" w:themeColor="text1"/>
                <w:sz w:val="21"/>
                <w:szCs w:val="21"/>
              </w:rPr>
            </w:pPr>
            <w:r>
              <w:rPr>
                <w:rFonts w:hint="eastAsia"/>
                <w:b/>
                <w:bCs w:val="0"/>
                <w:color w:val="000000" w:themeColor="text1"/>
                <w:sz w:val="21"/>
                <w:szCs w:val="21"/>
              </w:rPr>
              <w:t>4.管理评审（管理评审体系变更需求，纠正和预防措施、体系有效性等）</w:t>
            </w:r>
          </w:p>
          <w:p>
            <w:pPr>
              <w:spacing w:line="240" w:lineRule="exact"/>
              <w:ind w:firstLine="422" w:firstLineChars="200"/>
              <w:rPr>
                <w:b/>
                <w:bCs w:val="0"/>
                <w:color w:val="000000" w:themeColor="text1"/>
                <w:sz w:val="21"/>
                <w:szCs w:val="21"/>
              </w:rPr>
            </w:pPr>
            <w:r>
              <w:rPr>
                <w:rFonts w:hint="eastAsia" w:ascii="宋体" w:hAnsi="宋体" w:cs="宋体"/>
                <w:b/>
                <w:bCs w:val="0"/>
                <w:sz w:val="21"/>
                <w:szCs w:val="21"/>
              </w:rPr>
              <w:t>管理评审频次为一年一次、本次管理评审于</w:t>
            </w:r>
            <w:r>
              <w:rPr>
                <w:rFonts w:hint="eastAsia" w:ascii="宋体" w:hAnsi="宋体"/>
                <w:b/>
                <w:bCs w:val="0"/>
                <w:sz w:val="21"/>
                <w:szCs w:val="21"/>
              </w:rPr>
              <w:t>20</w:t>
            </w:r>
            <w:r>
              <w:rPr>
                <w:rFonts w:hint="eastAsia" w:ascii="宋体" w:hAnsi="宋体"/>
                <w:b/>
                <w:bCs w:val="0"/>
                <w:sz w:val="21"/>
                <w:szCs w:val="21"/>
                <w:lang w:val="en-US" w:eastAsia="zh-CN"/>
              </w:rPr>
              <w:t>20</w:t>
            </w:r>
            <w:r>
              <w:rPr>
                <w:rFonts w:hint="eastAsia" w:ascii="宋体" w:hAnsi="宋体"/>
                <w:b/>
                <w:bCs w:val="0"/>
                <w:sz w:val="21"/>
                <w:szCs w:val="21"/>
              </w:rPr>
              <w:t>年</w:t>
            </w:r>
            <w:r>
              <w:rPr>
                <w:rFonts w:hint="eastAsia" w:ascii="宋体" w:hAnsi="宋体"/>
                <w:b/>
                <w:bCs w:val="0"/>
                <w:sz w:val="21"/>
                <w:szCs w:val="21"/>
                <w:lang w:val="en-US" w:eastAsia="zh-CN"/>
              </w:rPr>
              <w:t>6</w:t>
            </w:r>
            <w:r>
              <w:rPr>
                <w:rFonts w:hint="eastAsia" w:ascii="宋体" w:hAnsi="宋体"/>
                <w:b/>
                <w:bCs w:val="0"/>
                <w:sz w:val="21"/>
                <w:szCs w:val="21"/>
              </w:rPr>
              <w:t>月</w:t>
            </w:r>
            <w:r>
              <w:rPr>
                <w:rFonts w:hint="eastAsia" w:ascii="宋体" w:hAnsi="宋体"/>
                <w:b/>
                <w:bCs w:val="0"/>
                <w:sz w:val="21"/>
                <w:szCs w:val="21"/>
                <w:lang w:val="en-US" w:eastAsia="zh-CN"/>
              </w:rPr>
              <w:t>22</w:t>
            </w:r>
            <w:r>
              <w:rPr>
                <w:rFonts w:hint="eastAsia" w:ascii="宋体" w:hAnsi="宋体"/>
                <w:b/>
                <w:bCs w:val="0"/>
                <w:sz w:val="21"/>
                <w:szCs w:val="21"/>
              </w:rPr>
              <w:t>日</w:t>
            </w:r>
            <w:r>
              <w:rPr>
                <w:rFonts w:hint="eastAsia" w:ascii="宋体" w:hAnsi="宋体" w:cs="宋体"/>
                <w:b/>
                <w:bCs w:val="0"/>
                <w:sz w:val="21"/>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jc w:val="center"/>
        </w:trPr>
        <w:tc>
          <w:tcPr>
            <w:tcW w:w="948" w:type="dxa"/>
            <w:vMerge w:val="continue"/>
            <w:vAlign w:val="center"/>
          </w:tcPr>
          <w:p>
            <w:pPr>
              <w:spacing w:line="240" w:lineRule="exact"/>
              <w:jc w:val="center"/>
              <w:rPr>
                <w:b/>
                <w:color w:val="000000" w:themeColor="text1"/>
                <w:sz w:val="20"/>
              </w:rPr>
            </w:pPr>
          </w:p>
        </w:tc>
        <w:tc>
          <w:tcPr>
            <w:tcW w:w="8970" w:type="dxa"/>
          </w:tcPr>
          <w:p>
            <w:pPr>
              <w:spacing w:line="240" w:lineRule="exact"/>
              <w:rPr>
                <w:b/>
                <w:bCs w:val="0"/>
                <w:color w:val="000000" w:themeColor="text1"/>
                <w:sz w:val="20"/>
                <w:szCs w:val="20"/>
              </w:rPr>
            </w:pPr>
            <w:r>
              <w:rPr>
                <w:rFonts w:hint="eastAsia"/>
                <w:b/>
                <w:bCs w:val="0"/>
                <w:color w:val="000000" w:themeColor="text1"/>
                <w:sz w:val="20"/>
                <w:szCs w:val="20"/>
              </w:rPr>
              <w:t>5.  EMS是否按规定对主要污染物（污水、废气、噪声、废渣等）及排放实施了例行的监视或测量，结果是否满足相关要求？</w:t>
            </w:r>
          </w:p>
          <w:p>
            <w:pPr>
              <w:spacing w:line="240" w:lineRule="exact"/>
              <w:ind w:firstLine="201" w:firstLineChars="100"/>
              <w:rPr>
                <w:b/>
                <w:bCs w:val="0"/>
                <w:sz w:val="20"/>
                <w:szCs w:val="20"/>
              </w:rPr>
            </w:pPr>
            <w:r>
              <w:rPr>
                <w:rFonts w:hint="eastAsia"/>
                <w:b/>
                <w:bCs w:val="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jc w:val="center"/>
        </w:trPr>
        <w:tc>
          <w:tcPr>
            <w:tcW w:w="948" w:type="dxa"/>
            <w:vMerge w:val="continue"/>
            <w:vAlign w:val="center"/>
          </w:tcPr>
          <w:p>
            <w:pPr>
              <w:spacing w:line="240" w:lineRule="exact"/>
              <w:jc w:val="center"/>
              <w:rPr>
                <w:b/>
                <w:color w:val="000000" w:themeColor="text1"/>
                <w:sz w:val="20"/>
              </w:rPr>
            </w:pPr>
          </w:p>
        </w:tc>
        <w:tc>
          <w:tcPr>
            <w:tcW w:w="8970" w:type="dxa"/>
          </w:tcPr>
          <w:p>
            <w:pPr>
              <w:spacing w:line="240" w:lineRule="exact"/>
              <w:rPr>
                <w:b/>
                <w:bCs w:val="0"/>
                <w:color w:val="000000" w:themeColor="text1"/>
                <w:sz w:val="20"/>
                <w:szCs w:val="20"/>
              </w:rPr>
            </w:pPr>
            <w:r>
              <w:rPr>
                <w:rFonts w:hint="eastAsia"/>
                <w:b/>
                <w:bCs w:val="0"/>
                <w:color w:val="000000" w:themeColor="text1"/>
                <w:sz w:val="20"/>
                <w:szCs w:val="20"/>
              </w:rPr>
              <w:t xml:space="preserve">6.  </w:t>
            </w:r>
            <w:r>
              <w:rPr>
                <w:b/>
                <w:bCs w:val="0"/>
                <w:color w:val="000000" w:themeColor="text1"/>
                <w:sz w:val="20"/>
                <w:szCs w:val="20"/>
              </w:rPr>
              <w:t>EMS</w:t>
            </w:r>
            <w:r>
              <w:rPr>
                <w:rFonts w:hint="eastAsia"/>
                <w:b/>
                <w:bCs w:val="0"/>
                <w:color w:val="000000" w:themeColor="text1"/>
                <w:sz w:val="20"/>
                <w:szCs w:val="20"/>
              </w:rPr>
              <w:t xml:space="preserve">国家/地方环保部门监测结果、新改扩建项目符合环评报告、三同时验收报告要求情况及措施 </w:t>
            </w:r>
          </w:p>
          <w:p>
            <w:pPr>
              <w:spacing w:line="240" w:lineRule="exact"/>
              <w:rPr>
                <w:b/>
                <w:bCs w:val="0"/>
                <w:sz w:val="20"/>
                <w:szCs w:val="20"/>
              </w:rPr>
            </w:pPr>
            <w:r>
              <w:rPr>
                <w:rFonts w:hint="eastAsia"/>
                <w:b/>
                <w:bCs w:val="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948" w:type="dxa"/>
            <w:vMerge w:val="continue"/>
            <w:vAlign w:val="center"/>
          </w:tcPr>
          <w:p>
            <w:pPr>
              <w:spacing w:line="240" w:lineRule="exact"/>
              <w:jc w:val="center"/>
              <w:rPr>
                <w:b/>
                <w:color w:val="000000" w:themeColor="text1"/>
                <w:sz w:val="20"/>
              </w:rPr>
            </w:pPr>
          </w:p>
        </w:tc>
        <w:tc>
          <w:tcPr>
            <w:tcW w:w="8970"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b/>
                <w:color w:val="000000" w:themeColor="text1"/>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948" w:type="dxa"/>
            <w:vMerge w:val="continue"/>
            <w:vAlign w:val="center"/>
          </w:tcPr>
          <w:p>
            <w:pPr>
              <w:spacing w:line="240" w:lineRule="exact"/>
              <w:jc w:val="center"/>
              <w:rPr>
                <w:b/>
                <w:color w:val="000000" w:themeColor="text1"/>
                <w:sz w:val="20"/>
              </w:rPr>
            </w:pPr>
          </w:p>
        </w:tc>
        <w:tc>
          <w:tcPr>
            <w:tcW w:w="8970"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sz w:val="20"/>
                <w:szCs w:val="20"/>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48" w:type="dxa"/>
            <w:vMerge w:val="continue"/>
            <w:tcBorders>
              <w:bottom w:val="single" w:color="auto" w:sz="4" w:space="0"/>
            </w:tcBorders>
            <w:vAlign w:val="center"/>
          </w:tcPr>
          <w:p>
            <w:pPr>
              <w:spacing w:line="240" w:lineRule="exact"/>
              <w:jc w:val="center"/>
              <w:rPr>
                <w:b/>
                <w:color w:val="000000" w:themeColor="text1"/>
                <w:sz w:val="20"/>
              </w:rPr>
            </w:pPr>
          </w:p>
        </w:tc>
        <w:tc>
          <w:tcPr>
            <w:tcW w:w="8970"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948"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b/>
                <w:color w:val="000000" w:themeColor="text1"/>
                <w:sz w:val="20"/>
                <w:szCs w:val="20"/>
              </w:rPr>
            </w:pPr>
            <w:r>
              <w:rPr>
                <w:rFonts w:hint="eastAsia" w:ascii="宋体" w:hAnsi="宋体" w:cs="宋体"/>
                <w:b/>
                <w:bCs/>
                <w:color w:val="000000" w:themeColor="text1"/>
                <w:sz w:val="21"/>
                <w:szCs w:val="21"/>
              </w:rPr>
              <w:t>公司明确通过对内、外审核结果、管理评审输出、监测和测量等活动中识别出</w:t>
            </w:r>
            <w:r>
              <w:rPr>
                <w:rFonts w:hint="eastAsia" w:ascii="宋体" w:hAnsi="宋体"/>
                <w:b/>
                <w:bCs/>
                <w:color w:val="000000" w:themeColor="text1"/>
                <w:sz w:val="21"/>
                <w:szCs w:val="21"/>
              </w:rPr>
              <w:t>在产品/服务、过程、管理体系等方面</w:t>
            </w:r>
            <w:r>
              <w:rPr>
                <w:rFonts w:hint="eastAsia" w:ascii="宋体" w:hAnsi="宋体" w:cs="宋体"/>
                <w:b/>
                <w:bCs/>
                <w:color w:val="000000" w:themeColor="text1"/>
                <w:sz w:val="21"/>
                <w:szCs w:val="2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b/>
                <w:bCs/>
                <w:sz w:val="21"/>
                <w:szCs w:val="21"/>
              </w:rPr>
              <w:t>纠正措施的有效性需要改善</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48" w:type="dxa"/>
            <w:vMerge w:val="continue"/>
            <w:vAlign w:val="center"/>
          </w:tcPr>
          <w:p>
            <w:pPr>
              <w:spacing w:line="240" w:lineRule="exact"/>
              <w:jc w:val="center"/>
              <w:rPr>
                <w:b/>
                <w:color w:val="000000" w:themeColor="text1"/>
                <w:sz w:val="20"/>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jc w:val="center"/>
        </w:trPr>
        <w:tc>
          <w:tcPr>
            <w:tcW w:w="948" w:type="dxa"/>
            <w:vMerge w:val="continue"/>
            <w:vAlign w:val="center"/>
          </w:tcPr>
          <w:p>
            <w:pPr>
              <w:spacing w:line="240" w:lineRule="exact"/>
              <w:jc w:val="center"/>
              <w:rPr>
                <w:b/>
                <w:color w:val="000000" w:themeColor="text1"/>
                <w:sz w:val="20"/>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 xml:space="preserve">3. </w:t>
            </w:r>
            <w:r>
              <w:rPr>
                <w:rFonts w:hint="eastAsia" w:ascii="宋体" w:hAnsi="宋体"/>
                <w:b/>
                <w:sz w:val="21"/>
                <w:szCs w:val="21"/>
              </w:rPr>
              <w:t>上次不符合的整改情况</w:t>
            </w:r>
            <w:r>
              <w:rPr>
                <w:rFonts w:hint="eastAsia"/>
                <w:b/>
                <w:color w:val="000000" w:themeColor="text1"/>
                <w:sz w:val="20"/>
                <w:szCs w:val="20"/>
              </w:rPr>
              <w:t>问题的整改情况?</w:t>
            </w:r>
          </w:p>
          <w:p>
            <w:pPr>
              <w:spacing w:line="240" w:lineRule="exact"/>
              <w:rPr>
                <w:rFonts w:hint="eastAsia" w:eastAsia="宋体"/>
                <w:b/>
                <w:color w:val="000000" w:themeColor="text1"/>
                <w:sz w:val="20"/>
                <w:szCs w:val="20"/>
                <w:lang w:eastAsia="zh-CN"/>
              </w:rPr>
            </w:pPr>
            <w:r>
              <w:rPr>
                <w:rFonts w:hint="eastAsia"/>
                <w:b/>
                <w:color w:val="000000" w:themeColor="text1"/>
                <w:sz w:val="20"/>
                <w:szCs w:val="20"/>
              </w:rPr>
              <w:t xml:space="preserve"> </w:t>
            </w:r>
            <w:r>
              <w:rPr>
                <w:b/>
                <w:color w:val="000000" w:themeColor="text1"/>
                <w:sz w:val="20"/>
                <w:szCs w:val="20"/>
              </w:rPr>
              <w:t xml:space="preserve">  </w:t>
            </w:r>
            <w:r>
              <w:rPr>
                <w:b/>
                <w:bCs w:val="0"/>
                <w:color w:val="000000" w:themeColor="text1"/>
                <w:sz w:val="20"/>
                <w:szCs w:val="20"/>
              </w:rPr>
              <w:t xml:space="preserve"> </w:t>
            </w:r>
            <w:r>
              <w:rPr>
                <w:rFonts w:hint="eastAsia"/>
                <w:b/>
                <w:bCs w:val="0"/>
                <w:color w:val="000000" w:themeColor="text1"/>
                <w:sz w:val="20"/>
                <w:szCs w:val="20"/>
                <w:lang w:val="en-US" w:eastAsia="zh-CN"/>
              </w:rPr>
              <w:t>初审提出的1项不符合涉及G</w:t>
            </w:r>
            <w:r>
              <w:rPr>
                <w:rFonts w:hint="eastAsia" w:ascii="宋体" w:hAnsi="宋体"/>
                <w:b/>
                <w:bCs w:val="0"/>
                <w:szCs w:val="21"/>
              </w:rPr>
              <w:t>B/T19001-2016标准</w:t>
            </w:r>
            <w:r>
              <w:rPr>
                <w:rFonts w:ascii="宋体" w:hAnsi="宋体"/>
                <w:b/>
                <w:bCs w:val="0"/>
                <w:szCs w:val="21"/>
              </w:rPr>
              <w:t>8.4.2</w:t>
            </w:r>
            <w:r>
              <w:rPr>
                <w:rFonts w:hint="eastAsia" w:ascii="宋体" w:hAnsi="宋体"/>
                <w:b/>
                <w:bCs w:val="0"/>
                <w:szCs w:val="21"/>
              </w:rPr>
              <w:t>条款，GB/T50430-2017标准</w:t>
            </w:r>
            <w:r>
              <w:rPr>
                <w:rFonts w:ascii="宋体" w:hAnsi="宋体"/>
                <w:b/>
                <w:bCs w:val="0"/>
                <w:szCs w:val="21"/>
              </w:rPr>
              <w:t>8.2.2</w:t>
            </w:r>
            <w:r>
              <w:rPr>
                <w:rFonts w:hint="eastAsia" w:ascii="宋体" w:hAnsi="宋体"/>
                <w:b/>
                <w:bCs w:val="0"/>
                <w:szCs w:val="21"/>
              </w:rPr>
              <w:t>条款</w:t>
            </w:r>
            <w:r>
              <w:rPr>
                <w:rFonts w:hint="eastAsia"/>
                <w:b/>
                <w:bCs w:val="0"/>
              </w:rPr>
              <w:t xml:space="preserve"> </w:t>
            </w:r>
            <w:r>
              <w:rPr>
                <w:rFonts w:hint="eastAsia"/>
                <w:b/>
                <w:bCs w:val="0"/>
                <w:color w:val="000000" w:themeColor="text1"/>
                <w:sz w:val="20"/>
                <w:szCs w:val="20"/>
              </w:rPr>
              <w:t>已经有效整改</w:t>
            </w:r>
            <w:r>
              <w:rPr>
                <w:rFonts w:hint="eastAsia"/>
                <w:b/>
                <w:bCs w:val="0"/>
                <w:color w:val="000000" w:themeColor="text1"/>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948" w:type="dxa"/>
            <w:vMerge w:val="continue"/>
            <w:vAlign w:val="center"/>
          </w:tcPr>
          <w:p>
            <w:pPr>
              <w:spacing w:line="240" w:lineRule="exact"/>
              <w:jc w:val="center"/>
              <w:rPr>
                <w:b/>
                <w:color w:val="000000" w:themeColor="text1"/>
                <w:sz w:val="20"/>
              </w:rPr>
            </w:pPr>
          </w:p>
        </w:tc>
        <w:tc>
          <w:tcPr>
            <w:tcW w:w="8970" w:type="dxa"/>
            <w:tcBorders>
              <w:top w:val="single" w:color="auto" w:sz="4" w:space="0"/>
              <w:left w:val="single" w:color="auto" w:sz="4" w:space="0"/>
              <w:bottom w:val="single" w:color="auto" w:sz="4" w:space="0"/>
              <w:right w:val="single" w:color="auto" w:sz="4" w:space="0"/>
            </w:tcBorders>
          </w:tcPr>
          <w:p>
            <w:pPr>
              <w:numPr>
                <w:ilvl w:val="0"/>
                <w:numId w:val="3"/>
              </w:numPr>
              <w:spacing w:line="240" w:lineRule="exact"/>
              <w:rPr>
                <w:rFonts w:hint="eastAsia"/>
                <w:b/>
                <w:color w:val="000000" w:themeColor="text1"/>
                <w:sz w:val="20"/>
                <w:szCs w:val="20"/>
              </w:rPr>
            </w:pPr>
            <w:r>
              <w:rPr>
                <w:rFonts w:hint="eastAsia"/>
                <w:b/>
                <w:color w:val="000000" w:themeColor="text1"/>
                <w:sz w:val="20"/>
                <w:szCs w:val="20"/>
              </w:rPr>
              <w:t>创新情况</w:t>
            </w:r>
          </w:p>
          <w:p>
            <w:pPr>
              <w:numPr>
                <w:ilvl w:val="0"/>
                <w:numId w:val="0"/>
              </w:numPr>
              <w:spacing w:line="240" w:lineRule="exact"/>
              <w:rPr>
                <w:rFonts w:hint="eastAsia"/>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948" w:type="dxa"/>
            <w:vMerge w:val="continue"/>
            <w:vAlign w:val="center"/>
          </w:tcPr>
          <w:p>
            <w:pPr>
              <w:spacing w:line="240" w:lineRule="exact"/>
              <w:jc w:val="center"/>
              <w:rPr>
                <w:b/>
                <w:color w:val="000000" w:themeColor="text1"/>
                <w:sz w:val="20"/>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1</w:t>
      </w:r>
      <w:r>
        <w:rPr>
          <w:rFonts w:hint="eastAsia" w:ascii="宋体" w:hAnsi="宋体"/>
          <w:b/>
          <w:szCs w:val="21"/>
        </w:rPr>
        <w:t>项；其中</w:t>
      </w:r>
      <w:r>
        <w:rPr>
          <w:rFonts w:ascii="宋体" w:hAnsi="宋体"/>
          <w:b/>
          <w:szCs w:val="21"/>
        </w:rPr>
        <w:pict>
          <v:line id="直接连接符 1" o:spid="_x0000_s2053"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1</w:t>
      </w:r>
      <w:r>
        <w:rPr>
          <w:rFonts w:hint="eastAsia" w:ascii="宋体" w:hAnsi="宋体"/>
          <w:b/>
          <w:szCs w:val="21"/>
        </w:rPr>
        <w:t>项，观察项</w:t>
      </w:r>
      <w:r>
        <w:rPr>
          <w:rFonts w:hint="eastAsia" w:ascii="宋体" w:hAnsi="宋体"/>
          <w:b/>
          <w:szCs w:val="21"/>
          <w:lang w:val="en-US" w:eastAsia="zh-CN"/>
        </w:rPr>
        <w:t>2</w:t>
      </w:r>
      <w:r>
        <w:rPr>
          <w:rFonts w:hint="eastAsia" w:ascii="宋体" w:hAnsi="宋体"/>
          <w:b/>
          <w:szCs w:val="21"/>
        </w:rPr>
        <w:t>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6"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sym w:font="Wingdings 2" w:char="0052"/>
            </w:r>
            <w:r>
              <w:rPr>
                <w:rFonts w:ascii="宋体" w:hAnsi="宋体"/>
                <w:b/>
                <w:szCs w:val="21"/>
              </w:rPr>
              <w:t>QMS</w:t>
            </w:r>
            <w:r>
              <w:rPr>
                <w:rFonts w:hint="eastAsia" w:ascii="宋体" w:hAnsi="宋体"/>
                <w:b/>
                <w:szCs w:val="21"/>
              </w:rPr>
              <w:sym w:font="Wingdings 2" w:char="0052"/>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sym w:font="Wingdings 2" w:char="0052"/>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40" w:lineRule="exact"/>
              <w:rPr>
                <w:rFonts w:ascii="宋体" w:hAnsi="宋体"/>
                <w:b/>
                <w:szCs w:val="21"/>
              </w:rPr>
            </w:pPr>
            <w:r>
              <w:rPr>
                <w:rFonts w:hint="eastAsia"/>
                <w:b/>
                <w:color w:val="000000" w:themeColor="text1"/>
                <w:sz w:val="22"/>
                <w:szCs w:val="22"/>
              </w:rPr>
              <w:t>该公司建立并实施的质量、环境、职业健康安全管理体系基本符合标准要求，对可能存在的重要风险基本可以得到有效控制，</w:t>
            </w:r>
            <w:r>
              <w:rPr>
                <w:rFonts w:hint="eastAsia"/>
                <w:b/>
                <w:color w:val="000000" w:themeColor="text1"/>
                <w:sz w:val="22"/>
                <w:szCs w:val="22"/>
                <w:lang w:val="en-US" w:eastAsia="zh-CN"/>
              </w:rPr>
              <w:t>施工及</w:t>
            </w:r>
            <w:r>
              <w:rPr>
                <w:rFonts w:hint="eastAsia"/>
                <w:b/>
                <w:color w:val="000000" w:themeColor="text1"/>
                <w:sz w:val="22"/>
                <w:szCs w:val="22"/>
              </w:rPr>
              <w:t>服务质量稳定，没有出现过质量、环境和职业健康安全事故以及顾客投诉等事件，该公司初步建立了自我完善和自我改进机制，管理体系</w:t>
            </w:r>
            <w:r>
              <w:rPr>
                <w:rFonts w:hint="eastAsia"/>
                <w:b/>
                <w:color w:val="000000" w:themeColor="text1"/>
                <w:sz w:val="22"/>
                <w:szCs w:val="22"/>
                <w:lang w:val="en-US" w:eastAsia="zh-CN"/>
              </w:rPr>
              <w:t>从认证以来</w:t>
            </w:r>
            <w:r>
              <w:rPr>
                <w:rFonts w:hint="eastAsia"/>
                <w:b/>
                <w:color w:val="000000" w:themeColor="text1"/>
                <w:sz w:val="22"/>
                <w:szCs w:val="22"/>
              </w:rPr>
              <w:t>运行基本有效。</w:t>
            </w:r>
            <w:r>
              <w:rPr>
                <w:rFonts w:hint="eastAsia"/>
                <w:b/>
                <w:color w:val="000000" w:themeColor="text1"/>
                <w:sz w:val="22"/>
                <w:szCs w:val="22"/>
                <w:lang w:val="en-US" w:eastAsia="zh-CN"/>
              </w:rPr>
              <w:t>本次监督审核</w:t>
            </w:r>
            <w:r>
              <w:rPr>
                <w:rFonts w:hint="eastAsia"/>
                <w:b/>
                <w:color w:val="000000" w:themeColor="text1"/>
                <w:sz w:val="22"/>
                <w:szCs w:val="22"/>
              </w:rPr>
              <w:t>现场开具的</w:t>
            </w:r>
            <w:r>
              <w:rPr>
                <w:b/>
                <w:color w:val="000000" w:themeColor="text1"/>
                <w:sz w:val="22"/>
                <w:szCs w:val="22"/>
              </w:rPr>
              <w:t>1</w:t>
            </w:r>
            <w:r>
              <w:rPr>
                <w:rFonts w:hint="eastAsia"/>
                <w:b/>
                <w:color w:val="000000" w:themeColor="text1"/>
                <w:sz w:val="22"/>
                <w:szCs w:val="22"/>
              </w:rPr>
              <w:t>项一般不符合在规定的期限内采取纠正措施并经审核组书面验证有效，同意推荐该公司</w:t>
            </w:r>
            <w:r>
              <w:rPr>
                <w:rFonts w:hint="eastAsia"/>
                <w:b/>
                <w:color w:val="000000" w:themeColor="text1"/>
                <w:sz w:val="22"/>
                <w:szCs w:val="22"/>
                <w:lang w:val="en-US" w:eastAsia="zh-CN"/>
              </w:rPr>
              <w:t>保持</w:t>
            </w:r>
            <w:r>
              <w:rPr>
                <w:rFonts w:hint="eastAsia"/>
                <w:b/>
                <w:color w:val="000000" w:themeColor="text1"/>
                <w:sz w:val="22"/>
                <w:szCs w:val="22"/>
              </w:rPr>
              <w:t>质量、环境、管理体系认证注册</w:t>
            </w:r>
            <w:r>
              <w:rPr>
                <w:rFonts w:hint="eastAsia"/>
                <w:b/>
                <w:color w:val="000000" w:themeColor="text1"/>
                <w:sz w:val="22"/>
                <w:szCs w:val="22"/>
                <w:lang w:val="en-US" w:eastAsia="zh-CN"/>
              </w:rPr>
              <w:t>资格</w:t>
            </w:r>
            <w:r>
              <w:rPr>
                <w:rFonts w:hint="eastAsia"/>
                <w:b/>
                <w:color w:val="000000" w:themeColor="text1"/>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rPr>
              <w:sym w:font="Wingdings 2" w:char="0052"/>
            </w:r>
            <w:r>
              <w:rPr>
                <w:rFonts w:ascii="宋体" w:hAnsi="宋体"/>
                <w:b/>
                <w:szCs w:val="21"/>
              </w:rPr>
              <w:t>QMS</w:t>
            </w:r>
            <w:r>
              <w:rPr>
                <w:rFonts w:hint="eastAsia" w:ascii="宋体" w:hAnsi="宋体"/>
                <w:b/>
                <w:szCs w:val="21"/>
              </w:rPr>
              <w:sym w:font="Wingdings 2" w:char="0052"/>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sym w:font="Wingdings 2" w:char="0052"/>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b/>
                <w:sz w:val="26"/>
                <w:szCs w:val="26"/>
              </w:rPr>
            </w:pPr>
            <w:r>
              <w:rPr>
                <w:rFonts w:hint="eastAsia" w:ascii="宋体" w:hAnsi="宋体"/>
                <w:b/>
                <w:szCs w:val="21"/>
              </w:rPr>
              <w:t>延期推荐、不推荐或缩小认证范围的说明</w:t>
            </w:r>
            <w:r>
              <w:rPr>
                <w:rFonts w:ascii="宋体" w:hAnsi="宋体"/>
                <w:b/>
                <w:szCs w:val="21"/>
              </w:rPr>
              <w:t>:</w:t>
            </w: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bCs/>
          <w:sz w:val="21"/>
          <w:szCs w:val="28"/>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tabs>
          <w:tab w:val="left" w:pos="645"/>
        </w:tabs>
        <w:spacing w:after="163" w:afterLines="50" w:line="360" w:lineRule="exact"/>
        <w:rPr>
          <w:b/>
          <w:sz w:val="16"/>
          <w:szCs w:val="16"/>
        </w:rPr>
      </w:pPr>
      <w:r>
        <w:rPr>
          <w:rFonts w:eastAsia="隶书"/>
          <w:sz w:val="36"/>
          <w:szCs w:val="36"/>
        </w:rPr>
        <w:drawing>
          <wp:anchor distT="0" distB="0" distL="114300" distR="114300" simplePos="0" relativeHeight="251668480" behindDoc="0" locked="0" layoutInCell="1" allowOverlap="1">
            <wp:simplePos x="0" y="0"/>
            <wp:positionH relativeFrom="column">
              <wp:posOffset>1795780</wp:posOffset>
            </wp:positionH>
            <wp:positionV relativeFrom="paragraph">
              <wp:posOffset>267335</wp:posOffset>
            </wp:positionV>
            <wp:extent cx="450850" cy="253365"/>
            <wp:effectExtent l="0" t="0" r="6350" b="13335"/>
            <wp:wrapSquare wrapText="bothSides"/>
            <wp:docPr id="1" name="图片 1" descr="李凤仪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凤仪电子签名"/>
                    <pic:cNvPicPr>
                      <a:picLocks noChangeAspect="1"/>
                    </pic:cNvPicPr>
                  </pic:nvPicPr>
                  <pic:blipFill>
                    <a:blip r:embed="rId6"/>
                    <a:stretch>
                      <a:fillRect/>
                    </a:stretch>
                  </pic:blipFill>
                  <pic:spPr>
                    <a:xfrm>
                      <a:off x="0" y="0"/>
                      <a:ext cx="450850" cy="253365"/>
                    </a:xfrm>
                    <a:prstGeom prst="rect">
                      <a:avLst/>
                    </a:prstGeom>
                    <a:noFill/>
                    <a:ln>
                      <a:noFill/>
                    </a:ln>
                  </pic:spPr>
                </pic:pic>
              </a:graphicData>
            </a:graphic>
          </wp:anchor>
        </w:drawing>
      </w:r>
      <w:r>
        <w:rPr>
          <w:rFonts w:hint="eastAsia"/>
          <w:b/>
          <w:sz w:val="26"/>
          <w:szCs w:val="26"/>
        </w:rPr>
        <w:t>十二、审核组签字</w:t>
      </w:r>
    </w:p>
    <w:p>
      <w:pPr>
        <w:tabs>
          <w:tab w:val="left" w:pos="645"/>
        </w:tabs>
        <w:spacing w:after="163" w:afterLines="50" w:line="360" w:lineRule="exact"/>
        <w:rPr>
          <w:rFonts w:hint="eastAsia"/>
          <w:b/>
          <w:sz w:val="26"/>
          <w:szCs w:val="26"/>
        </w:rPr>
      </w:pPr>
      <w:r>
        <w:rPr>
          <w:rFonts w:hint="eastAsia"/>
          <w:b/>
          <w:sz w:val="26"/>
          <w:szCs w:val="26"/>
        </w:rPr>
        <w:t>审核组组长（签名）：</w:t>
      </w:r>
    </w:p>
    <w:p>
      <w:pPr>
        <w:tabs>
          <w:tab w:val="left" w:pos="645"/>
        </w:tabs>
        <w:spacing w:after="163" w:afterLines="50" w:line="360" w:lineRule="exact"/>
        <w:rPr>
          <w:rFonts w:hint="eastAsia"/>
          <w:b/>
          <w:sz w:val="26"/>
          <w:szCs w:val="26"/>
        </w:rPr>
      </w:pPr>
      <w:r>
        <w:rPr>
          <w:rFonts w:hint="eastAsia"/>
          <w:b/>
          <w:sz w:val="26"/>
          <w:szCs w:val="26"/>
        </w:rPr>
        <w:t>审核组组员（签名）：</w:t>
      </w:r>
      <w:r>
        <w:rPr>
          <w:rFonts w:hint="eastAsia"/>
          <w:b/>
          <w:sz w:val="26"/>
          <w:szCs w:val="26"/>
          <w:lang w:val="en-US" w:eastAsia="zh-CN"/>
        </w:rPr>
        <w:t xml:space="preserve">                            </w:t>
      </w:r>
      <w:r>
        <w:rPr>
          <w:rFonts w:hint="eastAsia"/>
          <w:b/>
          <w:sz w:val="26"/>
          <w:szCs w:val="26"/>
        </w:rPr>
        <w:t>日期：</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sym w:font="Wingdings 2" w:char="0052"/>
      </w:r>
      <w:r>
        <w:rPr>
          <w:b/>
          <w:sz w:val="21"/>
          <w:szCs w:val="21"/>
        </w:rPr>
        <w:t xml:space="preserve">QMS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0</w:t>
      </w:r>
      <w:r>
        <w:rPr>
          <w:b/>
          <w:sz w:val="21"/>
          <w:szCs w:val="21"/>
        </w:rPr>
        <w:t>)</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w:t>
      </w:r>
      <w:r>
        <w:rPr>
          <w:rFonts w:hint="eastAsia"/>
          <w:b/>
          <w:bCs/>
          <w:sz w:val="21"/>
          <w:szCs w:val="21"/>
        </w:rPr>
        <w:sym w:font="Wingdings 2" w:char="0052"/>
      </w:r>
      <w:r>
        <w:rPr>
          <w:rFonts w:hint="eastAsia"/>
          <w:b/>
          <w:bCs/>
          <w:sz w:val="21"/>
          <w:szCs w:val="21"/>
        </w:rPr>
        <w:t xml:space="preserve">50430 ( </w:t>
      </w:r>
      <w:r>
        <w:rPr>
          <w:rFonts w:hint="eastAsia"/>
          <w:b/>
          <w:bCs/>
          <w:sz w:val="21"/>
          <w:szCs w:val="21"/>
          <w:lang w:val="en-US" w:eastAsia="zh-CN"/>
        </w:rPr>
        <w:t>1</w:t>
      </w:r>
      <w:r>
        <w:rPr>
          <w:rFonts w:hint="eastAsia"/>
          <w:b/>
          <w:bCs/>
          <w:sz w:val="21"/>
          <w:szCs w:val="21"/>
        </w:rPr>
        <w:t xml:space="preserve"> )个一般不符合，( </w:t>
      </w:r>
      <w:r>
        <w:rPr>
          <w:rFonts w:hint="eastAsia"/>
          <w:b/>
          <w:bCs/>
          <w:sz w:val="21"/>
          <w:szCs w:val="21"/>
          <w:lang w:val="en-US" w:eastAsia="zh-CN"/>
        </w:rPr>
        <w:t>0</w:t>
      </w:r>
      <w:r>
        <w:rPr>
          <w:rFonts w:hint="eastAsia"/>
          <w:b/>
          <w:bCs/>
          <w:sz w:val="21"/>
          <w:szCs w:val="21"/>
        </w:rPr>
        <w:t xml:space="preserve"> )个严重不符合，</w:t>
      </w:r>
      <w:r>
        <w:rPr>
          <w:rFonts w:hint="eastAsia"/>
          <w:b/>
          <w:bCs/>
          <w:sz w:val="21"/>
          <w:szCs w:val="21"/>
        </w:rPr>
        <w:sym w:font="Wingdings 2" w:char="0052"/>
      </w:r>
      <w:r>
        <w:rPr>
          <w:rFonts w:hint="eastAsia"/>
          <w:b/>
          <w:bCs/>
          <w:sz w:val="21"/>
          <w:szCs w:val="21"/>
        </w:rPr>
        <w:t>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sym w:font="Wingdings 2" w:char="0052"/>
      </w:r>
      <w:r>
        <w:rPr>
          <w:b/>
          <w:sz w:val="21"/>
          <w:szCs w:val="21"/>
        </w:rPr>
        <w:t>EMS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0</w:t>
      </w:r>
      <w:r>
        <w:rPr>
          <w:b/>
          <w:sz w:val="21"/>
          <w:szCs w:val="21"/>
        </w:rPr>
        <w:t xml:space="preserve"> )</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sym w:font="Wingdings 2" w:char="0052"/>
      </w:r>
      <w:r>
        <w:rPr>
          <w:b/>
          <w:sz w:val="21"/>
          <w:szCs w:val="21"/>
        </w:rPr>
        <w:t>OHSMS (</w:t>
      </w:r>
      <w:r>
        <w:rPr>
          <w:rFonts w:hint="eastAsia"/>
          <w:b/>
          <w:sz w:val="21"/>
          <w:szCs w:val="21"/>
          <w:lang w:val="en-US" w:eastAsia="zh-CN"/>
        </w:rPr>
        <w:t>1</w:t>
      </w:r>
      <w:r>
        <w:rPr>
          <w:b/>
          <w:sz w:val="21"/>
          <w:szCs w:val="21"/>
        </w:rPr>
        <w:t xml:space="preserve"> )</w:t>
      </w:r>
      <w:r>
        <w:rPr>
          <w:rFonts w:hint="eastAsia"/>
          <w:b/>
          <w:sz w:val="21"/>
          <w:szCs w:val="21"/>
        </w:rPr>
        <w:t>个一般不符合，</w:t>
      </w:r>
      <w:r>
        <w:rPr>
          <w:b/>
          <w:sz w:val="21"/>
          <w:szCs w:val="21"/>
        </w:rPr>
        <w:t xml:space="preserve">( </w:t>
      </w:r>
      <w:r>
        <w:rPr>
          <w:rFonts w:hint="eastAsia"/>
          <w:b/>
          <w:sz w:val="21"/>
          <w:szCs w:val="21"/>
          <w:lang w:val="en-US" w:eastAsia="zh-CN"/>
        </w:rPr>
        <w:t>0</w:t>
      </w:r>
      <w:r>
        <w:rPr>
          <w:b/>
          <w:sz w:val="21"/>
          <w:szCs w:val="21"/>
        </w:rPr>
        <w:t xml:space="preserve"> )</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r>
        <w:rPr>
          <w:rFonts w:hint="eastAsia"/>
          <w:b/>
          <w:bCs/>
          <w:sz w:val="21"/>
          <w:szCs w:val="21"/>
        </w:rPr>
        <w:t>审</w:t>
      </w:r>
    </w:p>
    <w:p>
      <w:pPr>
        <w:spacing w:before="163" w:beforeLines="50" w:line="400" w:lineRule="exact"/>
        <w:rPr>
          <w:b/>
          <w:sz w:val="21"/>
          <w:szCs w:val="21"/>
          <w:u w:val="single"/>
        </w:rPr>
      </w:pPr>
      <w:r>
        <w:rPr>
          <w:rFonts w:hint="eastAsia"/>
          <w:b/>
          <w:sz w:val="21"/>
          <w:szCs w:val="21"/>
        </w:rPr>
        <w:t>存在问题说明及意见：</w:t>
      </w: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sym w:font="Wingdings 2" w:char="00A3"/>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4"/>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4"/>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pacing w:line="360" w:lineRule="auto"/>
        <w:ind w:left="600"/>
        <w:rPr>
          <w:b/>
          <w:szCs w:val="24"/>
        </w:rPr>
      </w:pP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F310D2"/>
    <w:multiLevelType w:val="singleLevel"/>
    <w:tmpl w:val="D0F310D2"/>
    <w:lvl w:ilvl="0" w:tentative="0">
      <w:start w:val="6"/>
      <w:numFmt w:val="chineseCounting"/>
      <w:suff w:val="nothing"/>
      <w:lvlText w:val="%1、"/>
      <w:lvlJc w:val="left"/>
      <w:rPr>
        <w:rFonts w:hint="eastAsia"/>
      </w:rPr>
    </w:lvl>
  </w:abstractNum>
  <w:abstractNum w:abstractNumId="1">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2">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63C85942"/>
    <w:multiLevelType w:val="singleLevel"/>
    <w:tmpl w:val="63C85942"/>
    <w:lvl w:ilvl="0" w:tentative="0">
      <w:start w:val="4"/>
      <w:numFmt w:val="decimal"/>
      <w:lvlText w:val="%1."/>
      <w:lvlJc w:val="left"/>
      <w:pPr>
        <w:tabs>
          <w:tab w:val="left" w:pos="312"/>
        </w:tabs>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5887788"/>
    <w:rsid w:val="0E546660"/>
    <w:rsid w:val="35ED1D7F"/>
    <w:rsid w:val="3D5D6F7B"/>
    <w:rsid w:val="7F4220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AutoShape 8"/>
        <o:r id="V:Rule2" type="connector" idref="#AutoShape 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uiPriority w:val="99"/>
    <w:rPr>
      <w:color w:val="0000FF"/>
      <w:u w:val="single"/>
    </w:rPr>
  </w:style>
  <w:style w:type="character" w:customStyle="1" w:styleId="9">
    <w:name w:val="批注框文本 Char"/>
    <w:link w:val="2"/>
    <w:semiHidden/>
    <w:qFormat/>
    <w:locked/>
    <w:uiPriority w:val="99"/>
    <w:rPr>
      <w:rFonts w:ascii="Times New Roman" w:hAnsi="Times New Roman" w:eastAsia="宋体" w:cs="Times New Roman"/>
      <w:sz w:val="18"/>
      <w:szCs w:val="18"/>
    </w:rPr>
  </w:style>
  <w:style w:type="character" w:customStyle="1" w:styleId="10">
    <w:name w:val="页脚 Char"/>
    <w:link w:val="3"/>
    <w:semiHidden/>
    <w:qFormat/>
    <w:locked/>
    <w:uiPriority w:val="99"/>
    <w:rPr>
      <w:rFonts w:ascii="Times New Roman" w:hAnsi="Times New Roman" w:eastAsia="宋体" w:cs="Times New Roman"/>
      <w:sz w:val="18"/>
      <w:szCs w:val="18"/>
    </w:rPr>
  </w:style>
  <w:style w:type="character" w:customStyle="1" w:styleId="11">
    <w:name w:val="页眉 Char"/>
    <w:link w:val="4"/>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0</TotalTime>
  <ScaleCrop>false</ScaleCrop>
  <LinksUpToDate>false</LinksUpToDate>
  <CharactersWithSpaces>4386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李凤仪</cp:lastModifiedBy>
  <cp:lastPrinted>2019-04-18T08:15:00Z</cp:lastPrinted>
  <dcterms:modified xsi:type="dcterms:W3CDTF">2020-11-29T07:18:50Z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