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施英虎</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盛梁斌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eastAsia" w:eastAsia="宋体"/>
                <w:sz w:val="24"/>
                <w:szCs w:val="24"/>
                <w:lang w:eastAsia="zh-CN"/>
              </w:rPr>
            </w:pPr>
            <w:r>
              <w:rPr>
                <w:rFonts w:hint="eastAsia"/>
                <w:sz w:val="24"/>
                <w:szCs w:val="24"/>
              </w:rPr>
              <w:t>审核员：林兵</w:t>
            </w:r>
            <w:r>
              <w:rPr>
                <w:rFonts w:hint="eastAsia"/>
                <w:sz w:val="24"/>
                <w:szCs w:val="24"/>
                <w:lang w:val="en-US" w:eastAsia="zh-CN"/>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020.</w:t>
            </w:r>
            <w:r>
              <w:rPr>
                <w:rFonts w:hint="eastAsia"/>
                <w:sz w:val="24"/>
                <w:szCs w:val="24"/>
                <w:lang w:val="en-US" w:eastAsia="zh-CN"/>
              </w:rPr>
              <w:t>11</w:t>
            </w:r>
            <w:r>
              <w:rPr>
                <w:sz w:val="24"/>
                <w:szCs w:val="24"/>
              </w:rPr>
              <w:t>.</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eastAsia="zh-CN"/>
              </w:rPr>
              <w:t>EO</w:t>
            </w:r>
            <w:r>
              <w:rPr>
                <w:rFonts w:hint="eastAsia"/>
                <w:sz w:val="24"/>
                <w:szCs w:val="24"/>
              </w:rPr>
              <w:t>:4.1理解组织及其环境、4.2理解相关方的需求和期望、4.3 确定管理体系的范围、4.4质量/环境/职业健康安全管理体系及其过程、5.1领导作用和承诺、5.2质量/环境/职业健康安全方针、5.3组织的岗位、职责和权限、O</w:t>
            </w:r>
            <w:r>
              <w:rPr>
                <w:sz w:val="24"/>
                <w:szCs w:val="24"/>
              </w:rPr>
              <w:t>5.4</w:t>
            </w:r>
            <w:r>
              <w:rPr>
                <w:rFonts w:hint="eastAsia"/>
                <w:sz w:val="24"/>
                <w:szCs w:val="24"/>
              </w:rPr>
              <w:t>协商与参与、6.1应对风险和机遇的措施、6.2环境/职业健康安全目标及其实现的策划</w:t>
            </w:r>
            <w:bookmarkStart w:id="1" w:name="_GoBack"/>
            <w:bookmarkEnd w:id="1"/>
            <w:r>
              <w:rPr>
                <w:rFonts w:hint="eastAsia"/>
                <w:sz w:val="24"/>
                <w:szCs w:val="24"/>
              </w:rPr>
              <w:t>7.1资源总则、7.4沟通/信息交流、9.2 内部审核9.3管理评审、10.1改进、1</w:t>
            </w:r>
            <w:r>
              <w:rPr>
                <w:sz w:val="24"/>
                <w:szCs w:val="24"/>
              </w:rPr>
              <w:t>0.2</w:t>
            </w:r>
            <w:r>
              <w:rPr>
                <w:rFonts w:hint="eastAsia"/>
                <w:sz w:val="24"/>
                <w:szCs w:val="24"/>
              </w:rPr>
              <w:t>不符合/事件和纠正措施、10.3持续改进，国家/地方监督抽查情况；顾客满意、相关方投诉及处理情况；验证企业相关资质证明的有效性；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该公司20</w:t>
            </w:r>
            <w:r>
              <w:rPr>
                <w:rFonts w:hint="eastAsia" w:ascii="宋体" w:hAnsi="宋体" w:cs="宋体"/>
                <w:szCs w:val="21"/>
                <w:lang w:val="en-US" w:eastAsia="zh-CN"/>
              </w:rPr>
              <w:t>0</w:t>
            </w:r>
            <w:r>
              <w:rPr>
                <w:rFonts w:hint="eastAsia" w:ascii="宋体" w:hAnsi="宋体" w:cs="宋体"/>
                <w:szCs w:val="21"/>
              </w:rPr>
              <w:t>8年</w:t>
            </w:r>
            <w:r>
              <w:rPr>
                <w:rFonts w:hint="eastAsia" w:ascii="宋体" w:hAnsi="宋体" w:cs="宋体"/>
                <w:szCs w:val="21"/>
                <w:lang w:val="en-US" w:eastAsia="zh-CN"/>
              </w:rPr>
              <w:t>1</w:t>
            </w:r>
            <w:r>
              <w:rPr>
                <w:rFonts w:hint="eastAsia" w:ascii="宋体" w:hAnsi="宋体" w:cs="宋体"/>
                <w:szCs w:val="21"/>
              </w:rPr>
              <w:t>2月</w:t>
            </w:r>
            <w:r>
              <w:rPr>
                <w:rFonts w:hint="eastAsia" w:ascii="宋体" w:hAnsi="宋体" w:cs="宋体"/>
                <w:szCs w:val="21"/>
                <w:lang w:val="en-US" w:eastAsia="zh-CN"/>
              </w:rPr>
              <w:t>1</w:t>
            </w:r>
            <w:r>
              <w:rPr>
                <w:rFonts w:hint="eastAsia" w:ascii="宋体" w:hAnsi="宋体" w:cs="宋体"/>
                <w:szCs w:val="21"/>
              </w:rPr>
              <w:t>7日注册，法人：</w:t>
            </w:r>
            <w:r>
              <w:rPr>
                <w:rFonts w:hint="eastAsia" w:ascii="宋体" w:hAnsi="宋体" w:cs="宋体"/>
                <w:szCs w:val="21"/>
                <w:lang w:val="en-US" w:eastAsia="zh-CN"/>
              </w:rPr>
              <w:t>金象英</w:t>
            </w:r>
            <w:r>
              <w:rPr>
                <w:rFonts w:hint="eastAsia" w:ascii="宋体" w:hAnsi="宋体" w:cs="宋体"/>
                <w:szCs w:val="21"/>
              </w:rPr>
              <w:t>，总经理：</w:t>
            </w:r>
            <w:r>
              <w:rPr>
                <w:rFonts w:hint="eastAsia" w:ascii="宋体" w:hAnsi="宋体" w:cs="宋体"/>
                <w:szCs w:val="21"/>
                <w:lang w:val="en-US" w:eastAsia="zh-CN"/>
              </w:rPr>
              <w:t>施英虎</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注册地址：浙江省</w:t>
            </w:r>
            <w:r>
              <w:rPr>
                <w:rFonts w:hint="eastAsia" w:ascii="宋体" w:hAnsi="宋体" w:cs="宋体"/>
                <w:szCs w:val="21"/>
                <w:lang w:val="en-US" w:eastAsia="zh-CN"/>
              </w:rPr>
              <w:t>富阳区银湖街道泗洲村泗洲205号</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生产经营地址：浙江省</w:t>
            </w:r>
            <w:r>
              <w:rPr>
                <w:rFonts w:hint="eastAsia" w:ascii="宋体" w:hAnsi="宋体" w:cs="宋体"/>
                <w:szCs w:val="21"/>
                <w:lang w:val="en-US" w:eastAsia="zh-CN"/>
              </w:rPr>
              <w:t>富阳区银湖街道泗洲村泗洲205号</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营业执照符合要求，住所与经营地址一致；有效期至20</w:t>
            </w:r>
            <w:r>
              <w:rPr>
                <w:rFonts w:hint="eastAsia" w:ascii="宋体" w:hAnsi="宋体" w:cs="宋体"/>
                <w:szCs w:val="21"/>
                <w:lang w:val="en-US" w:eastAsia="zh-CN"/>
              </w:rPr>
              <w:t>2</w:t>
            </w:r>
            <w:r>
              <w:rPr>
                <w:rFonts w:hint="eastAsia" w:ascii="宋体" w:hAnsi="宋体" w:cs="宋体"/>
                <w:szCs w:val="21"/>
              </w:rPr>
              <w:t>8年</w:t>
            </w:r>
            <w:r>
              <w:rPr>
                <w:rFonts w:hint="eastAsia" w:ascii="宋体" w:hAnsi="宋体" w:cs="宋体"/>
                <w:szCs w:val="21"/>
                <w:lang w:val="en-US" w:eastAsia="zh-CN"/>
              </w:rPr>
              <w:t>1</w:t>
            </w:r>
            <w:r>
              <w:rPr>
                <w:rFonts w:hint="eastAsia" w:ascii="宋体" w:hAnsi="宋体" w:cs="宋体"/>
                <w:szCs w:val="21"/>
              </w:rPr>
              <w:t>2月</w:t>
            </w:r>
            <w:r>
              <w:rPr>
                <w:rFonts w:hint="eastAsia" w:ascii="宋体" w:hAnsi="宋体" w:cs="宋体"/>
                <w:szCs w:val="21"/>
                <w:lang w:val="en-US" w:eastAsia="zh-CN"/>
              </w:rPr>
              <w:t>16</w:t>
            </w:r>
            <w:r>
              <w:rPr>
                <w:rFonts w:hint="eastAsia" w:ascii="宋体" w:hAnsi="宋体" w:cs="宋体"/>
                <w:szCs w:val="21"/>
              </w:rPr>
              <w:t>日，基本符合。</w:t>
            </w:r>
          </w:p>
          <w:p>
            <w:pPr>
              <w:spacing w:line="280" w:lineRule="exact"/>
              <w:ind w:firstLine="420" w:firstLineChars="200"/>
              <w:rPr>
                <w:rFonts w:hint="eastAsia" w:ascii="宋体" w:hAnsi="宋体" w:cs="宋体"/>
                <w:szCs w:val="21"/>
              </w:rPr>
            </w:pPr>
            <w:r>
              <w:rPr>
                <w:rFonts w:hint="eastAsia" w:ascii="宋体" w:hAnsi="宋体" w:cs="宋体"/>
                <w:szCs w:val="21"/>
              </w:rPr>
              <w:t>认证范围为：</w:t>
            </w:r>
          </w:p>
          <w:p>
            <w:pPr>
              <w:spacing w:line="280" w:lineRule="exact"/>
              <w:ind w:firstLine="420" w:firstLineChars="200"/>
              <w:rPr>
                <w:rFonts w:hint="eastAsia" w:ascii="宋体" w:hAnsi="宋体" w:cs="宋体"/>
                <w:szCs w:val="21"/>
              </w:rPr>
            </w:pPr>
            <w:bookmarkStart w:id="0" w:name="审核范围"/>
            <w:r>
              <w:rPr>
                <w:rFonts w:hint="eastAsia" w:ascii="宋体" w:hAnsi="宋体" w:cs="宋体"/>
                <w:szCs w:val="21"/>
              </w:rPr>
              <w:t>E：PSA制氮装置、制氧装置、压缩空气净化设备的设计、制造（涉及行政许可的产品除外）所涉及的相关环境管理活动</w:t>
            </w:r>
          </w:p>
          <w:p>
            <w:pPr>
              <w:spacing w:line="280" w:lineRule="exact"/>
              <w:ind w:firstLine="420" w:firstLineChars="200"/>
              <w:rPr>
                <w:rFonts w:hint="eastAsia" w:ascii="宋体" w:hAnsi="宋体" w:cs="宋体"/>
                <w:szCs w:val="21"/>
              </w:rPr>
            </w:pPr>
            <w:r>
              <w:rPr>
                <w:rFonts w:hint="eastAsia" w:ascii="宋体" w:hAnsi="宋体" w:cs="宋体"/>
                <w:szCs w:val="21"/>
              </w:rPr>
              <w:t>O：PSA制氮装置、制氧装置、压缩空气净化设备的设计、制造（涉及行政许可的产品除外）所涉及的相关职业健康安全管理活动</w:t>
            </w:r>
            <w:bookmarkEnd w:id="0"/>
          </w:p>
          <w:p>
            <w:pPr>
              <w:spacing w:line="280" w:lineRule="exact"/>
              <w:ind w:firstLine="420" w:firstLineChars="200"/>
              <w:rPr>
                <w:rFonts w:hint="eastAsia" w:ascii="宋体" w:hAnsi="宋体" w:cs="宋体"/>
                <w:szCs w:val="21"/>
              </w:rPr>
            </w:pPr>
            <w:r>
              <w:rPr>
                <w:rFonts w:hint="eastAsia" w:ascii="宋体" w:hAnsi="宋体" w:cs="宋体"/>
                <w:szCs w:val="21"/>
              </w:rPr>
              <w:t>公司管理体系设置了管理</w:t>
            </w:r>
            <w:r>
              <w:rPr>
                <w:rFonts w:hint="eastAsia" w:ascii="宋体" w:hAnsi="宋体" w:cs="宋体"/>
                <w:szCs w:val="21"/>
                <w:lang w:val="en-US" w:eastAsia="zh-CN"/>
              </w:rPr>
              <w:t>层</w:t>
            </w:r>
            <w:r>
              <w:rPr>
                <w:rFonts w:hint="eastAsia" w:ascii="宋体" w:hAnsi="宋体" w:cs="宋体"/>
                <w:szCs w:val="21"/>
              </w:rPr>
              <w:t>、</w:t>
            </w:r>
            <w:r>
              <w:rPr>
                <w:rFonts w:hint="eastAsia" w:ascii="宋体" w:hAnsi="宋体" w:cs="宋体"/>
                <w:szCs w:val="21"/>
                <w:lang w:val="en-US" w:eastAsia="zh-CN"/>
              </w:rPr>
              <w:t>办公室、</w:t>
            </w:r>
            <w:r>
              <w:rPr>
                <w:rFonts w:hint="eastAsia" w:ascii="宋体" w:hAnsi="宋体" w:cs="宋体"/>
                <w:szCs w:val="21"/>
              </w:rPr>
              <w:t>技术部、销</w:t>
            </w:r>
            <w:r>
              <w:rPr>
                <w:rFonts w:hint="eastAsia" w:ascii="宋体" w:hAnsi="宋体" w:cs="宋体"/>
                <w:szCs w:val="21"/>
                <w:lang w:val="en-US" w:eastAsia="zh-CN"/>
              </w:rPr>
              <w:t>售</w:t>
            </w:r>
            <w:r>
              <w:rPr>
                <w:rFonts w:hint="eastAsia" w:ascii="宋体" w:hAnsi="宋体" w:cs="宋体"/>
                <w:szCs w:val="21"/>
              </w:rPr>
              <w:t>部、生产部、质</w:t>
            </w:r>
            <w:r>
              <w:rPr>
                <w:rFonts w:hint="eastAsia" w:ascii="宋体" w:hAnsi="宋体" w:cs="宋体"/>
                <w:szCs w:val="21"/>
                <w:lang w:val="en-US" w:eastAsia="zh-CN"/>
              </w:rPr>
              <w:t>检</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en-US" w:eastAsia="zh-CN"/>
              </w:rPr>
              <w:t>采购部、财务部</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公司申请的认证范围无安评要求，提供了2020.3.</w:t>
            </w:r>
            <w:r>
              <w:rPr>
                <w:rFonts w:hint="eastAsia" w:ascii="宋体" w:hAnsi="宋体" w:cs="宋体"/>
                <w:szCs w:val="21"/>
                <w:lang w:val="en-US" w:eastAsia="zh-CN"/>
              </w:rPr>
              <w:t>20杭州市生态环境局富阳分局富环许验【2020】7号文件</w:t>
            </w:r>
            <w:r>
              <w:rPr>
                <w:rFonts w:hint="eastAsia" w:ascii="宋体" w:hAnsi="宋体" w:cs="宋体"/>
                <w:szCs w:val="21"/>
              </w:rPr>
              <w:t>《</w:t>
            </w:r>
            <w:r>
              <w:rPr>
                <w:rFonts w:hint="eastAsia" w:ascii="宋体" w:hAnsi="宋体" w:cs="宋体"/>
                <w:szCs w:val="21"/>
                <w:lang w:val="en-US" w:eastAsia="zh-CN"/>
              </w:rPr>
              <w:t>关于浙江远大空分设备有限公司生产压缩机、压缩空所净化设备、缺氧设备、集中控制装置、工业管道阀门、气动元件100套迁建项目固体废物环境保护设施竣工验收意见的函</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总经理</w:t>
            </w:r>
            <w:r>
              <w:rPr>
                <w:rFonts w:hint="eastAsia" w:ascii="宋体" w:hAnsi="宋体" w:cs="宋体"/>
                <w:szCs w:val="21"/>
                <w:lang w:val="en-US" w:eastAsia="zh-CN"/>
              </w:rPr>
              <w:t>施英虎</w:t>
            </w:r>
            <w:r>
              <w:rPr>
                <w:rFonts w:hint="eastAsia" w:ascii="宋体" w:hAnsi="宋体" w:cs="宋体"/>
                <w:szCs w:val="21"/>
              </w:rPr>
              <w:t>说：公司推行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hint="eastAsia" w:ascii="宋体" w:hAnsi="宋体" w:cs="宋体"/>
                <w:szCs w:val="21"/>
              </w:rPr>
            </w:pPr>
            <w:r>
              <w:rPr>
                <w:rFonts w:hint="eastAsia" w:ascii="宋体" w:hAnsi="宋体" w:cs="宋体"/>
                <w:szCs w:val="21"/>
              </w:rPr>
              <w:t>询问总经理，体系运行以来，没有发生重大顾客投诉、环境或职业健康安全事故等，无行业抽查等情况。目前公司共有</w:t>
            </w:r>
            <w:r>
              <w:rPr>
                <w:rFonts w:hint="eastAsia" w:ascii="宋体" w:hAnsi="宋体" w:cs="宋体"/>
                <w:szCs w:val="21"/>
                <w:lang w:val="en-US" w:eastAsia="zh-CN"/>
              </w:rPr>
              <w:t>51</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lang w:eastAsia="zh-CN"/>
              </w:rPr>
              <w:t>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质量/环境/职业健康安全管理体系及其过程</w:t>
            </w:r>
          </w:p>
        </w:tc>
        <w:tc>
          <w:tcPr>
            <w:tcW w:w="998" w:type="dxa"/>
          </w:tcPr>
          <w:p>
            <w:r>
              <w:rPr>
                <w:rFonts w:hint="eastAsia"/>
                <w:sz w:val="24"/>
                <w:szCs w:val="24"/>
                <w:lang w:eastAsia="zh-CN"/>
              </w:rPr>
              <w:t>EO</w:t>
            </w:r>
            <w:r>
              <w:rPr>
                <w:rFonts w:hint="eastAsia"/>
                <w:sz w:val="24"/>
                <w:szCs w:val="24"/>
              </w:rPr>
              <w:t>4.4</w:t>
            </w:r>
          </w:p>
        </w:tc>
        <w:tc>
          <w:tcPr>
            <w:tcW w:w="10004" w:type="dxa"/>
          </w:tcPr>
          <w:p>
            <w:r>
              <w:rPr>
                <w:rFonts w:hint="eastAsia"/>
              </w:rPr>
              <w:t>该公司20</w:t>
            </w:r>
            <w:r>
              <w:t>20</w:t>
            </w:r>
            <w:r>
              <w:rPr>
                <w:rFonts w:hint="eastAsia"/>
              </w:rPr>
              <w:t>年</w:t>
            </w:r>
            <w:r>
              <w:rPr>
                <w:rFonts w:hint="eastAsia"/>
                <w:lang w:val="en-US" w:eastAsia="zh-CN"/>
              </w:rPr>
              <w:t>6</w:t>
            </w:r>
            <w:r>
              <w:rPr>
                <w:rFonts w:hint="eastAsia"/>
              </w:rPr>
              <w:t>月根据自身的实际情况导入环境和职业健康安全管理标准体系，按照标准的要求组织人员编制了管理手册、作业文件和记录表格，制定了管理方针和管理目标。2</w:t>
            </w:r>
            <w:r>
              <w:t>020</w:t>
            </w:r>
            <w:r>
              <w:rPr>
                <w:rFonts w:hint="eastAsia"/>
              </w:rPr>
              <w:t>年</w:t>
            </w:r>
            <w:r>
              <w:rPr>
                <w:rFonts w:hint="eastAsia"/>
                <w:lang w:val="en-US" w:eastAsia="zh-CN"/>
              </w:rPr>
              <w:t>6</w:t>
            </w:r>
            <w:r>
              <w:rPr>
                <w:rFonts w:hint="eastAsia"/>
              </w:rPr>
              <w:t>月</w:t>
            </w:r>
            <w:r>
              <w:t>1</w:t>
            </w:r>
            <w:r>
              <w:rPr>
                <w:rFonts w:hint="eastAsia"/>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1.公司通过监视和评审有关相关方及其有关要求的信息，实现持续改进。如供应商管理、合同条款、组织营业执照范围内的环境职业健康安全及使用的安全可靠性、服务的时效性等风险和市场开拓的机遇。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b)通过签订客户协议和供应商协议的条款把控风险。从各个方面确保许可范围内，过程环境影响、危险源管理等，提高客户满意度，同时对风险加以控制。</w:t>
            </w:r>
          </w:p>
          <w:p>
            <w:r>
              <w:rPr>
                <w:rFonts w:hint="eastAsia"/>
              </w:rPr>
              <w:t>3.识别进行许可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r>
              <w:rPr>
                <w:rFonts w:hint="eastAsia"/>
              </w:rPr>
              <w:t>4.通过对执照范围内的风险控制和销售环保、交付等风险控制，在具体操作过程中实施的措施，实现了对整个供应链管理的风险控制，为客户提供更全面的许可范围内的服务。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b）确保制定环境职业健康安全管理体系的环境、职业健康安全方针和环境、职业健康安全方针目标,并与公司环境和战略方向相一致；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规范操作，减少环境污染；</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关爱生命，预防安全事故</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办公室</w:t>
            </w:r>
            <w:r>
              <w:rPr>
                <w:rFonts w:hint="eastAsia" w:ascii="宋体" w:hAnsi="宋体" w:cs="宋体"/>
                <w:szCs w:val="21"/>
              </w:rPr>
              <w:t>、技术部、销</w:t>
            </w:r>
            <w:r>
              <w:rPr>
                <w:rFonts w:hint="eastAsia" w:ascii="宋体" w:hAnsi="宋体" w:cs="宋体"/>
                <w:szCs w:val="21"/>
                <w:lang w:val="en-US" w:eastAsia="zh-CN"/>
              </w:rPr>
              <w:t>售</w:t>
            </w:r>
            <w:r>
              <w:rPr>
                <w:rFonts w:hint="eastAsia" w:ascii="宋体" w:hAnsi="宋体" w:cs="宋体"/>
                <w:szCs w:val="21"/>
              </w:rPr>
              <w:t>部、</w:t>
            </w:r>
            <w:r>
              <w:rPr>
                <w:rFonts w:hint="eastAsia" w:ascii="宋体" w:hAnsi="宋体" w:cs="宋体"/>
                <w:szCs w:val="21"/>
                <w:lang w:val="en-US" w:eastAsia="zh-CN"/>
              </w:rPr>
              <w:t>采购部、</w:t>
            </w:r>
            <w:r>
              <w:rPr>
                <w:rFonts w:hint="eastAsia" w:ascii="宋体" w:hAnsi="宋体" w:cs="宋体"/>
                <w:szCs w:val="21"/>
              </w:rPr>
              <w:t>生产部、质</w:t>
            </w:r>
            <w:r>
              <w:rPr>
                <w:rFonts w:hint="eastAsia" w:ascii="宋体" w:hAnsi="宋体" w:cs="宋体"/>
                <w:szCs w:val="21"/>
                <w:lang w:val="en-US" w:eastAsia="zh-CN"/>
              </w:rPr>
              <w:t>检</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en-US" w:eastAsia="zh-CN"/>
              </w:rPr>
              <w:t>财务部</w:t>
            </w:r>
            <w:r>
              <w:rPr>
                <w:rFonts w:hint="eastAsia" w:ascii="宋体" w:hAnsi="宋体" w:cs="宋体"/>
                <w:szCs w:val="21"/>
              </w:rPr>
              <w:t>，并对各部门的职能进行了分配和规定。公司决定任命</w:t>
            </w:r>
            <w:r>
              <w:rPr>
                <w:rFonts w:hint="eastAsia" w:ascii="宋体" w:hAnsi="宋体" w:cs="宋体"/>
                <w:szCs w:val="21"/>
                <w:lang w:val="en-US" w:eastAsia="zh-CN"/>
              </w:rPr>
              <w:t>缪哲芳</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盛梁斌</w:t>
            </w:r>
            <w:r>
              <w:rPr>
                <w:rFonts w:hint="eastAsia" w:ascii="宋体" w:hAnsi="宋体" w:cs="宋体"/>
                <w:szCs w:val="21"/>
              </w:rPr>
              <w:t>，公司对履行事务代表以及非管理类工作人员的协商与参与职责进行了规定。目前主要通过签订集体合同、开展内部座谈沟通等方式与公司进行协商和沟通。</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询问管代和职业健康安全事务代表浦其炳职责回答正确。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研发、采购、</w:t>
            </w:r>
            <w:r>
              <w:rPr>
                <w:rFonts w:hint="eastAsia" w:ascii="宋体" w:hAnsi="宋体" w:cs="宋体"/>
                <w:szCs w:val="21"/>
                <w:lang w:val="en-US" w:eastAsia="zh-CN"/>
              </w:rPr>
              <w:t>生产</w:t>
            </w:r>
            <w:r>
              <w:rPr>
                <w:rFonts w:hint="eastAsia" w:ascii="宋体" w:hAnsi="宋体" w:cs="宋体"/>
                <w:szCs w:val="21"/>
              </w:rPr>
              <w:t>以及销售控制；通过差异化策略提高竞争力，效果待观察。机遇主要是</w:t>
            </w:r>
            <w:r>
              <w:rPr>
                <w:rFonts w:hint="eastAsia" w:ascii="宋体" w:hAnsi="宋体" w:cs="宋体"/>
                <w:szCs w:val="21"/>
                <w:lang w:val="en-US" w:eastAsia="zh-CN"/>
              </w:rPr>
              <w:t>生活水平的提升</w:t>
            </w:r>
            <w:r>
              <w:rPr>
                <w:rFonts w:hint="eastAsia" w:ascii="宋体" w:hAnsi="宋体" w:cs="宋体"/>
                <w:szCs w:val="21"/>
              </w:rPr>
              <w:t>，</w:t>
            </w:r>
            <w:r>
              <w:rPr>
                <w:rFonts w:hint="eastAsia" w:ascii="宋体" w:hAnsi="宋体" w:cs="宋体"/>
                <w:szCs w:val="21"/>
                <w:lang w:val="en-US" w:eastAsia="zh-CN"/>
              </w:rPr>
              <w:t>对于氮气、氧气等品质要求提升，对于设备的要求提高。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组织所识别的环境因素和危险源基本覆盖到公司PSA制氮装置、制氧装置、压缩空气净化设备的设计、制造所涉及的环境和职业健康安全管理活动，确定的重要环境因素主要</w:t>
            </w:r>
            <w:r>
              <w:rPr>
                <w:rFonts w:hint="eastAsia" w:ascii="宋体" w:hAnsi="宋体" w:cs="宋体"/>
                <w:szCs w:val="21"/>
                <w:lang w:val="en-US" w:eastAsia="zh-CN"/>
              </w:rPr>
              <w:t>废气、</w:t>
            </w:r>
            <w:r>
              <w:rPr>
                <w:rFonts w:hint="eastAsia" w:ascii="宋体" w:hAnsi="宋体" w:cs="宋体"/>
                <w:szCs w:val="21"/>
              </w:rPr>
              <w:t>危废（</w:t>
            </w:r>
            <w:r>
              <w:rPr>
                <w:rFonts w:hint="eastAsia" w:ascii="宋体" w:hAnsi="宋体" w:cs="宋体"/>
                <w:szCs w:val="21"/>
                <w:lang w:val="en-US" w:eastAsia="zh-CN"/>
              </w:rPr>
              <w:t>废油漆桶、废活性炭、废过滤棉等</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噪声</w:t>
            </w:r>
            <w:r>
              <w:rPr>
                <w:rFonts w:hint="eastAsia" w:ascii="宋体" w:hAnsi="宋体" w:cs="宋体"/>
                <w:szCs w:val="21"/>
              </w:rPr>
              <w:t>排放、火灾发生等，识别的重大危险源主要为搬运机械伤害、</w:t>
            </w:r>
            <w:r>
              <w:rPr>
                <w:rFonts w:hint="eastAsia" w:ascii="宋体" w:hAnsi="宋体" w:cs="宋体"/>
                <w:szCs w:val="21"/>
                <w:lang w:val="en-US" w:eastAsia="zh-CN"/>
              </w:rPr>
              <w:t>化学有害因子、噪声、</w:t>
            </w:r>
            <w:r>
              <w:rPr>
                <w:rFonts w:hint="eastAsia" w:ascii="宋体" w:hAnsi="宋体" w:cs="宋体"/>
                <w:szCs w:val="21"/>
              </w:rPr>
              <w:t>火灾、触电等，并确定了相应的控制方案，具体识别和控制情况见各部门的审核记录。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lang w:val="en-US" w:eastAsia="zh-CN"/>
              </w:rPr>
              <w:t xml:space="preserve"> </w:t>
            </w:r>
            <w:r>
              <w:rPr>
                <w:rFonts w:hint="eastAsia" w:ascii="宋体" w:hAnsi="宋体" w:cs="宋体"/>
                <w:szCs w:val="21"/>
              </w:rPr>
              <w:t>适用条款为</w:t>
            </w:r>
            <w:r>
              <w:rPr>
                <w:rFonts w:hint="eastAsia" w:ascii="宋体" w:hAnsi="宋体" w:cs="宋体"/>
                <w:szCs w:val="21"/>
                <w:lang w:val="en-US" w:eastAsia="zh-CN"/>
              </w:rPr>
              <w:t>全部</w:t>
            </w:r>
            <w:r>
              <w:rPr>
                <w:rFonts w:hint="eastAsia" w:ascii="宋体" w:hAnsi="宋体" w:cs="宋体"/>
                <w:szCs w:val="21"/>
              </w:rPr>
              <w:t>条款</w:t>
            </w:r>
            <w:r>
              <w:rPr>
                <w:rFonts w:hint="eastAsia" w:ascii="宋体" w:hAnsi="宋体" w:cs="宋体"/>
                <w:szCs w:val="21"/>
                <w:lang w:val="en-US" w:eastAsia="zh-CN"/>
              </w:rPr>
              <w:t>等</w:t>
            </w:r>
            <w:r>
              <w:rPr>
                <w:rFonts w:hint="eastAsia" w:ascii="宋体" w:hAnsi="宋体" w:cs="宋体"/>
                <w:szCs w:val="21"/>
              </w:rPr>
              <w:t>，明确了适用的公司活动为职业病事前预防、宣传教育、防范要求等过程，评价结果为符合要求。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管理部负责制定质量环境、职业健康安全目标及管理方案，总经理</w:t>
            </w:r>
            <w:r>
              <w:rPr>
                <w:rFonts w:hint="eastAsia" w:ascii="宋体" w:hAnsi="宋体" w:cs="宋体"/>
                <w:szCs w:val="21"/>
                <w:lang w:val="en-US" w:eastAsia="zh-CN"/>
              </w:rPr>
              <w:t>施英虎</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管理部每半年对方案实施情况进行检查跟踪，向总经理报告；一般在管理评审之前对环境、职业健康安全目标及管理方案由管理部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公司质量、环境和职业健康安全管理目标及实现情况是：</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 xml:space="preserve"> </w:t>
            </w:r>
          </w:p>
          <w:tbl>
            <w:tblPr>
              <w:tblStyle w:val="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680"/>
              <w:gridCol w:w="1592"/>
              <w:gridCol w:w="3661"/>
              <w:gridCol w:w="1315"/>
              <w:gridCol w:w="1439"/>
              <w:gridCol w:w="92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02" w:type="dxa"/>
                  <w:noWrap w:val="0"/>
                  <w:vAlign w:val="center"/>
                </w:tcPr>
                <w:p>
                  <w:pPr>
                    <w:jc w:val="center"/>
                    <w:rPr>
                      <w:rFonts w:hint="eastAsia"/>
                      <w:b w:val="0"/>
                      <w:bCs w:val="0"/>
                      <w:sz w:val="18"/>
                      <w:szCs w:val="18"/>
                    </w:rPr>
                  </w:pPr>
                  <w:r>
                    <w:rPr>
                      <w:rFonts w:hint="eastAsia"/>
                      <w:b w:val="0"/>
                      <w:bCs w:val="0"/>
                      <w:sz w:val="18"/>
                      <w:szCs w:val="18"/>
                    </w:rPr>
                    <w:t>检查对象/部门</w:t>
                  </w:r>
                </w:p>
              </w:tc>
              <w:tc>
                <w:tcPr>
                  <w:tcW w:w="1680" w:type="dxa"/>
                  <w:noWrap w:val="0"/>
                  <w:vAlign w:val="center"/>
                </w:tcPr>
                <w:p>
                  <w:pPr>
                    <w:jc w:val="center"/>
                    <w:rPr>
                      <w:rFonts w:hint="eastAsia"/>
                      <w:b w:val="0"/>
                      <w:bCs w:val="0"/>
                      <w:sz w:val="18"/>
                      <w:szCs w:val="18"/>
                    </w:rPr>
                  </w:pPr>
                  <w:r>
                    <w:rPr>
                      <w:rFonts w:hint="eastAsia" w:ascii="黑体" w:hAnsi="黑体" w:eastAsia="黑体"/>
                      <w:b w:val="0"/>
                      <w:bCs w:val="0"/>
                      <w:sz w:val="18"/>
                      <w:szCs w:val="18"/>
                    </w:rPr>
                    <w:t>公司</w:t>
                  </w:r>
                </w:p>
              </w:tc>
              <w:tc>
                <w:tcPr>
                  <w:tcW w:w="1592" w:type="dxa"/>
                  <w:noWrap w:val="0"/>
                  <w:vAlign w:val="center"/>
                </w:tcPr>
                <w:p>
                  <w:pPr>
                    <w:jc w:val="center"/>
                    <w:rPr>
                      <w:rFonts w:hint="eastAsia"/>
                      <w:b w:val="0"/>
                      <w:bCs w:val="0"/>
                      <w:sz w:val="18"/>
                      <w:szCs w:val="18"/>
                    </w:rPr>
                  </w:pPr>
                  <w:r>
                    <w:rPr>
                      <w:rFonts w:hint="eastAsia"/>
                      <w:b w:val="0"/>
                      <w:bCs w:val="0"/>
                      <w:sz w:val="18"/>
                      <w:szCs w:val="18"/>
                    </w:rPr>
                    <w:t>检查类别</w:t>
                  </w:r>
                </w:p>
              </w:tc>
              <w:tc>
                <w:tcPr>
                  <w:tcW w:w="3661" w:type="dxa"/>
                  <w:noWrap w:val="0"/>
                  <w:vAlign w:val="center"/>
                </w:tcPr>
                <w:p>
                  <w:pPr>
                    <w:jc w:val="center"/>
                    <w:rPr>
                      <w:b w:val="0"/>
                      <w:bCs w:val="0"/>
                      <w:sz w:val="18"/>
                      <w:szCs w:val="18"/>
                    </w:rPr>
                  </w:pPr>
                  <w:r>
                    <w:rPr>
                      <w:rFonts w:hint="eastAsia" w:ascii="MS Gothic" w:hAnsi="MS Gothic" w:eastAsia="MS Gothic"/>
                      <w:b w:val="0"/>
                      <w:bCs w:val="0"/>
                      <w:sz w:val="18"/>
                      <w:szCs w:val="18"/>
                    </w:rPr>
                    <w:t>■</w:t>
                  </w:r>
                  <w:r>
                    <w:rPr>
                      <w:rFonts w:hint="eastAsia"/>
                      <w:b w:val="0"/>
                      <w:bCs w:val="0"/>
                      <w:sz w:val="18"/>
                      <w:szCs w:val="18"/>
                    </w:rPr>
                    <w:t>目标</w:t>
                  </w:r>
                  <w:r>
                    <w:rPr>
                      <w:rFonts w:hint="eastAsia" w:ascii="MS Gothic" w:hAnsi="MS Gothic" w:eastAsia="MS Gothic"/>
                      <w:b w:val="0"/>
                      <w:bCs w:val="0"/>
                      <w:sz w:val="18"/>
                      <w:szCs w:val="18"/>
                    </w:rPr>
                    <w:t>❒</w:t>
                  </w:r>
                  <w:r>
                    <w:rPr>
                      <w:rFonts w:hint="eastAsia"/>
                      <w:b w:val="0"/>
                      <w:bCs w:val="0"/>
                      <w:sz w:val="18"/>
                      <w:szCs w:val="18"/>
                    </w:rPr>
                    <w:t>指标</w:t>
                  </w:r>
                  <w:r>
                    <w:rPr>
                      <w:rFonts w:hint="eastAsia" w:ascii="MS Gothic" w:hAnsi="MS Gothic" w:eastAsia="MS Gothic"/>
                      <w:b w:val="0"/>
                      <w:bCs w:val="0"/>
                      <w:sz w:val="18"/>
                      <w:szCs w:val="18"/>
                    </w:rPr>
                    <w:t>❒</w:t>
                  </w:r>
                  <w:r>
                    <w:rPr>
                      <w:rFonts w:hint="eastAsia"/>
                      <w:b w:val="0"/>
                      <w:bCs w:val="0"/>
                      <w:sz w:val="18"/>
                      <w:szCs w:val="18"/>
                    </w:rPr>
                    <w:t>管理方案</w:t>
                  </w:r>
                </w:p>
              </w:tc>
              <w:tc>
                <w:tcPr>
                  <w:tcW w:w="1315" w:type="dxa"/>
                  <w:noWrap w:val="0"/>
                  <w:vAlign w:val="center"/>
                </w:tcPr>
                <w:p>
                  <w:pPr>
                    <w:jc w:val="center"/>
                    <w:rPr>
                      <w:rFonts w:hint="eastAsia"/>
                      <w:b w:val="0"/>
                      <w:bCs w:val="0"/>
                      <w:sz w:val="18"/>
                      <w:szCs w:val="18"/>
                    </w:rPr>
                  </w:pPr>
                  <w:r>
                    <w:rPr>
                      <w:rFonts w:hint="eastAsia"/>
                      <w:b w:val="0"/>
                      <w:bCs w:val="0"/>
                      <w:sz w:val="18"/>
                      <w:szCs w:val="18"/>
                    </w:rPr>
                    <w:t>检查主持</w:t>
                  </w:r>
                </w:p>
              </w:tc>
              <w:tc>
                <w:tcPr>
                  <w:tcW w:w="1439" w:type="dxa"/>
                  <w:noWrap w:val="0"/>
                  <w:vAlign w:val="center"/>
                </w:tcPr>
                <w:p>
                  <w:pPr>
                    <w:jc w:val="center"/>
                    <w:rPr>
                      <w:rFonts w:hint="eastAsia"/>
                      <w:b w:val="0"/>
                      <w:bCs w:val="0"/>
                      <w:sz w:val="18"/>
                      <w:szCs w:val="18"/>
                    </w:rPr>
                  </w:pPr>
                  <w:r>
                    <w:rPr>
                      <w:rFonts w:hint="eastAsia" w:ascii="黑体" w:eastAsia="黑体"/>
                      <w:b w:val="0"/>
                      <w:bCs w:val="0"/>
                      <w:sz w:val="18"/>
                      <w:szCs w:val="18"/>
                    </w:rPr>
                    <w:t>缪哲芳</w:t>
                  </w:r>
                </w:p>
              </w:tc>
              <w:tc>
                <w:tcPr>
                  <w:tcW w:w="923" w:type="dxa"/>
                  <w:noWrap w:val="0"/>
                  <w:vAlign w:val="center"/>
                </w:tcPr>
                <w:p>
                  <w:pPr>
                    <w:jc w:val="center"/>
                    <w:rPr>
                      <w:rFonts w:hint="eastAsia"/>
                      <w:b w:val="0"/>
                      <w:bCs w:val="0"/>
                      <w:sz w:val="18"/>
                      <w:szCs w:val="18"/>
                    </w:rPr>
                  </w:pPr>
                  <w:r>
                    <w:rPr>
                      <w:rFonts w:hint="eastAsia"/>
                      <w:b w:val="0"/>
                      <w:bCs w:val="0"/>
                      <w:sz w:val="18"/>
                      <w:szCs w:val="18"/>
                    </w:rPr>
                    <w:t>日期</w:t>
                  </w:r>
                </w:p>
              </w:tc>
              <w:tc>
                <w:tcPr>
                  <w:tcW w:w="1416" w:type="dxa"/>
                  <w:noWrap w:val="0"/>
                  <w:vAlign w:val="center"/>
                </w:tcPr>
                <w:p>
                  <w:pPr>
                    <w:jc w:val="center"/>
                    <w:rPr>
                      <w:rFonts w:ascii="黑体" w:eastAsia="黑体"/>
                      <w:b w:val="0"/>
                      <w:bCs w:val="0"/>
                      <w:sz w:val="18"/>
                      <w:szCs w:val="18"/>
                    </w:rPr>
                  </w:pPr>
                  <w:r>
                    <w:rPr>
                      <w:rFonts w:hint="eastAsia" w:ascii="黑体" w:eastAsia="黑体"/>
                      <w:b w:val="0"/>
                      <w:bCs w:val="0"/>
                      <w:sz w:val="18"/>
                      <w:szCs w:val="18"/>
                    </w:rPr>
                    <w:t>2020/08/200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exact"/>
              </w:trPr>
              <w:tc>
                <w:tcPr>
                  <w:tcW w:w="3582" w:type="dxa"/>
                  <w:gridSpan w:val="2"/>
                  <w:noWrap w:val="0"/>
                  <w:vAlign w:val="center"/>
                </w:tcPr>
                <w:p>
                  <w:pPr>
                    <w:jc w:val="center"/>
                    <w:rPr>
                      <w:rFonts w:ascii="宋体" w:hAnsi="宋体"/>
                      <w:b w:val="0"/>
                      <w:bCs w:val="0"/>
                      <w:sz w:val="18"/>
                      <w:szCs w:val="18"/>
                    </w:rPr>
                  </w:pPr>
                  <w:r>
                    <w:rPr>
                      <w:rFonts w:hint="eastAsia" w:ascii="黑体" w:hAnsi="黑体" w:eastAsia="黑体" w:cs="黑体"/>
                      <w:b w:val="0"/>
                      <w:bCs w:val="0"/>
                      <w:sz w:val="18"/>
                      <w:szCs w:val="18"/>
                    </w:rPr>
                    <w:t>目标/指标/管理方案内容</w:t>
                  </w:r>
                </w:p>
              </w:tc>
              <w:tc>
                <w:tcPr>
                  <w:tcW w:w="10346" w:type="dxa"/>
                  <w:gridSpan w:val="6"/>
                  <w:noWrap w:val="0"/>
                  <w:vAlign w:val="top"/>
                </w:tcPr>
                <w:p>
                  <w:pPr>
                    <w:spacing w:line="300" w:lineRule="auto"/>
                    <w:rPr>
                      <w:rFonts w:hint="eastAsia" w:ascii="黑体" w:hAnsi="黑体" w:eastAsia="黑体" w:cs="黑体"/>
                      <w:b w:val="0"/>
                      <w:bCs w:val="0"/>
                      <w:sz w:val="18"/>
                      <w:szCs w:val="18"/>
                    </w:rPr>
                  </w:pPr>
                  <w:r>
                    <w:rPr>
                      <w:rFonts w:hint="eastAsia" w:ascii="黑体" w:hAnsi="黑体" w:eastAsia="黑体" w:cs="黑体"/>
                      <w:b w:val="0"/>
                      <w:bCs w:val="0"/>
                      <w:sz w:val="18"/>
                      <w:szCs w:val="18"/>
                      <w:lang w:val="en-US" w:eastAsia="zh-CN"/>
                    </w:rPr>
                    <w:t>一、</w:t>
                  </w:r>
                  <w:r>
                    <w:rPr>
                      <w:rFonts w:hint="eastAsia" w:ascii="黑体" w:hAnsi="黑体" w:eastAsia="黑体" w:cs="黑体"/>
                      <w:b w:val="0"/>
                      <w:bCs w:val="0"/>
                      <w:sz w:val="18"/>
                      <w:szCs w:val="18"/>
                    </w:rPr>
                    <w:t>环境指标：</w:t>
                  </w:r>
                </w:p>
                <w:p>
                  <w:pPr>
                    <w:spacing w:line="360" w:lineRule="auto"/>
                    <w:rPr>
                      <w:rFonts w:hint="eastAsia" w:ascii="黑体" w:hAnsi="黑体" w:eastAsia="黑体" w:cs="黑体"/>
                      <w:b w:val="0"/>
                      <w:bCs w:val="0"/>
                      <w:sz w:val="18"/>
                      <w:szCs w:val="18"/>
                    </w:rPr>
                  </w:pPr>
                  <w:r>
                    <w:rPr>
                      <w:rFonts w:hint="eastAsia" w:ascii="黑体" w:hAnsi="黑体" w:eastAsia="黑体" w:cs="黑体"/>
                      <w:b w:val="0"/>
                      <w:bCs w:val="0"/>
                      <w:sz w:val="18"/>
                      <w:szCs w:val="18"/>
                    </w:rPr>
                    <w:t xml:space="preserve">             1.噪声、废气、废水排放达标；                               达标</w:t>
                  </w:r>
                </w:p>
                <w:p>
                  <w:pPr>
                    <w:tabs>
                      <w:tab w:val="left" w:pos="2835"/>
                    </w:tabs>
                    <w:snapToGrid w:val="0"/>
                    <w:spacing w:line="300" w:lineRule="auto"/>
                    <w:ind w:right="-122" w:firstLine="180" w:firstLineChars="100"/>
                    <w:rPr>
                      <w:rFonts w:hint="eastAsia" w:ascii="黑体" w:hAnsi="黑体" w:eastAsia="黑体" w:cs="黑体"/>
                      <w:b w:val="0"/>
                      <w:bCs w:val="0"/>
                      <w:sz w:val="18"/>
                      <w:szCs w:val="18"/>
                    </w:rPr>
                  </w:pPr>
                  <w:r>
                    <w:rPr>
                      <w:rFonts w:hint="eastAsia" w:ascii="黑体" w:hAnsi="黑体" w:eastAsia="黑体" w:cs="黑体"/>
                      <w:b w:val="0"/>
                      <w:bCs w:val="0"/>
                      <w:sz w:val="18"/>
                      <w:szCs w:val="18"/>
                    </w:rPr>
                    <w:t xml:space="preserve">           2.各类废弃物按规定处置率100%；                             100%                           </w:t>
                  </w:r>
                </w:p>
                <w:p>
                  <w:pPr>
                    <w:tabs>
                      <w:tab w:val="left" w:pos="2835"/>
                    </w:tabs>
                    <w:snapToGrid w:val="0"/>
                    <w:spacing w:line="300" w:lineRule="auto"/>
                    <w:ind w:right="-122" w:firstLine="1062" w:firstLineChars="590"/>
                    <w:rPr>
                      <w:rFonts w:hint="eastAsia" w:ascii="黑体" w:hAnsi="黑体" w:eastAsia="黑体" w:cs="黑体"/>
                      <w:b w:val="0"/>
                      <w:bCs w:val="0"/>
                      <w:sz w:val="18"/>
                      <w:szCs w:val="18"/>
                    </w:rPr>
                  </w:pPr>
                  <w:r>
                    <w:rPr>
                      <w:rFonts w:hint="eastAsia" w:ascii="黑体" w:hAnsi="黑体" w:eastAsia="黑体" w:cs="黑体"/>
                      <w:b w:val="0"/>
                      <w:bCs w:val="0"/>
                      <w:sz w:val="18"/>
                      <w:szCs w:val="18"/>
                    </w:rPr>
                    <w:t xml:space="preserve"> 3.杜绝火灾事故发生；                                         0               </w:t>
                  </w:r>
                </w:p>
                <w:p>
                  <w:pPr>
                    <w:numPr>
                      <w:ilvl w:val="0"/>
                      <w:numId w:val="0"/>
                    </w:numPr>
                    <w:tabs>
                      <w:tab w:val="left" w:pos="2835"/>
                    </w:tabs>
                    <w:snapToGrid w:val="0"/>
                    <w:spacing w:line="300" w:lineRule="auto"/>
                    <w:ind w:right="-122" w:rightChars="0"/>
                    <w:rPr>
                      <w:rFonts w:hint="eastAsia" w:ascii="黑体" w:hAnsi="黑体" w:eastAsia="黑体" w:cs="黑体"/>
                      <w:b w:val="0"/>
                      <w:bCs w:val="0"/>
                      <w:sz w:val="18"/>
                      <w:szCs w:val="18"/>
                    </w:rPr>
                  </w:pPr>
                  <w:r>
                    <w:rPr>
                      <w:rFonts w:hint="eastAsia" w:ascii="黑体" w:hAnsi="黑体" w:eastAsia="黑体" w:cs="黑体"/>
                      <w:b w:val="0"/>
                      <w:bCs w:val="0"/>
                      <w:sz w:val="18"/>
                      <w:szCs w:val="18"/>
                      <w:lang w:val="en-US" w:eastAsia="zh-CN"/>
                    </w:rPr>
                    <w:t>二、</w:t>
                  </w:r>
                  <w:r>
                    <w:rPr>
                      <w:rFonts w:hint="eastAsia" w:ascii="黑体" w:hAnsi="黑体" w:eastAsia="黑体" w:cs="黑体"/>
                      <w:b w:val="0"/>
                      <w:bCs w:val="0"/>
                      <w:sz w:val="18"/>
                      <w:szCs w:val="18"/>
                    </w:rPr>
                    <w:t>职业健康安全指标：</w:t>
                  </w:r>
                </w:p>
                <w:p>
                  <w:pPr>
                    <w:tabs>
                      <w:tab w:val="left" w:pos="2835"/>
                    </w:tabs>
                    <w:snapToGrid w:val="0"/>
                    <w:spacing w:line="300" w:lineRule="auto"/>
                    <w:ind w:right="-122"/>
                    <w:rPr>
                      <w:rFonts w:hint="eastAsia" w:ascii="黑体" w:hAnsi="黑体" w:eastAsia="黑体" w:cs="黑体"/>
                      <w:b w:val="0"/>
                      <w:bCs w:val="0"/>
                      <w:sz w:val="18"/>
                      <w:szCs w:val="18"/>
                    </w:rPr>
                  </w:pPr>
                  <w:r>
                    <w:rPr>
                      <w:rFonts w:hint="eastAsia" w:ascii="黑体" w:hAnsi="黑体" w:eastAsia="黑体" w:cs="黑体"/>
                      <w:b w:val="0"/>
                      <w:bCs w:val="0"/>
                      <w:sz w:val="18"/>
                      <w:szCs w:val="18"/>
                    </w:rPr>
                    <w:t xml:space="preserve">             1.无重大和伤亡事故；                                         0</w:t>
                  </w:r>
                </w:p>
                <w:p>
                  <w:pPr>
                    <w:tabs>
                      <w:tab w:val="left" w:pos="2835"/>
                    </w:tabs>
                    <w:snapToGrid w:val="0"/>
                    <w:spacing w:line="300" w:lineRule="auto"/>
                    <w:ind w:right="-122"/>
                    <w:rPr>
                      <w:rFonts w:hint="eastAsia" w:ascii="黑体" w:hAnsi="黑体" w:eastAsia="黑体" w:cs="黑体"/>
                      <w:b w:val="0"/>
                      <w:bCs w:val="0"/>
                      <w:sz w:val="18"/>
                      <w:szCs w:val="18"/>
                    </w:rPr>
                  </w:pPr>
                  <w:r>
                    <w:rPr>
                      <w:rFonts w:hint="eastAsia" w:ascii="黑体" w:hAnsi="黑体" w:eastAsia="黑体" w:cs="黑体"/>
                      <w:b w:val="0"/>
                      <w:bCs w:val="0"/>
                      <w:sz w:val="18"/>
                      <w:szCs w:val="18"/>
                    </w:rPr>
                    <w:t xml:space="preserve">             2.职业病发生为0； </w:t>
                  </w:r>
                </w:p>
                <w:p>
                  <w:pPr>
                    <w:tabs>
                      <w:tab w:val="left" w:pos="2835"/>
                    </w:tabs>
                    <w:snapToGrid w:val="0"/>
                    <w:spacing w:line="300" w:lineRule="auto"/>
                    <w:ind w:right="-122"/>
                    <w:rPr>
                      <w:rFonts w:hint="eastAsia" w:ascii="仿宋_GB2312" w:hAnsi="宋体" w:eastAsia="仿宋_GB2312"/>
                      <w:b w:val="0"/>
                      <w:bCs w:val="0"/>
                      <w:sz w:val="18"/>
                      <w:szCs w:val="18"/>
                    </w:rPr>
                  </w:pPr>
                  <w:r>
                    <w:rPr>
                      <w:rFonts w:hint="eastAsia" w:ascii="黑体" w:hAnsi="黑体" w:eastAsia="黑体" w:cs="黑体"/>
                      <w:b w:val="0"/>
                      <w:bCs w:val="0"/>
                      <w:sz w:val="18"/>
                      <w:szCs w:val="18"/>
                      <w:lang w:val="en-US" w:eastAsia="zh-CN"/>
                    </w:rPr>
                    <w:t>三、</w:t>
                  </w:r>
                  <w:r>
                    <w:rPr>
                      <w:rFonts w:hint="eastAsia" w:ascii="黑体" w:hAnsi="黑体" w:eastAsia="黑体" w:cs="黑体"/>
                      <w:b w:val="0"/>
                      <w:bCs w:val="0"/>
                      <w:sz w:val="18"/>
                      <w:szCs w:val="18"/>
                    </w:rPr>
                    <w:t>管理方案均实现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928" w:type="dxa"/>
                  <w:gridSpan w:val="8"/>
                  <w:noWrap w:val="0"/>
                  <w:vAlign w:val="top"/>
                </w:tcPr>
                <w:p>
                  <w:pPr>
                    <w:rPr>
                      <w:rFonts w:hint="eastAsia" w:ascii="黑体" w:hAnsi="黑体" w:eastAsia="黑体"/>
                      <w:b w:val="0"/>
                      <w:bCs w:val="0"/>
                      <w:sz w:val="18"/>
                      <w:szCs w:val="18"/>
                    </w:rPr>
                  </w:pPr>
                  <w:r>
                    <w:rPr>
                      <w:rFonts w:hint="eastAsia" w:ascii="黑体" w:eastAsia="黑体"/>
                      <w:b w:val="0"/>
                      <w:bCs w:val="0"/>
                      <w:sz w:val="18"/>
                      <w:szCs w:val="18"/>
                    </w:rPr>
                    <w:t xml:space="preserve">  </w:t>
                  </w:r>
                  <w:r>
                    <w:rPr>
                      <w:rFonts w:hint="eastAsia" w:ascii="黑体" w:hAnsi="黑体" w:eastAsia="黑体"/>
                      <w:b w:val="0"/>
                      <w:bCs w:val="0"/>
                      <w:sz w:val="18"/>
                      <w:szCs w:val="18"/>
                    </w:rPr>
                    <w:t>检查结论:</w:t>
                  </w:r>
                </w:p>
                <w:p>
                  <w:pPr>
                    <w:rPr>
                      <w:rFonts w:hint="eastAsia" w:ascii="黑体" w:eastAsia="黑体"/>
                      <w:b w:val="0"/>
                      <w:bCs w:val="0"/>
                      <w:sz w:val="18"/>
                      <w:szCs w:val="18"/>
                    </w:rPr>
                  </w:pPr>
                  <w:r>
                    <w:rPr>
                      <w:rFonts w:hint="eastAsia" w:ascii="黑体" w:hAnsi="黑体" w:eastAsia="黑体"/>
                      <w:b w:val="0"/>
                      <w:bCs w:val="0"/>
                      <w:sz w:val="18"/>
                      <w:szCs w:val="18"/>
                    </w:rPr>
                    <w:t xml:space="preserve">           体系运行符合要求。                  检查人:   </w:t>
                  </w:r>
                  <w:r>
                    <w:rPr>
                      <w:rFonts w:hint="eastAsia" w:ascii="黑体" w:eastAsia="黑体"/>
                      <w:b w:val="0"/>
                      <w:bCs w:val="0"/>
                      <w:sz w:val="18"/>
                      <w:szCs w:val="18"/>
                    </w:rPr>
                    <w:t>盛梁斌</w:t>
                  </w:r>
                  <w:r>
                    <w:rPr>
                      <w:rFonts w:hint="eastAsia" w:ascii="黑体" w:hAnsi="黑体" w:eastAsia="黑体"/>
                      <w:b w:val="0"/>
                      <w:bCs w:val="0"/>
                      <w:sz w:val="18"/>
                      <w:szCs w:val="18"/>
                    </w:rPr>
                    <w:t xml:space="preserve">     /2020年 8月 20  日</w:t>
                  </w:r>
                </w:p>
              </w:tc>
            </w:tr>
          </w:tbl>
          <w:p>
            <w:pPr>
              <w:spacing w:line="280" w:lineRule="exact"/>
              <w:ind w:firstLine="420" w:firstLineChars="200"/>
              <w:rPr>
                <w:rFonts w:hint="eastAsia" w:ascii="宋体" w:hAnsi="宋体" w:eastAsia="宋体" w:cs="宋体"/>
                <w:szCs w:val="21"/>
                <w:lang w:val="en-US" w:eastAsia="zh-CN"/>
              </w:rPr>
            </w:pP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缪哲芳</w:t>
            </w:r>
            <w:r>
              <w:rPr>
                <w:rFonts w:hint="eastAsia" w:ascii="宋体" w:hAnsi="宋体" w:cs="宋体"/>
                <w:szCs w:val="21"/>
              </w:rPr>
              <w:t>，审批人</w:t>
            </w:r>
            <w:r>
              <w:rPr>
                <w:rFonts w:hint="eastAsia" w:ascii="宋体" w:hAnsi="宋体" w:cs="宋体"/>
                <w:szCs w:val="21"/>
                <w:lang w:val="en-US" w:eastAsia="zh-CN"/>
              </w:rPr>
              <w:t>施英虎</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查公司配备了必要的人力资源，基础设施(桁架机器人和关节机器人组装相关设备、办公场所、办公用品等)，规范文件、资金等必要的资源，能够持续满足顾客需求和管理体系改进的需要。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lang w:eastAsia="zh-CN"/>
              </w:rPr>
              <w:t>EO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协商和沟通控制程序》，规定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lang w:eastAsia="zh-CN"/>
              </w:rPr>
              <w:t>EO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w:t>
            </w:r>
            <w:r>
              <w:rPr>
                <w:rFonts w:hint="eastAsia" w:ascii="宋体" w:hAnsi="宋体" w:cs="宋体"/>
                <w:szCs w:val="21"/>
                <w:lang w:val="en-US" w:eastAsia="zh-CN"/>
              </w:rPr>
              <w:t>，</w:t>
            </w:r>
            <w:r>
              <w:rPr>
                <w:rFonts w:hint="eastAsia"/>
                <w:szCs w:val="21"/>
              </w:rPr>
              <w:t>内审安排1次。明确审核目的、范围、依据、日期，组长：</w:t>
            </w:r>
            <w:r>
              <w:rPr>
                <w:rFonts w:hint="eastAsia"/>
                <w:szCs w:val="21"/>
                <w:lang w:val="en-US" w:eastAsia="zh-CN"/>
              </w:rPr>
              <w:t>缪哲芳</w:t>
            </w:r>
            <w:r>
              <w:rPr>
                <w:rFonts w:hint="eastAsia"/>
                <w:szCs w:val="21"/>
              </w:rPr>
              <w:t>，组员：</w:t>
            </w:r>
            <w:r>
              <w:rPr>
                <w:rFonts w:hint="eastAsia"/>
                <w:szCs w:val="21"/>
                <w:lang w:val="en-US" w:eastAsia="zh-CN"/>
              </w:rPr>
              <w:t>钱小静</w:t>
            </w:r>
            <w:r>
              <w:rPr>
                <w:rFonts w:hint="eastAsia"/>
                <w:szCs w:val="21"/>
              </w:rPr>
              <w:t>，有培训记录和总经理的任命书；编制：</w:t>
            </w:r>
            <w:r>
              <w:rPr>
                <w:rFonts w:hint="eastAsia"/>
                <w:szCs w:val="21"/>
                <w:lang w:val="en-US" w:eastAsia="zh-CN"/>
              </w:rPr>
              <w:t>缪哲芳</w:t>
            </w:r>
            <w:r>
              <w:rPr>
                <w:rFonts w:hint="eastAsia"/>
                <w:szCs w:val="21"/>
              </w:rPr>
              <w:t>，审批：</w:t>
            </w:r>
            <w:r>
              <w:rPr>
                <w:rFonts w:hint="eastAsia"/>
                <w:szCs w:val="21"/>
                <w:lang w:val="en-US" w:eastAsia="zh-CN"/>
              </w:rPr>
              <w:t>施英虎</w:t>
            </w:r>
            <w:r>
              <w:rPr>
                <w:rFonts w:hint="eastAsia"/>
                <w:szCs w:val="21"/>
              </w:rPr>
              <w:t>，日期：</w:t>
            </w:r>
            <w:r>
              <w:rPr>
                <w:szCs w:val="21"/>
              </w:rPr>
              <w:t>2020</w:t>
            </w:r>
            <w:r>
              <w:rPr>
                <w:rFonts w:hint="eastAsia"/>
                <w:szCs w:val="21"/>
              </w:rPr>
              <w:t>.</w:t>
            </w:r>
            <w:r>
              <w:rPr>
                <w:rFonts w:hint="eastAsia"/>
                <w:szCs w:val="21"/>
                <w:lang w:val="en-US" w:eastAsia="zh-CN"/>
              </w:rPr>
              <w:t>9</w:t>
            </w:r>
            <w:r>
              <w:rPr>
                <w:szCs w:val="21"/>
              </w:rPr>
              <w:t>.1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7~8</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、技术部、销</w:t>
            </w:r>
            <w:r>
              <w:rPr>
                <w:rFonts w:hint="eastAsia"/>
                <w:szCs w:val="21"/>
                <w:lang w:val="en-US" w:eastAsia="zh-CN"/>
              </w:rPr>
              <w:t>售</w:t>
            </w:r>
            <w:r>
              <w:rPr>
                <w:rFonts w:hint="eastAsia"/>
                <w:szCs w:val="21"/>
              </w:rPr>
              <w:t>部、生产部、质</w:t>
            </w:r>
            <w:r>
              <w:rPr>
                <w:rFonts w:hint="eastAsia"/>
                <w:szCs w:val="21"/>
                <w:lang w:val="en-US" w:eastAsia="zh-CN"/>
              </w:rPr>
              <w:t>检</w:t>
            </w:r>
            <w:r>
              <w:rPr>
                <w:rFonts w:hint="eastAsia"/>
                <w:szCs w:val="21"/>
              </w:rPr>
              <w:t>部</w:t>
            </w:r>
            <w:r>
              <w:rPr>
                <w:rFonts w:hint="eastAsia"/>
                <w:szCs w:val="21"/>
                <w:lang w:eastAsia="zh-CN"/>
              </w:rPr>
              <w:t>、</w:t>
            </w:r>
            <w:r>
              <w:rPr>
                <w:rFonts w:hint="eastAsia"/>
                <w:szCs w:val="21"/>
                <w:lang w:val="en-US" w:eastAsia="zh-CN"/>
              </w:rPr>
              <w:t>采购部、财务部</w:t>
            </w:r>
            <w:r>
              <w:rPr>
                <w:rFonts w:hint="eastAsia"/>
                <w:szCs w:val="21"/>
              </w:rPr>
              <w:t>等部门的审核记录，条款与策划一致，记录真实、完整。包括</w:t>
            </w:r>
            <w:r>
              <w:rPr>
                <w:rFonts w:hint="eastAsia"/>
                <w:szCs w:val="21"/>
                <w:lang w:eastAsia="zh-CN"/>
              </w:rPr>
              <w:t>EO</w:t>
            </w:r>
            <w:r>
              <w:rPr>
                <w:rFonts w:hint="eastAsia"/>
                <w:szCs w:val="21"/>
              </w:rPr>
              <w:t>体系所有条款，没有遗漏。</w:t>
            </w:r>
          </w:p>
          <w:p>
            <w:pPr>
              <w:spacing w:line="280" w:lineRule="exact"/>
              <w:ind w:firstLine="420" w:firstLineChars="200"/>
              <w:rPr>
                <w:szCs w:val="21"/>
              </w:rPr>
            </w:pPr>
            <w:r>
              <w:rPr>
                <w:rFonts w:hint="eastAsia"/>
                <w:szCs w:val="21"/>
              </w:rPr>
              <w:t>查《不合格报告》本次发现不符合</w:t>
            </w:r>
            <w:r>
              <w:rPr>
                <w:rFonts w:hint="eastAsia"/>
                <w:szCs w:val="21"/>
                <w:lang w:val="en-US" w:eastAsia="zh-CN"/>
              </w:rPr>
              <w:t>2</w:t>
            </w:r>
            <w:r>
              <w:rPr>
                <w:rFonts w:hint="eastAsia"/>
                <w:szCs w:val="21"/>
              </w:rPr>
              <w:t>个，均为一般不符合，分别为</w:t>
            </w:r>
            <w:r>
              <w:rPr>
                <w:rFonts w:hint="eastAsia"/>
                <w:szCs w:val="21"/>
                <w:lang w:val="en-US" w:eastAsia="zh-CN"/>
              </w:rPr>
              <w:t>7.</w:t>
            </w:r>
            <w:r>
              <w:rPr>
                <w:szCs w:val="21"/>
              </w:rPr>
              <w:t>2</w:t>
            </w:r>
            <w:r>
              <w:rPr>
                <w:rFonts w:hint="eastAsia"/>
                <w:szCs w:val="21"/>
              </w:rPr>
              <w:t>、</w:t>
            </w:r>
            <w:r>
              <w:rPr>
                <w:szCs w:val="21"/>
              </w:rPr>
              <w:t>8.1</w:t>
            </w:r>
            <w:r>
              <w:rPr>
                <w:rFonts w:hint="eastAsia"/>
                <w:szCs w:val="21"/>
              </w:rPr>
              <w:t>。对于不符合项所采取的纠正等措施，内审员进行了验证。上述内容记录完整。提供《内部审核报告》，结论： 公司建立的环境/职业健康安全管理体系基本符合</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9.3</w:t>
            </w:r>
          </w:p>
        </w:tc>
        <w:tc>
          <w:tcPr>
            <w:tcW w:w="10004" w:type="dxa"/>
            <w:vAlign w:val="center"/>
          </w:tcPr>
          <w:p>
            <w:pPr>
              <w:spacing w:line="280" w:lineRule="exact"/>
              <w:rPr>
                <w:rFonts w:hint="eastAsia"/>
              </w:rPr>
            </w:pPr>
            <w:r>
              <w:rPr>
                <w:rFonts w:hint="eastAsia"/>
              </w:rPr>
              <w:t>编制了管理评审控制程序，由总经理负责，提供了最近一次管理评审：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9月28日，</w:t>
            </w:r>
            <w:r>
              <w:rPr>
                <w:rFonts w:hint="eastAsia"/>
              </w:rPr>
              <w:t>评审方式：会议评审，编制：</w:t>
            </w:r>
            <w:r>
              <w:rPr>
                <w:rFonts w:hint="eastAsia"/>
                <w:lang w:val="en-US" w:eastAsia="zh-CN"/>
              </w:rPr>
              <w:t>缪哲芳</w:t>
            </w:r>
            <w:r>
              <w:rPr>
                <w:rFonts w:hint="eastAsia"/>
              </w:rPr>
              <w:t xml:space="preserve">  批准：</w:t>
            </w:r>
            <w:r>
              <w:rPr>
                <w:rFonts w:hint="eastAsia"/>
                <w:lang w:val="en-US" w:eastAsia="zh-CN"/>
              </w:rPr>
              <w:t>施英虎</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eastAsia="zh-CN"/>
              </w:rPr>
              <w:t>，</w:t>
            </w:r>
            <w:r>
              <w:rPr>
                <w:rFonts w:hint="eastAsia"/>
                <w:lang w:val="en-US" w:eastAsia="zh-CN"/>
              </w:rPr>
              <w:t>参加人员非签字形式。</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rPr>
            </w:pPr>
            <w:r>
              <w:rPr>
                <w:rFonts w:hint="eastAsia"/>
              </w:rPr>
              <w:t>管理评审</w:t>
            </w:r>
            <w:r>
              <w:rPr>
                <w:rFonts w:hint="eastAsia"/>
                <w:lang w:val="en-US" w:eastAsia="zh-CN"/>
              </w:rPr>
              <w:t>输出</w:t>
            </w:r>
            <w:r>
              <w:rPr>
                <w:rFonts w:hint="eastAsia"/>
              </w:rPr>
              <w:t>：</w:t>
            </w:r>
          </w:p>
          <w:p>
            <w:pPr>
              <w:spacing w:line="280" w:lineRule="exact"/>
              <w:rPr>
                <w:rFonts w:hint="eastAsia"/>
              </w:rPr>
            </w:pPr>
            <w:r>
              <w:rPr>
                <w:rFonts w:hint="eastAsia"/>
              </w:rPr>
              <w:t>①继续建设风险管理体系，提高风险管理能力，创建绿色环保家园。</w:t>
            </w:r>
          </w:p>
          <w:p>
            <w:pPr>
              <w:spacing w:line="280" w:lineRule="exact"/>
              <w:rPr>
                <w:rFonts w:hint="eastAsia"/>
              </w:rPr>
            </w:pPr>
            <w:r>
              <w:rPr>
                <w:rFonts w:hint="eastAsia"/>
              </w:rPr>
              <w:t>主要执行部门：办公室  完成期限：2020年12月</w:t>
            </w:r>
          </w:p>
          <w:p>
            <w:pPr>
              <w:spacing w:line="280" w:lineRule="exact"/>
              <w:rPr>
                <w:rFonts w:hint="eastAsia"/>
              </w:rPr>
            </w:pPr>
            <w:r>
              <w:rPr>
                <w:rFonts w:hint="eastAsia"/>
              </w:rPr>
              <w:t>②继续推进制度创新，促进管理水平不断提高，消除危险源和降低职业健康安全风险。</w:t>
            </w:r>
          </w:p>
          <w:p>
            <w:pPr>
              <w:spacing w:line="280" w:lineRule="exact"/>
              <w:rPr>
                <w:rFonts w:hint="eastAsia"/>
              </w:rPr>
            </w:pPr>
            <w:r>
              <w:rPr>
                <w:rFonts w:hint="eastAsia"/>
              </w:rPr>
              <w:t>4．内审提出</w:t>
            </w:r>
            <w:r>
              <w:rPr>
                <w:rFonts w:hint="eastAsia"/>
                <w:lang w:val="en-US" w:eastAsia="zh-CN"/>
              </w:rPr>
              <w:t>2</w:t>
            </w:r>
            <w:r>
              <w:rPr>
                <w:rFonts w:hint="eastAsia"/>
              </w:rPr>
              <w:t>个书面不合格项，责任部门已制订相应的纠正措施，并得到实施，经验证纠正措施有效。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rPr>
                <w:rFonts w:hint="eastAsia"/>
              </w:rPr>
            </w:pPr>
            <w:r>
              <w:rPr>
                <w:rFonts w:hint="eastAsia"/>
              </w:rPr>
              <w:t>总体评价质量环境职业健康安全管理体系运行是有效的，资源提供是充分的，方针目标是适宜的。</w:t>
            </w:r>
          </w:p>
          <w:p>
            <w:pPr>
              <w:spacing w:line="280" w:lineRule="exact"/>
              <w:rPr>
                <w:rFonts w:hint="eastAsia"/>
              </w:rPr>
            </w:pPr>
            <w:r>
              <w:rPr>
                <w:rFonts w:hint="eastAsia"/>
              </w:rPr>
              <w:t>管理评审改进建议：</w:t>
            </w:r>
          </w:p>
          <w:p>
            <w:pPr>
              <w:spacing w:line="280" w:lineRule="exact"/>
              <w:rPr>
                <w:rFonts w:hint="eastAsia"/>
              </w:rPr>
            </w:pPr>
            <w:r>
              <w:rPr>
                <w:rFonts w:hint="eastAsia"/>
              </w:rPr>
              <w:t>（1）进一步加强人才引进和系统工程管理工作，为增强企业的后劲和提高生产能力作好资源的贮备工作，今年下半年继续引进1名环保、安全管理人才；</w:t>
            </w:r>
          </w:p>
          <w:p>
            <w:pPr>
              <w:spacing w:line="280" w:lineRule="exact"/>
              <w:rPr>
                <w:rFonts w:hint="eastAsia"/>
              </w:rPr>
            </w:pPr>
            <w:r>
              <w:rPr>
                <w:rFonts w:hint="eastAsia"/>
              </w:rPr>
              <w:t>（2）进一步强化员工的环保、安全意识，满足相关方的需求。</w:t>
            </w:r>
          </w:p>
          <w:p>
            <w:pPr>
              <w:spacing w:line="280" w:lineRule="exact"/>
              <w:rPr>
                <w:rFonts w:hint="eastAsia"/>
              </w:rPr>
            </w:pPr>
            <w:r>
              <w:rPr>
                <w:rFonts w:hint="eastAsia"/>
              </w:rPr>
              <w:t>以上改进措施，目前正在实施中，后续可进一步关注。</w:t>
            </w:r>
          </w:p>
          <w:p>
            <w:pPr>
              <w:pStyle w:val="2"/>
              <w:jc w:val="both"/>
              <w:rPr>
                <w:rFonts w:hint="default" w:eastAsia="宋体"/>
                <w:lang w:val="en-US" w:eastAsia="zh-CN"/>
              </w:rPr>
            </w:pPr>
            <w:r>
              <w:rPr>
                <w:rFonts w:hint="eastAsia" w:ascii="Times New Roman" w:hAnsi="Times New Roman" w:eastAsia="宋体" w:cs="Times New Roman"/>
                <w:spacing w:val="0"/>
                <w:kern w:val="2"/>
                <w:sz w:val="21"/>
                <w:szCs w:val="22"/>
                <w:lang w:val="en-US" w:eastAsia="zh-CN" w:bidi="ar-SA"/>
              </w:rPr>
              <w:t>管理评审结论：EO基本有效、充分和适宜。执行以上改进建议,加大EO改进力度，以确保EO整体绩效的提高。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lang w:eastAsia="zh-CN"/>
              </w:rPr>
              <w:t>EO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lang w:eastAsia="zh-CN"/>
              </w:rPr>
              <w:t>EO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公司内审时发现的3项不符合项进行了原因分析、纠正措施和验证。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lang w:eastAsia="zh-CN"/>
              </w:rPr>
              <w:t>EO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5305A31"/>
    <w:rsid w:val="08D61FD9"/>
    <w:rsid w:val="092B22DB"/>
    <w:rsid w:val="0B41409E"/>
    <w:rsid w:val="12C7719E"/>
    <w:rsid w:val="177875C4"/>
    <w:rsid w:val="189D4A35"/>
    <w:rsid w:val="1FDC67E8"/>
    <w:rsid w:val="29AB033B"/>
    <w:rsid w:val="4874509D"/>
    <w:rsid w:val="4A82507A"/>
    <w:rsid w:val="4FAF442F"/>
    <w:rsid w:val="52797284"/>
    <w:rsid w:val="537875A9"/>
    <w:rsid w:val="553716BC"/>
    <w:rsid w:val="5D0352C4"/>
    <w:rsid w:val="68C465EE"/>
    <w:rsid w:val="6A9E0739"/>
    <w:rsid w:val="751B4ACA"/>
    <w:rsid w:val="76176F79"/>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spacing w:line="400" w:lineRule="atLeast"/>
      <w:jc w:val="center"/>
      <w:outlineLvl w:val="1"/>
    </w:pPr>
    <w:rPr>
      <w:spacing w:val="8"/>
      <w:sz w:val="36"/>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2</TotalTime>
  <ScaleCrop>false</ScaleCrop>
  <LinksUpToDate>false</LinksUpToDate>
  <CharactersWithSpaces>9385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2020-11-07T05:12:42Z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