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浙江远大空分设备有限公司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E：18.02.06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O：18.02.06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E：18.02.06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O：18.02.06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合同签订——产品设计——原材料采购——组装——喷漆——调试——检验——包装——出/入库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特殊过程的控制/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特殊过程：焊接、喷漆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关键过程：调试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水应达到GB8978-1996《污水综合排放标准》，喷漆废气排放（大气污染物综合排放标准二级标准）、噪声排放；喷漆废气应装有废气净化设备；噪声应尽量定期检修，加强润滑，保持设备良好的运转状态，达到GB12348-2008工业企业厂界环境噪声排放标准；固废应与有资质的第三方处理公司签订协议并填写危废处置转移单；一般固废可外卖综合资源化利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车间化学因子危害、焊接烟气、粉尘危险、噪声危害、机械伤害等；措施：喷漆车间装废气净化设备，作业人员配戴防毒面具；车间其他作业人员配戴口罩和耳塞等；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中华人民共和国安全生产法、劳动法、职业病防治法、</w:t>
            </w:r>
            <w:r>
              <w:rPr>
                <w:rFonts w:hint="eastAsia"/>
                <w:b/>
                <w:sz w:val="20"/>
                <w:lang w:val="en-US" w:eastAsia="zh-CN"/>
              </w:rPr>
              <w:t>GB8978-1996《污水综合排放标准》、GB12348-2008《工业企业厂界环境噪声排放标准》、GB16297-1996《大气污染物综合排放标准》、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《</w:t>
            </w:r>
            <w:r>
              <w:rPr>
                <w:rFonts w:hint="eastAsia"/>
                <w:b/>
                <w:sz w:val="20"/>
                <w:lang w:val="en-US" w:eastAsia="zh-CN"/>
              </w:rPr>
              <w:t>用人单位职业病危害告知与警示标识管理规范》、GBZ158-2013《工作场所职业病危害警示标识》、GBZ188-2014《职业健康监护技术规范》、GBZ2.1-2019《工作场所有害因素职业接触限值 第1部分：化学有害因素》、GBZ2.2-2017《工作场所有害因素职业接触限值 第2部分：物理因素》等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王央央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</w:t>
      </w:r>
      <w:r>
        <w:rPr>
          <w:rFonts w:hint="eastAsia"/>
          <w:b/>
          <w:sz w:val="18"/>
          <w:szCs w:val="18"/>
          <w:lang w:val="en-US" w:eastAsia="zh-CN"/>
        </w:rPr>
        <w:t>2020-11-06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2020-11-06</w:t>
      </w:r>
      <w:r>
        <w:rPr>
          <w:rFonts w:hint="eastAsia"/>
          <w:b/>
          <w:sz w:val="18"/>
          <w:szCs w:val="18"/>
        </w:rPr>
        <w:t xml:space="preserve">  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4A41D5"/>
    <w:rsid w:val="77651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spacing w:line="400" w:lineRule="atLeast"/>
      <w:jc w:val="center"/>
      <w:outlineLvl w:val="1"/>
    </w:pPr>
    <w:rPr>
      <w:spacing w:val="8"/>
      <w:sz w:val="36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2020-11-07T08:00:59Z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