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受审核方：郑州日成图书有限公司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2</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ind w:firstLine="522" w:firstLineChars="200"/>
        <w:rPr>
          <w:rFonts w:hint="eastAsia" w:ascii="宋体" w:hAnsi="宋体"/>
          <w:b/>
          <w:color w:val="000000"/>
          <w:sz w:val="26"/>
          <w:szCs w:val="2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183"/>
        <w:gridCol w:w="707"/>
        <w:gridCol w:w="1268"/>
        <w:gridCol w:w="2660"/>
        <w:gridCol w:w="993"/>
        <w:gridCol w:w="850"/>
        <w:gridCol w:w="253"/>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724" w:type="dxa"/>
            <w:gridSpan w:val="2"/>
            <w:vAlign w:val="center"/>
          </w:tcPr>
          <w:p>
            <w:pPr>
              <w:jc w:val="center"/>
              <w:rPr>
                <w:b/>
                <w:sz w:val="21"/>
                <w:szCs w:val="21"/>
              </w:rPr>
            </w:pPr>
            <w:r>
              <w:rPr>
                <w:rFonts w:hint="eastAsia"/>
                <w:b/>
                <w:sz w:val="21"/>
                <w:szCs w:val="21"/>
              </w:rPr>
              <w:t>性别</w:t>
            </w:r>
          </w:p>
        </w:tc>
        <w:tc>
          <w:tcPr>
            <w:tcW w:w="707" w:type="dxa"/>
            <w:vAlign w:val="center"/>
          </w:tcPr>
          <w:p>
            <w:pPr>
              <w:jc w:val="center"/>
              <w:rPr>
                <w:b/>
                <w:sz w:val="21"/>
                <w:szCs w:val="21"/>
              </w:rPr>
            </w:pPr>
            <w:r>
              <w:rPr>
                <w:rFonts w:hint="eastAsia"/>
                <w:b/>
                <w:sz w:val="21"/>
                <w:szCs w:val="21"/>
              </w:rPr>
              <w:t>职务</w:t>
            </w:r>
          </w:p>
        </w:tc>
        <w:tc>
          <w:tcPr>
            <w:tcW w:w="1268" w:type="dxa"/>
            <w:vAlign w:val="center"/>
          </w:tcPr>
          <w:p>
            <w:pPr>
              <w:jc w:val="center"/>
              <w:rPr>
                <w:b/>
                <w:sz w:val="21"/>
                <w:szCs w:val="21"/>
              </w:rPr>
            </w:pPr>
            <w:r>
              <w:rPr>
                <w:rFonts w:hint="eastAsia"/>
                <w:b/>
                <w:sz w:val="21"/>
                <w:szCs w:val="21"/>
              </w:rPr>
              <w:t>注册级别</w:t>
            </w:r>
          </w:p>
        </w:tc>
        <w:tc>
          <w:tcPr>
            <w:tcW w:w="2660" w:type="dxa"/>
            <w:vAlign w:val="center"/>
          </w:tcPr>
          <w:p>
            <w:pPr>
              <w:jc w:val="center"/>
              <w:rPr>
                <w:b/>
                <w:sz w:val="21"/>
                <w:szCs w:val="21"/>
              </w:rPr>
            </w:pPr>
            <w:r>
              <w:rPr>
                <w:rFonts w:hint="eastAsia"/>
                <w:b/>
                <w:sz w:val="21"/>
                <w:szCs w:val="21"/>
              </w:rPr>
              <w:t>审核员注册号</w:t>
            </w:r>
          </w:p>
        </w:tc>
        <w:tc>
          <w:tcPr>
            <w:tcW w:w="2096" w:type="dxa"/>
            <w:gridSpan w:val="3"/>
            <w:vAlign w:val="center"/>
          </w:tcPr>
          <w:p>
            <w:pPr>
              <w:jc w:val="center"/>
              <w:rPr>
                <w:b/>
                <w:sz w:val="21"/>
                <w:szCs w:val="21"/>
              </w:rPr>
            </w:pPr>
            <w:r>
              <w:rPr>
                <w:rFonts w:hint="eastAsia"/>
                <w:b/>
                <w:sz w:val="21"/>
                <w:szCs w:val="21"/>
              </w:rPr>
              <w:t>专业代码</w:t>
            </w:r>
          </w:p>
        </w:tc>
        <w:tc>
          <w:tcPr>
            <w:tcW w:w="1361"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724" w:type="dxa"/>
            <w:gridSpan w:val="2"/>
            <w:vAlign w:val="center"/>
          </w:tcPr>
          <w:p>
            <w:pPr>
              <w:jc w:val="center"/>
              <w:rPr>
                <w:b/>
                <w:sz w:val="21"/>
                <w:szCs w:val="21"/>
              </w:rPr>
            </w:pPr>
            <w:r>
              <w:rPr>
                <w:b/>
                <w:sz w:val="21"/>
                <w:szCs w:val="21"/>
              </w:rPr>
              <w:t>女</w:t>
            </w:r>
          </w:p>
        </w:tc>
        <w:tc>
          <w:tcPr>
            <w:tcW w:w="707" w:type="dxa"/>
            <w:vAlign w:val="center"/>
          </w:tcPr>
          <w:p>
            <w:pPr>
              <w:jc w:val="center"/>
              <w:rPr>
                <w:b/>
                <w:sz w:val="21"/>
                <w:szCs w:val="21"/>
              </w:rPr>
            </w:pPr>
            <w:r>
              <w:rPr>
                <w:b/>
                <w:sz w:val="21"/>
                <w:szCs w:val="21"/>
              </w:rPr>
              <w:t>组长</w:t>
            </w:r>
          </w:p>
        </w:tc>
        <w:tc>
          <w:tcPr>
            <w:tcW w:w="1268"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2660" w:type="dxa"/>
            <w:vAlign w:val="center"/>
          </w:tcPr>
          <w:p>
            <w:pPr>
              <w:jc w:val="center"/>
              <w:rPr>
                <w:b/>
                <w:sz w:val="21"/>
                <w:szCs w:val="21"/>
              </w:rPr>
            </w:pPr>
            <w:r>
              <w:rPr>
                <w:b/>
                <w:sz w:val="21"/>
                <w:szCs w:val="21"/>
              </w:rPr>
              <w:t>2018-N1QMS-1222792</w:t>
            </w:r>
          </w:p>
          <w:p>
            <w:pPr>
              <w:jc w:val="center"/>
              <w:rPr>
                <w:b/>
                <w:sz w:val="21"/>
                <w:szCs w:val="21"/>
              </w:rPr>
            </w:pPr>
            <w:r>
              <w:rPr>
                <w:b/>
                <w:sz w:val="21"/>
                <w:szCs w:val="21"/>
              </w:rPr>
              <w:t>2018-N1EMS-1222792</w:t>
            </w:r>
          </w:p>
          <w:p>
            <w:pPr>
              <w:jc w:val="center"/>
              <w:rPr>
                <w:b/>
                <w:sz w:val="21"/>
                <w:szCs w:val="21"/>
              </w:rPr>
            </w:pPr>
            <w:r>
              <w:rPr>
                <w:b/>
                <w:sz w:val="21"/>
                <w:szCs w:val="21"/>
              </w:rPr>
              <w:t>2018-N1OHSMS-1222792</w:t>
            </w:r>
          </w:p>
        </w:tc>
        <w:tc>
          <w:tcPr>
            <w:tcW w:w="2096" w:type="dxa"/>
            <w:gridSpan w:val="3"/>
            <w:vAlign w:val="center"/>
          </w:tcPr>
          <w:p>
            <w:pPr>
              <w:jc w:val="center"/>
              <w:rPr>
                <w:b/>
                <w:sz w:val="21"/>
                <w:szCs w:val="21"/>
              </w:rPr>
            </w:pPr>
            <w:r>
              <w:rPr>
                <w:b/>
                <w:sz w:val="21"/>
                <w:szCs w:val="21"/>
              </w:rPr>
              <w:t>Q:29.08.09,29.18.01</w:t>
            </w:r>
          </w:p>
          <w:p>
            <w:pPr>
              <w:jc w:val="center"/>
              <w:rPr>
                <w:b/>
                <w:sz w:val="21"/>
                <w:szCs w:val="21"/>
              </w:rPr>
            </w:pPr>
            <w:r>
              <w:rPr>
                <w:b/>
                <w:sz w:val="21"/>
                <w:szCs w:val="21"/>
              </w:rPr>
              <w:t>E:29.08.09,29.18.01</w:t>
            </w:r>
          </w:p>
          <w:p>
            <w:pPr>
              <w:jc w:val="center"/>
              <w:rPr>
                <w:b/>
                <w:sz w:val="21"/>
                <w:szCs w:val="21"/>
              </w:rPr>
            </w:pPr>
            <w:r>
              <w:rPr>
                <w:b/>
                <w:sz w:val="21"/>
                <w:szCs w:val="21"/>
              </w:rPr>
              <w:t>O:29.08.09,29.18.01</w:t>
            </w:r>
          </w:p>
        </w:tc>
        <w:tc>
          <w:tcPr>
            <w:tcW w:w="1361" w:type="dxa"/>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724" w:type="dxa"/>
            <w:gridSpan w:val="2"/>
          </w:tcPr>
          <w:p>
            <w:pPr>
              <w:rPr>
                <w:b/>
                <w:sz w:val="21"/>
                <w:szCs w:val="21"/>
              </w:rPr>
            </w:pPr>
          </w:p>
        </w:tc>
        <w:tc>
          <w:tcPr>
            <w:tcW w:w="707" w:type="dxa"/>
          </w:tcPr>
          <w:p>
            <w:pPr>
              <w:rPr>
                <w:b/>
                <w:sz w:val="21"/>
                <w:szCs w:val="21"/>
              </w:rPr>
            </w:pPr>
          </w:p>
        </w:tc>
        <w:tc>
          <w:tcPr>
            <w:tcW w:w="1268" w:type="dxa"/>
          </w:tcPr>
          <w:p>
            <w:pPr>
              <w:rPr>
                <w:b/>
                <w:sz w:val="21"/>
                <w:szCs w:val="21"/>
              </w:rPr>
            </w:pPr>
          </w:p>
        </w:tc>
        <w:tc>
          <w:tcPr>
            <w:tcW w:w="2660" w:type="dxa"/>
          </w:tcPr>
          <w:p>
            <w:pPr>
              <w:rPr>
                <w:b/>
                <w:sz w:val="21"/>
                <w:szCs w:val="21"/>
              </w:rPr>
            </w:pPr>
          </w:p>
        </w:tc>
        <w:tc>
          <w:tcPr>
            <w:tcW w:w="2096" w:type="dxa"/>
            <w:gridSpan w:val="3"/>
          </w:tcPr>
          <w:p>
            <w:pPr>
              <w:rPr>
                <w:b/>
                <w:sz w:val="21"/>
                <w:szCs w:val="21"/>
              </w:rPr>
            </w:pPr>
          </w:p>
        </w:tc>
        <w:tc>
          <w:tcPr>
            <w:tcW w:w="1361"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724" w:type="dxa"/>
            <w:gridSpan w:val="2"/>
          </w:tcPr>
          <w:p>
            <w:pPr>
              <w:rPr>
                <w:b/>
                <w:sz w:val="21"/>
                <w:szCs w:val="21"/>
              </w:rPr>
            </w:pPr>
          </w:p>
        </w:tc>
        <w:tc>
          <w:tcPr>
            <w:tcW w:w="707" w:type="dxa"/>
          </w:tcPr>
          <w:p>
            <w:pPr>
              <w:rPr>
                <w:b/>
                <w:sz w:val="21"/>
                <w:szCs w:val="21"/>
              </w:rPr>
            </w:pPr>
          </w:p>
        </w:tc>
        <w:tc>
          <w:tcPr>
            <w:tcW w:w="1268" w:type="dxa"/>
          </w:tcPr>
          <w:p>
            <w:pPr>
              <w:rPr>
                <w:b/>
                <w:sz w:val="21"/>
                <w:szCs w:val="21"/>
              </w:rPr>
            </w:pPr>
          </w:p>
        </w:tc>
        <w:tc>
          <w:tcPr>
            <w:tcW w:w="2660" w:type="dxa"/>
          </w:tcPr>
          <w:p>
            <w:pPr>
              <w:rPr>
                <w:b/>
                <w:sz w:val="21"/>
                <w:szCs w:val="21"/>
              </w:rPr>
            </w:pPr>
          </w:p>
        </w:tc>
        <w:tc>
          <w:tcPr>
            <w:tcW w:w="2096" w:type="dxa"/>
            <w:gridSpan w:val="3"/>
          </w:tcPr>
          <w:p>
            <w:pPr>
              <w:rPr>
                <w:b/>
                <w:sz w:val="21"/>
                <w:szCs w:val="21"/>
              </w:rPr>
            </w:pPr>
          </w:p>
        </w:tc>
        <w:tc>
          <w:tcPr>
            <w:tcW w:w="1361"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724" w:type="dxa"/>
            <w:gridSpan w:val="2"/>
          </w:tcPr>
          <w:p>
            <w:pPr>
              <w:rPr>
                <w:b/>
                <w:sz w:val="21"/>
                <w:szCs w:val="21"/>
              </w:rPr>
            </w:pPr>
          </w:p>
        </w:tc>
        <w:tc>
          <w:tcPr>
            <w:tcW w:w="707" w:type="dxa"/>
          </w:tcPr>
          <w:p>
            <w:pPr>
              <w:rPr>
                <w:b/>
                <w:sz w:val="21"/>
                <w:szCs w:val="21"/>
              </w:rPr>
            </w:pPr>
          </w:p>
        </w:tc>
        <w:tc>
          <w:tcPr>
            <w:tcW w:w="1268" w:type="dxa"/>
          </w:tcPr>
          <w:p>
            <w:pPr>
              <w:rPr>
                <w:b/>
                <w:sz w:val="21"/>
                <w:szCs w:val="21"/>
              </w:rPr>
            </w:pPr>
          </w:p>
        </w:tc>
        <w:tc>
          <w:tcPr>
            <w:tcW w:w="2660" w:type="dxa"/>
          </w:tcPr>
          <w:p>
            <w:pPr>
              <w:rPr>
                <w:b/>
                <w:sz w:val="21"/>
                <w:szCs w:val="21"/>
              </w:rPr>
            </w:pPr>
          </w:p>
        </w:tc>
        <w:tc>
          <w:tcPr>
            <w:tcW w:w="2096" w:type="dxa"/>
            <w:gridSpan w:val="3"/>
          </w:tcPr>
          <w:p>
            <w:pPr>
              <w:rPr>
                <w:b/>
                <w:sz w:val="21"/>
                <w:szCs w:val="21"/>
              </w:rPr>
            </w:pPr>
          </w:p>
        </w:tc>
        <w:tc>
          <w:tcPr>
            <w:tcW w:w="1361"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724" w:type="dxa"/>
            <w:gridSpan w:val="2"/>
            <w:vAlign w:val="center"/>
          </w:tcPr>
          <w:p>
            <w:pPr>
              <w:jc w:val="center"/>
              <w:rPr>
                <w:b/>
                <w:sz w:val="21"/>
                <w:szCs w:val="21"/>
              </w:rPr>
            </w:pPr>
            <w:r>
              <w:rPr>
                <w:rFonts w:hint="eastAsia"/>
                <w:b/>
                <w:sz w:val="21"/>
                <w:szCs w:val="21"/>
              </w:rPr>
              <w:t>性别</w:t>
            </w:r>
          </w:p>
        </w:tc>
        <w:tc>
          <w:tcPr>
            <w:tcW w:w="707" w:type="dxa"/>
            <w:vAlign w:val="center"/>
          </w:tcPr>
          <w:p>
            <w:pPr>
              <w:jc w:val="center"/>
              <w:rPr>
                <w:b/>
                <w:sz w:val="21"/>
                <w:szCs w:val="21"/>
              </w:rPr>
            </w:pPr>
            <w:r>
              <w:rPr>
                <w:rFonts w:hint="eastAsia"/>
                <w:b/>
                <w:sz w:val="21"/>
                <w:szCs w:val="21"/>
              </w:rPr>
              <w:t>角色</w:t>
            </w:r>
          </w:p>
        </w:tc>
        <w:tc>
          <w:tcPr>
            <w:tcW w:w="7385"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724" w:type="dxa"/>
            <w:gridSpan w:val="2"/>
            <w:vAlign w:val="center"/>
          </w:tcPr>
          <w:p>
            <w:pPr>
              <w:jc w:val="center"/>
              <w:rPr>
                <w:b/>
                <w:sz w:val="21"/>
                <w:szCs w:val="21"/>
              </w:rPr>
            </w:pPr>
          </w:p>
        </w:tc>
        <w:tc>
          <w:tcPr>
            <w:tcW w:w="707" w:type="dxa"/>
            <w:vAlign w:val="center"/>
          </w:tcPr>
          <w:p>
            <w:pPr>
              <w:jc w:val="center"/>
              <w:rPr>
                <w:b/>
                <w:sz w:val="21"/>
                <w:szCs w:val="21"/>
              </w:rPr>
            </w:pPr>
          </w:p>
        </w:tc>
        <w:tc>
          <w:tcPr>
            <w:tcW w:w="7385"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724" w:type="dxa"/>
            <w:gridSpan w:val="2"/>
            <w:vAlign w:val="center"/>
          </w:tcPr>
          <w:p>
            <w:pPr>
              <w:jc w:val="center"/>
              <w:rPr>
                <w:b/>
              </w:rPr>
            </w:pPr>
          </w:p>
        </w:tc>
        <w:tc>
          <w:tcPr>
            <w:tcW w:w="707" w:type="dxa"/>
            <w:vAlign w:val="center"/>
          </w:tcPr>
          <w:p>
            <w:pPr>
              <w:jc w:val="center"/>
              <w:rPr>
                <w:b/>
              </w:rPr>
            </w:pPr>
          </w:p>
        </w:tc>
        <w:tc>
          <w:tcPr>
            <w:tcW w:w="7385"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724" w:type="dxa"/>
            <w:gridSpan w:val="2"/>
            <w:vAlign w:val="center"/>
          </w:tcPr>
          <w:p>
            <w:pPr>
              <w:jc w:val="center"/>
              <w:rPr>
                <w:b/>
              </w:rPr>
            </w:pPr>
          </w:p>
        </w:tc>
        <w:tc>
          <w:tcPr>
            <w:tcW w:w="707" w:type="dxa"/>
            <w:vAlign w:val="center"/>
          </w:tcPr>
          <w:p>
            <w:pPr>
              <w:jc w:val="center"/>
              <w:rPr>
                <w:b/>
              </w:rPr>
            </w:pPr>
          </w:p>
        </w:tc>
        <w:tc>
          <w:tcPr>
            <w:tcW w:w="7385"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2389"/>
        <w:gridCol w:w="939"/>
        <w:gridCol w:w="1079"/>
        <w:gridCol w:w="9"/>
        <w:gridCol w:w="1449"/>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9" w:name="组织名称Add"/>
            <w:r>
              <w:rPr>
                <w:rFonts w:ascii="宋体"/>
                <w:b/>
                <w:sz w:val="21"/>
                <w:szCs w:val="22"/>
              </w:rPr>
              <w:t>郑州日成图书有限公司</w:t>
            </w:r>
            <w:bookmarkEnd w:id="9"/>
          </w:p>
        </w:tc>
        <w:tc>
          <w:tcPr>
            <w:tcW w:w="1449"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723" w:type="dxa"/>
          </w:tcPr>
          <w:p>
            <w:pPr>
              <w:spacing w:line="260" w:lineRule="exact"/>
              <w:ind w:firstLine="211" w:firstLineChars="100"/>
              <w:rPr>
                <w:rFonts w:ascii="宋体"/>
                <w:b/>
                <w:sz w:val="21"/>
              </w:rPr>
            </w:pPr>
            <w:r>
              <w:rPr>
                <w:rFonts w:hint="eastAsia" w:ascii="宋体"/>
                <w:b/>
                <w:sz w:val="21"/>
                <w:szCs w:val="22"/>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0" w:name="注册地址"/>
            <w:r>
              <w:rPr>
                <w:rFonts w:ascii="宋体"/>
                <w:b/>
                <w:sz w:val="21"/>
              </w:rPr>
              <w:t>郑州市中原区嵩山南路150号</w:t>
            </w:r>
            <w:bookmarkEnd w:id="10"/>
          </w:p>
        </w:tc>
        <w:tc>
          <w:tcPr>
            <w:tcW w:w="1449" w:type="dxa"/>
            <w:vMerge w:val="restart"/>
            <w:vAlign w:val="center"/>
          </w:tcPr>
          <w:p>
            <w:pPr>
              <w:jc w:val="center"/>
              <w:rPr>
                <w:rFonts w:ascii="宋体"/>
                <w:b/>
                <w:sz w:val="21"/>
              </w:rPr>
            </w:pPr>
            <w:r>
              <w:rPr>
                <w:rFonts w:hint="eastAsia" w:ascii="宋体" w:hAnsi="宋体"/>
                <w:b/>
                <w:sz w:val="21"/>
              </w:rPr>
              <w:t>邮编</w:t>
            </w:r>
          </w:p>
        </w:tc>
        <w:tc>
          <w:tcPr>
            <w:tcW w:w="1723" w:type="dxa"/>
          </w:tcPr>
          <w:p>
            <w:pPr>
              <w:rPr>
                <w:rFonts w:ascii="宋体"/>
                <w:b/>
                <w:sz w:val="21"/>
              </w:rPr>
            </w:pPr>
            <w:bookmarkStart w:id="11" w:name="注册邮编"/>
            <w:r>
              <w:rPr>
                <w:rFonts w:ascii="宋体"/>
                <w:b/>
                <w:sz w:val="21"/>
              </w:rPr>
              <w:t>450052</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2" w:name="办公地址"/>
            <w:r>
              <w:rPr>
                <w:rFonts w:ascii="宋体"/>
                <w:b/>
                <w:sz w:val="21"/>
              </w:rPr>
              <w:t>郑州市中原区嵩山南路150号</w:t>
            </w:r>
            <w:bookmarkEnd w:id="12"/>
          </w:p>
        </w:tc>
        <w:tc>
          <w:tcPr>
            <w:tcW w:w="1449" w:type="dxa"/>
            <w:vMerge w:val="continue"/>
            <w:vAlign w:val="center"/>
          </w:tcPr>
          <w:p>
            <w:pPr>
              <w:jc w:val="center"/>
              <w:rPr>
                <w:rFonts w:ascii="宋体"/>
                <w:b/>
                <w:sz w:val="21"/>
              </w:rPr>
            </w:pPr>
          </w:p>
        </w:tc>
        <w:tc>
          <w:tcPr>
            <w:tcW w:w="1723" w:type="dxa"/>
          </w:tcPr>
          <w:p>
            <w:pPr>
              <w:rPr>
                <w:rFonts w:ascii="宋体"/>
                <w:b/>
                <w:sz w:val="21"/>
              </w:rPr>
            </w:pPr>
            <w:bookmarkStart w:id="13" w:name="办公邮编"/>
            <w:r>
              <w:rPr>
                <w:rFonts w:ascii="宋体"/>
                <w:b/>
                <w:sz w:val="21"/>
              </w:rPr>
              <w:t>450052</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4" w:name="生产地址Add"/>
            <w:r>
              <w:rPr>
                <w:rFonts w:ascii="宋体"/>
                <w:b/>
                <w:sz w:val="21"/>
              </w:rPr>
              <w:t>河南省郑州市中原区嵩山南路150号</w:t>
            </w:r>
            <w:bookmarkEnd w:id="14"/>
          </w:p>
        </w:tc>
        <w:tc>
          <w:tcPr>
            <w:tcW w:w="1449" w:type="dxa"/>
            <w:vMerge w:val="continue"/>
            <w:vAlign w:val="center"/>
          </w:tcPr>
          <w:p>
            <w:pPr>
              <w:jc w:val="center"/>
              <w:rPr>
                <w:rFonts w:ascii="宋体"/>
                <w:b/>
                <w:sz w:val="21"/>
              </w:rPr>
            </w:pPr>
          </w:p>
        </w:tc>
        <w:tc>
          <w:tcPr>
            <w:tcW w:w="1723" w:type="dxa"/>
          </w:tcPr>
          <w:p>
            <w:pPr>
              <w:rPr>
                <w:rFonts w:ascii="宋体"/>
                <w:b/>
                <w:sz w:val="21"/>
              </w:rPr>
            </w:pPr>
            <w:bookmarkStart w:id="15" w:name="生产邮编"/>
            <w:r>
              <w:rPr>
                <w:rFonts w:ascii="宋体"/>
                <w:b/>
                <w:sz w:val="21"/>
              </w:rPr>
              <w:t>450052</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2389" w:type="dxa"/>
          </w:tcPr>
          <w:p>
            <w:pPr>
              <w:rPr>
                <w:rFonts w:ascii="宋体"/>
                <w:b/>
                <w:sz w:val="21"/>
              </w:rPr>
            </w:pPr>
            <w:bookmarkStart w:id="16" w:name="联系人"/>
            <w:bookmarkEnd w:id="16"/>
          </w:p>
        </w:tc>
        <w:tc>
          <w:tcPr>
            <w:tcW w:w="939" w:type="dxa"/>
            <w:vAlign w:val="center"/>
          </w:tcPr>
          <w:p>
            <w:pPr>
              <w:jc w:val="center"/>
              <w:rPr>
                <w:rFonts w:ascii="宋体"/>
                <w:b/>
                <w:sz w:val="21"/>
              </w:rPr>
            </w:pPr>
            <w:r>
              <w:rPr>
                <w:rFonts w:hint="eastAsia" w:ascii="宋体" w:hAnsi="宋体"/>
                <w:b/>
                <w:sz w:val="21"/>
              </w:rPr>
              <w:t>电话</w:t>
            </w:r>
            <w:r>
              <w:rPr>
                <w:b/>
                <w:sz w:val="16"/>
                <w:szCs w:val="16"/>
              </w:rPr>
              <w:t>.</w:t>
            </w:r>
          </w:p>
        </w:tc>
        <w:tc>
          <w:tcPr>
            <w:tcW w:w="1088" w:type="dxa"/>
            <w:gridSpan w:val="2"/>
            <w:vAlign w:val="center"/>
          </w:tcPr>
          <w:p>
            <w:pPr>
              <w:jc w:val="center"/>
              <w:rPr>
                <w:rFonts w:ascii="宋体"/>
                <w:b/>
                <w:sz w:val="21"/>
              </w:rPr>
            </w:pPr>
            <w:bookmarkStart w:id="17" w:name="联系人电话Add"/>
            <w:bookmarkEnd w:id="17"/>
          </w:p>
        </w:tc>
        <w:tc>
          <w:tcPr>
            <w:tcW w:w="1449" w:type="dxa"/>
            <w:vAlign w:val="center"/>
          </w:tcPr>
          <w:p>
            <w:pPr>
              <w:jc w:val="center"/>
              <w:rPr>
                <w:rFonts w:ascii="宋体"/>
                <w:b/>
                <w:sz w:val="21"/>
              </w:rPr>
            </w:pPr>
            <w:r>
              <w:rPr>
                <w:rFonts w:hint="eastAsia" w:ascii="宋体" w:hAnsi="宋体"/>
                <w:b/>
                <w:sz w:val="21"/>
              </w:rPr>
              <w:t>传真</w:t>
            </w:r>
          </w:p>
        </w:tc>
        <w:tc>
          <w:tcPr>
            <w:tcW w:w="1723" w:type="dxa"/>
          </w:tcPr>
          <w:p>
            <w:pPr>
              <w:rPr>
                <w:rFonts w:ascii="宋体"/>
                <w:b/>
                <w:sz w:val="21"/>
              </w:rPr>
            </w:pPr>
            <w:bookmarkStart w:id="18" w:name="联系人传真"/>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2389" w:type="dxa"/>
          </w:tcPr>
          <w:p>
            <w:pPr>
              <w:rPr>
                <w:rFonts w:ascii="宋体" w:hAnsi="宋体"/>
                <w:b/>
                <w:sz w:val="21"/>
                <w:szCs w:val="21"/>
              </w:rPr>
            </w:pPr>
            <w:bookmarkStart w:id="19" w:name="法人"/>
            <w:r>
              <w:rPr>
                <w:rFonts w:ascii="宋体" w:hAnsi="宋体"/>
                <w:b/>
                <w:sz w:val="21"/>
                <w:szCs w:val="21"/>
              </w:rPr>
              <w:t>梁艳丽</w:t>
            </w:r>
            <w:bookmarkEnd w:id="19"/>
          </w:p>
        </w:tc>
        <w:tc>
          <w:tcPr>
            <w:tcW w:w="939" w:type="dxa"/>
            <w:vAlign w:val="center"/>
          </w:tcPr>
          <w:p>
            <w:pPr>
              <w:jc w:val="center"/>
              <w:rPr>
                <w:rFonts w:ascii="宋体" w:hAnsi="宋体"/>
                <w:b/>
                <w:sz w:val="21"/>
                <w:szCs w:val="21"/>
              </w:rPr>
            </w:pPr>
            <w:r>
              <w:rPr>
                <w:rFonts w:hint="eastAsia" w:ascii="宋体" w:hAnsi="宋体"/>
                <w:b/>
                <w:sz w:val="21"/>
                <w:szCs w:val="21"/>
              </w:rPr>
              <w:t>总经理</w:t>
            </w:r>
          </w:p>
        </w:tc>
        <w:tc>
          <w:tcPr>
            <w:tcW w:w="1088" w:type="dxa"/>
            <w:gridSpan w:val="2"/>
          </w:tcPr>
          <w:p>
            <w:pPr>
              <w:rPr>
                <w:rFonts w:ascii="宋体" w:hAnsi="宋体"/>
                <w:b/>
                <w:sz w:val="21"/>
                <w:szCs w:val="21"/>
              </w:rPr>
            </w:pPr>
          </w:p>
        </w:tc>
        <w:tc>
          <w:tcPr>
            <w:tcW w:w="1449" w:type="dxa"/>
            <w:vAlign w:val="center"/>
          </w:tcPr>
          <w:p>
            <w:pPr>
              <w:jc w:val="center"/>
              <w:rPr>
                <w:rFonts w:ascii="宋体" w:hAnsi="宋体"/>
                <w:b/>
                <w:sz w:val="21"/>
                <w:szCs w:val="21"/>
              </w:rPr>
            </w:pPr>
            <w:r>
              <w:rPr>
                <w:rFonts w:hint="eastAsia" w:ascii="宋体" w:hAnsi="宋体"/>
                <w:b/>
                <w:sz w:val="21"/>
                <w:szCs w:val="21"/>
              </w:rPr>
              <w:t>管理者代表</w:t>
            </w:r>
          </w:p>
        </w:tc>
        <w:tc>
          <w:tcPr>
            <w:tcW w:w="1723" w:type="dxa"/>
          </w:tcPr>
          <w:p>
            <w:pPr>
              <w:rPr>
                <w:rFonts w:ascii="宋体"/>
                <w:b/>
                <w:sz w:val="21"/>
              </w:rPr>
            </w:pPr>
            <w:bookmarkStart w:id="20" w:name="管理者代表"/>
            <w:r>
              <w:rPr>
                <w:rFonts w:ascii="宋体"/>
                <w:b/>
                <w:sz w:val="21"/>
              </w:rPr>
              <w:t>梁艳丽</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3328" w:type="dxa"/>
            <w:gridSpan w:val="2"/>
            <w:vAlign w:val="center"/>
          </w:tcPr>
          <w:p>
            <w:pPr>
              <w:rPr>
                <w:rFonts w:ascii="宋体" w:hAnsi="宋体"/>
                <w:b/>
                <w:sz w:val="21"/>
                <w:szCs w:val="21"/>
              </w:rPr>
            </w:pPr>
            <w:bookmarkStart w:id="21" w:name="审核日期"/>
            <w:r>
              <w:rPr>
                <w:rFonts w:ascii="宋体" w:hAnsi="宋体"/>
                <w:b/>
                <w:sz w:val="21"/>
                <w:szCs w:val="21"/>
              </w:rPr>
              <w:t>2020年10月24日 上午至2020年10月25日 下午</w:t>
            </w:r>
            <w:bookmarkEnd w:id="21"/>
          </w:p>
        </w:tc>
        <w:tc>
          <w:tcPr>
            <w:tcW w:w="107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jc w:val="left"/>
              <w:rPr>
                <w:rFonts w:ascii="宋体" w:hAnsi="宋体"/>
                <w:b/>
                <w:sz w:val="21"/>
                <w:szCs w:val="21"/>
              </w:rPr>
            </w:pPr>
            <w:bookmarkStart w:id="22" w:name="Q勾选15Add1"/>
            <w:r>
              <w:rPr>
                <w:rFonts w:hint="eastAsia" w:ascii="宋体" w:hAnsi="宋体"/>
                <w:b/>
                <w:sz w:val="21"/>
                <w:szCs w:val="21"/>
              </w:rPr>
              <w:t>■</w:t>
            </w:r>
            <w:bookmarkEnd w:id="22"/>
            <w:r>
              <w:rPr>
                <w:rFonts w:ascii="宋体" w:hAnsi="宋体"/>
                <w:b/>
                <w:sz w:val="21"/>
                <w:szCs w:val="21"/>
              </w:rPr>
              <w:t>QMS</w:t>
            </w:r>
            <w:r>
              <w:rPr>
                <w:rFonts w:hint="eastAsia" w:ascii="宋体" w:hAnsi="宋体"/>
                <w:b/>
                <w:sz w:val="21"/>
                <w:szCs w:val="21"/>
              </w:rPr>
              <w:t>：国内出版物批发、零售。</w:t>
            </w:r>
          </w:p>
          <w:p>
            <w:pPr>
              <w:jc w:val="left"/>
              <w:rPr>
                <w:rFonts w:ascii="宋体" w:hAnsi="宋体"/>
                <w:b/>
                <w:sz w:val="21"/>
                <w:szCs w:val="21"/>
              </w:rPr>
            </w:pPr>
            <w:bookmarkStart w:id="23" w:name="E勾选Add1"/>
            <w:r>
              <w:rPr>
                <w:rFonts w:hint="eastAsia" w:ascii="宋体" w:hAnsi="宋体"/>
                <w:b/>
                <w:sz w:val="21"/>
                <w:szCs w:val="21"/>
              </w:rPr>
              <w:t>■</w:t>
            </w:r>
            <w:bookmarkEnd w:id="23"/>
            <w:r>
              <w:rPr>
                <w:rFonts w:ascii="宋体" w:hAnsi="宋体"/>
                <w:b/>
                <w:sz w:val="21"/>
                <w:szCs w:val="21"/>
              </w:rPr>
              <w:t>EMS</w:t>
            </w:r>
            <w:r>
              <w:rPr>
                <w:rFonts w:hint="eastAsia" w:ascii="宋体" w:hAnsi="宋体"/>
                <w:b/>
                <w:sz w:val="21"/>
                <w:szCs w:val="21"/>
              </w:rPr>
              <w:t>：国内出版物批发、零售所涉及的相关环境管理活动。</w:t>
            </w:r>
          </w:p>
          <w:p>
            <w:pPr>
              <w:numPr>
                <w:ilvl w:val="0"/>
                <w:numId w:val="0"/>
              </w:numPr>
              <w:spacing w:line="360" w:lineRule="exact"/>
              <w:ind w:leftChars="0"/>
              <w:rPr>
                <w:rFonts w:ascii="宋体" w:hAnsi="宋体"/>
                <w:b/>
                <w:sz w:val="21"/>
                <w:szCs w:val="21"/>
              </w:rPr>
            </w:pPr>
            <w:bookmarkStart w:id="24" w:name="S勾选Add2"/>
            <w:r>
              <w:rPr>
                <w:rFonts w:hint="eastAsia" w:ascii="宋体" w:hAnsi="宋体"/>
                <w:b/>
                <w:sz w:val="21"/>
                <w:szCs w:val="21"/>
              </w:rPr>
              <w:t>■</w:t>
            </w:r>
            <w:bookmarkEnd w:id="24"/>
            <w:r>
              <w:rPr>
                <w:rFonts w:ascii="宋体" w:hAnsi="宋体"/>
                <w:b/>
                <w:sz w:val="21"/>
                <w:szCs w:val="21"/>
              </w:rPr>
              <w:t>OHSMS</w:t>
            </w:r>
            <w:r>
              <w:rPr>
                <w:rFonts w:hint="eastAsia" w:ascii="宋体" w:hAnsi="宋体"/>
                <w:b/>
                <w:sz w:val="21"/>
                <w:szCs w:val="21"/>
              </w:rPr>
              <w:t>：</w:t>
            </w:r>
            <w:bookmarkStart w:id="25" w:name="审核范围"/>
            <w:r>
              <w:rPr>
                <w:rFonts w:hint="eastAsia" w:ascii="宋体" w:hAnsi="宋体"/>
                <w:b/>
                <w:sz w:val="21"/>
                <w:szCs w:val="21"/>
              </w:rPr>
              <w:t>国内出版物批发、零售所涉及的相关职业健康安全管理活动。</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2389" w:type="dxa"/>
          </w:tcPr>
          <w:p>
            <w:pPr>
              <w:spacing w:line="260" w:lineRule="exact"/>
              <w:rPr>
                <w:rFonts w:ascii="宋体" w:hAnsi="宋体"/>
                <w:b/>
                <w:sz w:val="21"/>
                <w:szCs w:val="21"/>
              </w:rPr>
            </w:pPr>
            <w:bookmarkStart w:id="26" w:name="专业代码"/>
            <w:r>
              <w:rPr>
                <w:rFonts w:ascii="宋体" w:hAnsi="宋体"/>
                <w:b/>
                <w:sz w:val="21"/>
                <w:szCs w:val="21"/>
              </w:rPr>
              <w:t>Q：29.08.09;29.18.01</w:t>
            </w:r>
          </w:p>
          <w:p>
            <w:pPr>
              <w:spacing w:line="260" w:lineRule="exact"/>
              <w:rPr>
                <w:rFonts w:ascii="宋体" w:hAnsi="宋体"/>
                <w:b/>
                <w:sz w:val="21"/>
                <w:szCs w:val="21"/>
              </w:rPr>
            </w:pPr>
            <w:r>
              <w:rPr>
                <w:rFonts w:ascii="宋体" w:hAnsi="宋体"/>
                <w:b/>
                <w:sz w:val="21"/>
                <w:szCs w:val="21"/>
              </w:rPr>
              <w:t>E：29.08.09;29.18.01</w:t>
            </w:r>
          </w:p>
          <w:p>
            <w:pPr>
              <w:spacing w:line="260" w:lineRule="exact"/>
              <w:rPr>
                <w:rFonts w:ascii="宋体" w:hAnsi="宋体"/>
                <w:b/>
                <w:sz w:val="21"/>
                <w:szCs w:val="21"/>
              </w:rPr>
            </w:pPr>
            <w:r>
              <w:rPr>
                <w:rFonts w:ascii="宋体" w:hAnsi="宋体"/>
                <w:b/>
                <w:sz w:val="21"/>
                <w:szCs w:val="21"/>
              </w:rPr>
              <w:t>O：29.08.09;29.18.01</w:t>
            </w:r>
            <w:bookmarkEnd w:id="26"/>
          </w:p>
        </w:tc>
        <w:tc>
          <w:tcPr>
            <w:tcW w:w="93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088" w:type="dxa"/>
            <w:gridSpan w:val="2"/>
          </w:tcPr>
          <w:p>
            <w:pPr>
              <w:spacing w:line="260" w:lineRule="exact"/>
              <w:rPr>
                <w:rFonts w:ascii="宋体" w:hAnsi="宋体"/>
                <w:b/>
                <w:sz w:val="21"/>
                <w:szCs w:val="21"/>
              </w:rPr>
            </w:pPr>
            <w:bookmarkStart w:id="27" w:name="证书有效期"/>
            <w:r>
              <w:rPr>
                <w:rFonts w:ascii="宋体" w:hAnsi="宋体"/>
                <w:b/>
                <w:sz w:val="21"/>
                <w:szCs w:val="21"/>
              </w:rPr>
              <w:t>Q:,E:,O:</w:t>
            </w:r>
            <w:bookmarkEnd w:id="27"/>
          </w:p>
          <w:p>
            <w:pPr>
              <w:spacing w:line="260" w:lineRule="exact"/>
              <w:rPr>
                <w:rFonts w:ascii="宋体" w:hAnsi="宋体"/>
                <w:b/>
                <w:sz w:val="21"/>
                <w:szCs w:val="21"/>
              </w:rPr>
            </w:pPr>
            <w:r>
              <w:rPr>
                <w:rFonts w:hint="eastAsia" w:ascii="宋体" w:hAnsi="宋体"/>
                <w:b/>
                <w:sz w:val="21"/>
                <w:szCs w:val="21"/>
              </w:rPr>
              <w:t>2021年11月</w:t>
            </w:r>
          </w:p>
        </w:tc>
        <w:tc>
          <w:tcPr>
            <w:tcW w:w="1449"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723" w:type="dxa"/>
          </w:tcPr>
          <w:p>
            <w:pPr>
              <w:spacing w:line="260" w:lineRule="exact"/>
              <w:rPr>
                <w:rFonts w:hint="default" w:ascii="宋体" w:eastAsia="宋体"/>
                <w:b/>
                <w:sz w:val="21"/>
                <w:lang w:val="en-US" w:eastAsia="zh-CN"/>
              </w:rPr>
            </w:pPr>
            <w:r>
              <w:rPr>
                <w:rFonts w:hint="eastAsia" w:ascii="宋体"/>
                <w:b/>
                <w:sz w:val="21"/>
                <w:lang w:val="en-US" w:eastAsia="zh-CN"/>
              </w:rPr>
              <w:t>2019.12.25-28</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本次审核覆盖时间：从上次审核结束日的年月日至年月日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numPr>
          <w:ilvl w:val="0"/>
          <w:numId w:val="1"/>
        </w:numPr>
        <w:tabs>
          <w:tab w:val="left" w:pos="645"/>
        </w:tabs>
        <w:spacing w:before="326" w:beforeLines="100" w:after="163" w:afterLines="50" w:line="360" w:lineRule="exact"/>
        <w:rPr>
          <w:rFonts w:hint="eastAsia"/>
          <w:b/>
          <w:sz w:val="26"/>
          <w:szCs w:val="26"/>
        </w:rPr>
      </w:pPr>
      <w:r>
        <w:rPr>
          <w:rFonts w:hint="eastAsia"/>
          <w:b/>
          <w:sz w:val="26"/>
          <w:szCs w:val="26"/>
        </w:rPr>
        <w:t>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7" w:hRule="atLeast"/>
          <w:jc w:val="center"/>
        </w:trPr>
        <w:tc>
          <w:tcPr>
            <w:tcW w:w="720" w:type="dxa"/>
            <w:vMerge w:val="restart"/>
            <w:textDirection w:val="tbRlV"/>
            <w:vAlign w:val="center"/>
          </w:tcPr>
          <w:p>
            <w:pPr>
              <w:spacing w:line="240" w:lineRule="exact"/>
              <w:ind w:left="241" w:right="113" w:hanging="241" w:hangingChars="100"/>
              <w:jc w:val="center"/>
              <w:rPr>
                <w:rFonts w:hint="eastAsia" w:ascii="宋体" w:hAnsi="宋体" w:eastAsia="宋体" w:cs="宋体"/>
                <w:b/>
                <w:szCs w:val="21"/>
              </w:rPr>
            </w:pPr>
            <w:r>
              <w:rPr>
                <w:rFonts w:hint="eastAsia" w:ascii="宋体" w:hAnsi="宋体" w:eastAsia="宋体" w:cs="宋体"/>
                <w:b/>
                <w:szCs w:val="21"/>
              </w:rPr>
              <w:t>(一)策划的充分与合理性</w:t>
            </w: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1、组织及其环境的识别情况</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公司确定了与其目标和战略方向相关并影响其实现质量、环境和职业健康安全管理体系预期结果的各种外部和内部因素。</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b w:val="0"/>
                <w:bCs/>
                <w:sz w:val="21"/>
                <w:szCs w:val="21"/>
              </w:rPr>
              <w:t>确定了控制措施，尽可能将风险控制在可接受的范围内，对机遇出现时应及时把握，有效的利用机遇。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720" w:type="dxa"/>
            <w:vMerge w:val="continue"/>
            <w:textDirection w:val="tbRlV"/>
            <w:vAlign w:val="center"/>
          </w:tcPr>
          <w:p>
            <w:pPr>
              <w:spacing w:line="240" w:lineRule="exact"/>
              <w:ind w:left="241" w:right="113" w:hanging="241" w:hangingChars="100"/>
              <w:jc w:val="center"/>
              <w:rPr>
                <w:rFonts w:hint="eastAsia" w:ascii="宋体" w:hAnsi="宋体" w:eastAsia="宋体" w:cs="宋体"/>
                <w:b/>
                <w:szCs w:val="21"/>
              </w:rPr>
            </w:pPr>
          </w:p>
        </w:tc>
        <w:tc>
          <w:tcPr>
            <w:tcW w:w="9198" w:type="dxa"/>
          </w:tcPr>
          <w:p>
            <w:pPr>
              <w:numPr>
                <w:ilvl w:val="0"/>
                <w:numId w:val="2"/>
              </w:numPr>
              <w:spacing w:line="360" w:lineRule="auto"/>
              <w:rPr>
                <w:rFonts w:hint="eastAsia" w:ascii="宋体" w:hAnsi="宋体" w:eastAsia="宋体" w:cs="宋体"/>
                <w:b/>
                <w:sz w:val="21"/>
                <w:szCs w:val="21"/>
              </w:rPr>
            </w:pPr>
            <w:r>
              <w:rPr>
                <w:rFonts w:hint="eastAsia" w:ascii="宋体" w:hAnsi="宋体" w:eastAsia="宋体" w:cs="宋体"/>
                <w:b/>
                <w:sz w:val="21"/>
                <w:szCs w:val="21"/>
              </w:rPr>
              <w:t>相关方需求和期望识别情况</w:t>
            </w:r>
          </w:p>
          <w:p>
            <w:pPr>
              <w:numPr>
                <w:ilvl w:val="0"/>
                <w:numId w:val="0"/>
              </w:numPr>
              <w:spacing w:line="360" w:lineRule="auto"/>
              <w:ind w:firstLine="420" w:firstLineChars="200"/>
              <w:rPr>
                <w:rFonts w:hint="eastAsia" w:ascii="宋体" w:hAnsi="宋体" w:eastAsia="宋体" w:cs="宋体"/>
                <w:b/>
                <w:sz w:val="21"/>
                <w:szCs w:val="21"/>
              </w:rPr>
            </w:pPr>
            <w:r>
              <w:rPr>
                <w:rFonts w:hint="eastAsia" w:ascii="宋体" w:hAnsi="宋体" w:eastAsia="宋体" w:cs="宋体"/>
                <w:b w:val="0"/>
                <w:bCs/>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hint="eastAsia" w:ascii="宋体" w:hAnsi="宋体" w:eastAsia="宋体" w:cs="宋体"/>
                <w:b/>
                <w:szCs w:val="21"/>
              </w:rPr>
            </w:pPr>
          </w:p>
        </w:tc>
        <w:tc>
          <w:tcPr>
            <w:tcW w:w="9198" w:type="dxa"/>
          </w:tcPr>
          <w:p>
            <w:pPr>
              <w:numPr>
                <w:ilvl w:val="0"/>
                <w:numId w:val="3"/>
              </w:numPr>
              <w:spacing w:line="360" w:lineRule="auto"/>
              <w:rPr>
                <w:rFonts w:hint="eastAsia" w:ascii="宋体" w:hAnsi="宋体" w:eastAsia="宋体" w:cs="宋体"/>
                <w:b/>
                <w:sz w:val="21"/>
                <w:szCs w:val="21"/>
              </w:rPr>
            </w:pPr>
            <w:r>
              <w:rPr>
                <w:rFonts w:hint="eastAsia" w:ascii="宋体" w:hAnsi="宋体" w:eastAsia="宋体" w:cs="宋体"/>
                <w:b/>
                <w:sz w:val="21"/>
                <w:szCs w:val="21"/>
                <w:lang w:eastAsia="zh-CN"/>
              </w:rPr>
              <w:t>☑</w:t>
            </w:r>
            <w:r>
              <w:rPr>
                <w:rFonts w:hint="eastAsia" w:ascii="宋体" w:hAnsi="宋体" w:eastAsia="宋体" w:cs="宋体"/>
                <w:b/>
                <w:sz w:val="21"/>
                <w:szCs w:val="21"/>
              </w:rPr>
              <w:t>质量/</w:t>
            </w:r>
            <w:r>
              <w:rPr>
                <w:rFonts w:hint="eastAsia" w:ascii="宋体" w:hAnsi="宋体" w:eastAsia="宋体" w:cs="宋体"/>
                <w:b/>
                <w:sz w:val="21"/>
                <w:szCs w:val="21"/>
                <w:lang w:eastAsia="zh-CN"/>
              </w:rPr>
              <w:t>☑</w:t>
            </w:r>
            <w:r>
              <w:rPr>
                <w:rFonts w:hint="eastAsia" w:ascii="宋体" w:hAnsi="宋体" w:eastAsia="宋体" w:cs="宋体"/>
                <w:b/>
                <w:sz w:val="21"/>
                <w:szCs w:val="21"/>
              </w:rPr>
              <w:t>环境/</w:t>
            </w:r>
            <w:r>
              <w:rPr>
                <w:rFonts w:hint="eastAsia" w:ascii="宋体" w:hAnsi="宋体" w:eastAsia="宋体" w:cs="宋体"/>
                <w:b/>
                <w:sz w:val="21"/>
                <w:szCs w:val="21"/>
                <w:lang w:eastAsia="zh-CN"/>
              </w:rPr>
              <w:t>☑</w:t>
            </w:r>
            <w:r>
              <w:rPr>
                <w:rFonts w:hint="eastAsia" w:ascii="宋体" w:hAnsi="宋体" w:eastAsia="宋体" w:cs="宋体"/>
                <w:b/>
                <w:sz w:val="21"/>
                <w:szCs w:val="21"/>
              </w:rPr>
              <w:t>职业健康安全方针（组织方针的适宜性/持续适宜性、方针的传达及职工的理解等）</w:t>
            </w:r>
          </w:p>
          <w:p>
            <w:pPr>
              <w:numPr>
                <w:ilvl w:val="0"/>
                <w:numId w:val="0"/>
              </w:numPr>
              <w:spacing w:line="360" w:lineRule="auto"/>
              <w:rPr>
                <w:rFonts w:hint="eastAsia" w:ascii="宋体" w:hAnsi="宋体" w:eastAsia="宋体" w:cs="宋体"/>
                <w:b/>
                <w:sz w:val="21"/>
                <w:szCs w:val="21"/>
              </w:rPr>
            </w:pPr>
            <w:r>
              <w:rPr>
                <w:rFonts w:hint="eastAsia" w:ascii="宋体" w:hAnsi="宋体" w:eastAsia="宋体" w:cs="宋体"/>
                <w:color w:val="000000" w:themeColor="text1"/>
                <w:sz w:val="20"/>
              </w:rPr>
              <w:t>公司的质量、环境、职业健康安全方针是：</w:t>
            </w:r>
          </w:p>
          <w:p>
            <w:pPr>
              <w:numPr>
                <w:ilvl w:val="0"/>
                <w:numId w:val="0"/>
              </w:numPr>
              <w:spacing w:line="360" w:lineRule="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顾客至上、优质高效、全员环保、预防污染、保障健康安全、减少风险、遵规守法、持续改进。</w:t>
            </w:r>
          </w:p>
          <w:p>
            <w:pPr>
              <w:numPr>
                <w:ilvl w:val="0"/>
                <w:numId w:val="0"/>
              </w:numPr>
              <w:spacing w:line="360" w:lineRule="auto"/>
              <w:rPr>
                <w:rFonts w:hint="eastAsia" w:ascii="宋体" w:hAnsi="宋体" w:eastAsia="宋体" w:cs="宋体"/>
                <w:b/>
                <w:sz w:val="21"/>
                <w:szCs w:val="21"/>
              </w:rPr>
            </w:pPr>
            <w:r>
              <w:rPr>
                <w:rFonts w:hint="eastAsia" w:ascii="宋体" w:hAnsi="宋体" w:eastAsia="宋体" w:cs="宋体"/>
                <w:color w:val="000000" w:themeColor="text1"/>
                <w:sz w:val="20"/>
              </w:rPr>
              <w:t>管理方针通过文件、培训等形式将公司管理方针传达给所有为公司工作或代表公司的人员管理评审时进行了评审，方针适宜。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jc w:val="center"/>
        </w:trPr>
        <w:tc>
          <w:tcPr>
            <w:tcW w:w="720" w:type="dxa"/>
            <w:vMerge w:val="continue"/>
            <w:textDirection w:val="tbRlV"/>
            <w:vAlign w:val="center"/>
          </w:tcPr>
          <w:p>
            <w:pPr>
              <w:spacing w:line="240" w:lineRule="exact"/>
              <w:ind w:left="241" w:right="113" w:hanging="241" w:hangingChars="100"/>
              <w:jc w:val="center"/>
              <w:rPr>
                <w:rFonts w:hint="eastAsia" w:ascii="宋体" w:hAnsi="宋体" w:eastAsia="宋体" w:cs="宋体"/>
                <w:b/>
                <w:szCs w:val="21"/>
              </w:rPr>
            </w:pPr>
          </w:p>
        </w:tc>
        <w:tc>
          <w:tcPr>
            <w:tcW w:w="9198" w:type="dxa"/>
          </w:tcPr>
          <w:p>
            <w:pPr>
              <w:numPr>
                <w:ilvl w:val="0"/>
                <w:numId w:val="0"/>
              </w:numPr>
              <w:spacing w:line="280" w:lineRule="exact"/>
              <w:ind w:leftChars="0"/>
              <w:rPr>
                <w:rFonts w:hint="eastAsia" w:ascii="宋体" w:hAnsi="宋体" w:eastAsia="宋体" w:cs="宋体"/>
                <w:b/>
                <w:sz w:val="21"/>
                <w:szCs w:val="21"/>
              </w:rPr>
            </w:pPr>
            <w:r>
              <w:rPr>
                <w:rFonts w:hint="eastAsia" w:ascii="宋体" w:hAnsi="宋体" w:eastAsia="宋体" w:cs="宋体"/>
                <w:b/>
                <w:sz w:val="21"/>
                <w:szCs w:val="21"/>
                <w:lang w:val="en-US" w:eastAsia="zh-CN"/>
              </w:rPr>
              <w:t>4.</w:t>
            </w:r>
            <w:r>
              <w:rPr>
                <w:rFonts w:hint="eastAsia" w:ascii="宋体" w:hAnsi="宋体" w:eastAsia="宋体" w:cs="宋体"/>
                <w:b/>
                <w:sz w:val="21"/>
                <w:szCs w:val="21"/>
              </w:rPr>
              <w:t>风险识别与控制策划</w:t>
            </w:r>
          </w:p>
          <w:p>
            <w:pPr>
              <w:numPr>
                <w:ilvl w:val="0"/>
                <w:numId w:val="0"/>
              </w:numPr>
              <w:spacing w:line="360" w:lineRule="auto"/>
              <w:ind w:leftChars="0"/>
              <w:rPr>
                <w:rFonts w:hint="eastAsia" w:ascii="宋体" w:hAnsi="宋体" w:eastAsia="宋体" w:cs="宋体"/>
                <w:b/>
                <w:sz w:val="21"/>
                <w:szCs w:val="21"/>
                <w:lang w:eastAsia="zh-CN"/>
              </w:rPr>
            </w:pPr>
            <w:r>
              <w:rPr>
                <w:rFonts w:hint="eastAsia" w:ascii="宋体" w:hAnsi="宋体" w:eastAsia="宋体" w:cs="宋体"/>
                <w:color w:val="000000" w:themeColor="text1"/>
                <w:sz w:val="20"/>
                <w:szCs w:val="22"/>
                <w:lang w:val="en-US" w:eastAsia="zh-CN"/>
              </w:rPr>
              <w:t>提供</w:t>
            </w:r>
            <w:r>
              <w:rPr>
                <w:rFonts w:hint="eastAsia" w:ascii="宋体" w:hAnsi="宋体" w:eastAsia="宋体" w:cs="宋体"/>
                <w:color w:val="000000" w:themeColor="text1"/>
                <w:sz w:val="20"/>
                <w:szCs w:val="22"/>
              </w:rPr>
              <w:t>了“风险和机遇评估分析表”，识别了风险和机遇来源、风险和机遇内容、管理措施、责任部门、实时时间、评价措施</w:t>
            </w:r>
            <w:r>
              <w:rPr>
                <w:rFonts w:hint="eastAsia" w:ascii="宋体" w:hAnsi="宋体" w:eastAsia="宋体" w:cs="宋体"/>
                <w:color w:val="000000" w:themeColor="text1"/>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rFonts w:hint="eastAsia" w:ascii="宋体" w:hAnsi="宋体" w:eastAsia="宋体" w:cs="宋体"/>
                <w:b/>
                <w:sz w:val="20"/>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5.QMS/</w:t>
            </w:r>
            <w:r>
              <w:rPr>
                <w:rFonts w:hint="eastAsia" w:ascii="宋体" w:hAnsi="宋体" w:eastAsia="宋体" w:cs="宋体"/>
                <w:b/>
                <w:szCs w:val="21"/>
              </w:rPr>
              <w:t>□50430</w:t>
            </w:r>
            <w:r>
              <w:rPr>
                <w:rFonts w:hint="eastAsia" w:ascii="宋体" w:hAnsi="宋体" w:eastAsia="宋体" w:cs="宋体"/>
                <w:b/>
                <w:sz w:val="21"/>
                <w:szCs w:val="21"/>
              </w:rPr>
              <w:t>过程</w:t>
            </w:r>
          </w:p>
          <w:p>
            <w:pPr>
              <w:tabs>
                <w:tab w:val="left" w:pos="540"/>
              </w:tabs>
              <w:spacing w:line="360" w:lineRule="auto"/>
              <w:ind w:left="201" w:hanging="201" w:hangingChars="100"/>
              <w:rPr>
                <w:rFonts w:hint="eastAsia" w:ascii="宋体" w:hAnsi="宋体" w:eastAsia="宋体" w:cs="宋体"/>
                <w:b/>
                <w:color w:val="000000" w:themeColor="text1"/>
                <w:sz w:val="20"/>
                <w:u w:val="single"/>
              </w:rPr>
            </w:pPr>
            <w:r>
              <w:rPr>
                <w:rFonts w:hint="eastAsia" w:ascii="宋体" w:hAnsi="宋体" w:eastAsia="宋体" w:cs="宋体"/>
                <w:b/>
                <w:color w:val="000000" w:themeColor="text1"/>
                <w:sz w:val="20"/>
              </w:rPr>
              <w:t>质量管理体系过程有：</w:t>
            </w:r>
          </w:p>
          <w:p>
            <w:pPr>
              <w:tabs>
                <w:tab w:val="left" w:pos="540"/>
              </w:tabs>
              <w:spacing w:line="360" w:lineRule="auto"/>
              <w:ind w:left="201" w:hanging="201" w:hangingChars="100"/>
              <w:rPr>
                <w:rFonts w:hint="eastAsia" w:ascii="宋体" w:hAnsi="宋体" w:eastAsia="宋体" w:cs="宋体"/>
                <w:b/>
                <w:color w:val="000000" w:themeColor="text1"/>
                <w:sz w:val="20"/>
                <w:u w:val="single"/>
              </w:rPr>
            </w:pPr>
            <w:r>
              <w:rPr>
                <w:rFonts w:hint="eastAsia" w:ascii="宋体" w:hAnsi="宋体" w:eastAsia="宋体" w:cs="宋体"/>
                <w:b/>
                <w:color w:val="000000" w:themeColor="text1"/>
                <w:sz w:val="20"/>
              </w:rPr>
              <w:t>其中关键过程有</w:t>
            </w:r>
            <w:r>
              <w:rPr>
                <w:rFonts w:hint="eastAsia" w:ascii="宋体" w:hAnsi="宋体" w:eastAsia="宋体" w:cs="宋体"/>
                <w:b/>
                <w:color w:val="000000" w:themeColor="text1"/>
                <w:sz w:val="20"/>
                <w:u w:val="single"/>
              </w:rPr>
              <w:t xml:space="preserve">   </w:t>
            </w:r>
            <w:r>
              <w:rPr>
                <w:rFonts w:hint="eastAsia" w:ascii="宋体" w:hAnsi="宋体" w:eastAsia="宋体" w:cs="宋体"/>
                <w:color w:val="000000" w:themeColor="text1"/>
                <w:sz w:val="20"/>
                <w:u w:val="single"/>
              </w:rPr>
              <w:t xml:space="preserve">销售服务过程 </w:t>
            </w:r>
          </w:p>
          <w:p>
            <w:pPr>
              <w:tabs>
                <w:tab w:val="left" w:pos="540"/>
              </w:tabs>
              <w:spacing w:line="360" w:lineRule="auto"/>
              <w:ind w:left="201" w:hanging="201" w:hangingChars="100"/>
              <w:rPr>
                <w:rFonts w:hint="eastAsia" w:ascii="宋体" w:hAnsi="宋体" w:eastAsia="宋体" w:cs="宋体"/>
                <w:b/>
                <w:color w:val="000000" w:themeColor="text1"/>
                <w:sz w:val="20"/>
                <w:u w:val="single"/>
              </w:rPr>
            </w:pPr>
            <w:r>
              <w:rPr>
                <w:rFonts w:hint="eastAsia" w:ascii="宋体" w:hAnsi="宋体" w:eastAsia="宋体" w:cs="宋体"/>
                <w:b/>
                <w:color w:val="000000" w:themeColor="text1"/>
                <w:sz w:val="20"/>
              </w:rPr>
              <w:t xml:space="preserve">需要确认过程 </w:t>
            </w:r>
            <w:r>
              <w:rPr>
                <w:rFonts w:hint="eastAsia" w:ascii="宋体" w:hAnsi="宋体" w:eastAsia="宋体" w:cs="宋体"/>
                <w:color w:val="000000" w:themeColor="text1"/>
                <w:sz w:val="20"/>
                <w:u w:val="single"/>
              </w:rPr>
              <w:t>销售服务过程</w:t>
            </w:r>
            <w:r>
              <w:rPr>
                <w:rFonts w:hint="eastAsia" w:ascii="宋体" w:hAnsi="宋体" w:eastAsia="宋体" w:cs="宋体"/>
                <w:b/>
                <w:color w:val="000000" w:themeColor="text1"/>
                <w:sz w:val="20"/>
              </w:rPr>
              <w:t xml:space="preserve"> </w:t>
            </w:r>
          </w:p>
          <w:p>
            <w:pPr>
              <w:tabs>
                <w:tab w:val="left" w:pos="540"/>
              </w:tabs>
              <w:spacing w:line="360" w:lineRule="auto"/>
              <w:ind w:left="211" w:hanging="211" w:hangingChars="100"/>
              <w:rPr>
                <w:rFonts w:hint="eastAsia" w:ascii="宋体" w:hAnsi="宋体" w:eastAsia="宋体" w:cs="宋体"/>
                <w:b/>
                <w:sz w:val="21"/>
                <w:szCs w:val="21"/>
              </w:rPr>
            </w:pPr>
            <w:r>
              <w:rPr>
                <w:rFonts w:hint="eastAsia" w:ascii="宋体" w:hAnsi="宋体" w:eastAsia="宋体" w:cs="宋体"/>
                <w:b/>
                <w:sz w:val="21"/>
                <w:szCs w:val="21"/>
              </w:rPr>
              <w:t>删减条款是</w:t>
            </w:r>
            <w:r>
              <w:rPr>
                <w:rFonts w:hint="eastAsia" w:ascii="宋体" w:hAnsi="宋体" w:eastAsia="宋体" w:cs="宋体"/>
                <w:b/>
                <w:color w:val="000000" w:themeColor="text1"/>
                <w:sz w:val="20"/>
              </w:rPr>
              <w:t xml:space="preserve"> </w:t>
            </w:r>
            <w:r>
              <w:rPr>
                <w:rFonts w:hint="eastAsia" w:ascii="宋体" w:hAnsi="宋体" w:eastAsia="宋体" w:cs="宋体"/>
                <w:color w:val="000000" w:themeColor="text1"/>
                <w:sz w:val="20"/>
                <w:u w:val="single"/>
              </w:rPr>
              <w:t>8.3条款</w:t>
            </w:r>
            <w:r>
              <w:rPr>
                <w:rFonts w:hint="eastAsia" w:ascii="宋体" w:hAnsi="宋体" w:eastAsia="宋体" w:cs="宋体"/>
                <w:color w:val="000000" w:themeColor="text1"/>
                <w:sz w:val="20"/>
              </w:rPr>
              <w:t xml:space="preserve">  ，</w:t>
            </w:r>
            <w:r>
              <w:rPr>
                <w:rFonts w:hint="eastAsia" w:ascii="宋体" w:hAnsi="宋体" w:eastAsia="宋体" w:cs="宋体"/>
                <w:b/>
                <w:sz w:val="21"/>
                <w:szCs w:val="21"/>
              </w:rPr>
              <w:t>删减理由</w:t>
            </w:r>
            <w:r>
              <w:rPr>
                <w:rFonts w:hint="eastAsia" w:ascii="宋体" w:hAnsi="宋体" w:eastAsia="宋体" w:cs="宋体"/>
                <w:b/>
                <w:color w:val="000000" w:themeColor="text1"/>
                <w:sz w:val="20"/>
              </w:rPr>
              <w:t>：</w:t>
            </w:r>
            <w:r>
              <w:rPr>
                <w:rFonts w:hint="eastAsia" w:ascii="宋体" w:hAnsi="宋体" w:eastAsia="宋体" w:cs="宋体"/>
                <w:color w:val="000000" w:themeColor="text1"/>
                <w:sz w:val="20"/>
                <w:u w:val="single"/>
              </w:rPr>
              <w:t>按照标准和客户要求销售，查验合格证和外观的方式进行检验，无需监视和测量资源，不需再进行设计开发，删减适宜。</w:t>
            </w:r>
            <w:r>
              <w:rPr>
                <w:rFonts w:hint="eastAsia" w:ascii="宋体" w:hAnsi="宋体" w:eastAsia="宋体" w:cs="宋体"/>
                <w:b/>
                <w:color w:val="000000" w:themeColor="text1"/>
                <w:sz w:val="20"/>
              </w:rPr>
              <w:t xml:space="preserve">  </w:t>
            </w:r>
          </w:p>
          <w:p>
            <w:pPr>
              <w:tabs>
                <w:tab w:val="left" w:pos="540"/>
              </w:tabs>
              <w:spacing w:line="300" w:lineRule="exact"/>
              <w:ind w:left="211" w:hanging="211" w:hangingChars="100"/>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rFonts w:hint="eastAsia" w:ascii="宋体" w:hAnsi="宋体" w:eastAsia="宋体" w:cs="宋体"/>
                <w:b/>
                <w:sz w:val="20"/>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6. </w:t>
            </w:r>
            <w:r>
              <w:rPr>
                <w:rFonts w:hint="eastAsia" w:ascii="宋体" w:hAnsi="宋体" w:eastAsia="宋体" w:cs="宋体"/>
                <w:b/>
                <w:sz w:val="21"/>
                <w:szCs w:val="21"/>
                <w:lang w:eastAsia="zh-CN"/>
              </w:rPr>
              <w:t>☑</w:t>
            </w:r>
            <w:r>
              <w:rPr>
                <w:rFonts w:hint="eastAsia" w:ascii="宋体" w:hAnsi="宋体" w:eastAsia="宋体" w:cs="宋体"/>
                <w:b/>
                <w:sz w:val="21"/>
                <w:szCs w:val="21"/>
              </w:rPr>
              <w:t>EMS环境因素</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（环境因素辨识是否充分、重要环境因素评价合理性，以及环境因素动态变更的及时性等）</w:t>
            </w:r>
          </w:p>
          <w:p>
            <w:pPr>
              <w:numPr>
                <w:ilvl w:val="0"/>
                <w:numId w:val="0"/>
              </w:numPr>
              <w:spacing w:line="360" w:lineRule="auto"/>
              <w:ind w:leftChars="0"/>
              <w:rPr>
                <w:rFonts w:hint="eastAsia" w:ascii="宋体" w:hAnsi="宋体" w:eastAsia="宋体" w:cs="宋体"/>
                <w:b/>
                <w:sz w:val="21"/>
                <w:szCs w:val="21"/>
                <w:lang w:eastAsia="zh-CN"/>
              </w:rPr>
            </w:pPr>
            <w:r>
              <w:rPr>
                <w:rFonts w:hint="eastAsia" w:ascii="宋体" w:hAnsi="宋体" w:eastAsia="宋体" w:cs="宋体"/>
                <w:color w:val="000000" w:themeColor="text1"/>
                <w:sz w:val="20"/>
                <w:szCs w:val="22"/>
              </w:rPr>
              <w:t>识别了办公、销售等过程的环境因素，动态更新，评价出的重要环境因素包括：固体废弃物排放、火灾隐患等。在采购、销售、仓储、运输、交付、日常办公等过程能使用生命周期观点和方法识别环境因素并加以管理。公司通过制定目标、管理方案、应急预案、日常检查与控制等方法，对环境因素进行控制，同时针对重要环境因素、风险和机遇及环境目标，制定了措施方案，措施方案按计划实施，部分措施已完成，其余措施也正在按计划的要求实施中，措施方案基本适宜、实施基本有效</w:t>
            </w:r>
            <w:r>
              <w:rPr>
                <w:rFonts w:hint="eastAsia" w:ascii="宋体" w:hAnsi="宋体" w:eastAsia="宋体" w:cs="宋体"/>
                <w:color w:val="000000" w:themeColor="text1"/>
                <w:sz w:val="20"/>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rFonts w:hint="eastAsia" w:ascii="宋体" w:hAnsi="宋体" w:eastAsia="宋体" w:cs="宋体"/>
                <w:b/>
                <w:sz w:val="20"/>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 xml:space="preserve">7. </w:t>
            </w:r>
            <w:r>
              <w:rPr>
                <w:rFonts w:hint="eastAsia" w:ascii="宋体" w:hAnsi="宋体" w:eastAsia="宋体" w:cs="宋体"/>
                <w:b/>
                <w:sz w:val="21"/>
                <w:szCs w:val="21"/>
                <w:lang w:eastAsia="zh-CN"/>
              </w:rPr>
              <w:t>☑</w:t>
            </w:r>
            <w:r>
              <w:rPr>
                <w:rFonts w:hint="eastAsia" w:ascii="宋体" w:hAnsi="宋体" w:eastAsia="宋体" w:cs="宋体"/>
                <w:b/>
                <w:sz w:val="21"/>
                <w:szCs w:val="21"/>
              </w:rPr>
              <w:t>OHSMS职业健康安全危险源</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（职业健康安全危险源辨识是否充分、风险评价合理性，以及风险评价动态变更的及时性等）</w:t>
            </w:r>
          </w:p>
          <w:p>
            <w:pPr>
              <w:numPr>
                <w:ilvl w:val="0"/>
                <w:numId w:val="0"/>
              </w:numPr>
              <w:spacing w:line="360" w:lineRule="auto"/>
              <w:ind w:leftChars="0" w:firstLine="200" w:firstLineChars="100"/>
              <w:rPr>
                <w:rFonts w:hint="eastAsia" w:ascii="宋体" w:hAnsi="宋体" w:eastAsia="宋体" w:cs="宋体"/>
                <w:color w:val="000000" w:themeColor="text1"/>
                <w:sz w:val="20"/>
                <w:szCs w:val="22"/>
              </w:rPr>
            </w:pPr>
            <w:r>
              <w:rPr>
                <w:rFonts w:hint="eastAsia" w:ascii="宋体" w:hAnsi="宋体" w:eastAsia="宋体" w:cs="宋体"/>
                <w:color w:val="000000" w:themeColor="text1"/>
                <w:sz w:val="20"/>
                <w:szCs w:val="22"/>
              </w:rPr>
              <w:t>识别了办公、销售等过程的危险源，动态更新，确定的不可接受风险包括：触电、火灾、人身伤害等。公司通过制定目标、管理方案、应急预案、日常检查与控制等方法，对危险源、不可接受风险进行控制，针对不可接受风险、职业健康安全目标，制了措施方案，措施方案按计划实施，部分措施已完成，其余措施也正在按计划的要求实施中，措施方案基本适宜、实施基本有效。</w:t>
            </w:r>
          </w:p>
          <w:p>
            <w:pPr>
              <w:numPr>
                <w:ilvl w:val="0"/>
                <w:numId w:val="0"/>
              </w:numPr>
              <w:spacing w:line="360" w:lineRule="auto"/>
              <w:ind w:leftChars="0" w:firstLine="200" w:firstLineChars="100"/>
              <w:rPr>
                <w:rFonts w:hint="eastAsia" w:ascii="宋体" w:hAnsi="宋体" w:eastAsia="宋体" w:cs="宋体"/>
                <w:b/>
                <w:sz w:val="21"/>
                <w:szCs w:val="21"/>
              </w:rPr>
            </w:pPr>
            <w:r>
              <w:rPr>
                <w:rFonts w:hint="eastAsia" w:ascii="宋体" w:hAnsi="宋体" w:eastAsia="宋体" w:cs="宋体"/>
                <w:color w:val="000000" w:themeColor="text1"/>
                <w:sz w:val="20"/>
                <w:szCs w:val="22"/>
              </w:rPr>
              <w:t>公司通过日常巡视等方式进行职业健康安全检查，监视和测量公司的职业健康安全状况，检查工作基本按要求实施。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rFonts w:hint="eastAsia" w:ascii="宋体" w:hAnsi="宋体" w:eastAsia="宋体" w:cs="宋体"/>
                <w:b/>
                <w:sz w:val="20"/>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8. 法律法规及其他要求</w:t>
            </w:r>
          </w:p>
          <w:p>
            <w:pPr>
              <w:pStyle w:val="12"/>
              <w:numPr>
                <w:ilvl w:val="0"/>
                <w:numId w:val="4"/>
              </w:numPr>
              <w:tabs>
                <w:tab w:val="left" w:pos="540"/>
              </w:tabs>
              <w:spacing w:line="360" w:lineRule="auto"/>
              <w:ind w:left="-12" w:leftChars="-43" w:hanging="91" w:hangingChars="43"/>
              <w:rPr>
                <w:rFonts w:hint="eastAsia" w:ascii="宋体" w:hAnsi="宋体" w:eastAsia="宋体" w:cs="宋体"/>
                <w:b/>
                <w:szCs w:val="21"/>
              </w:rPr>
            </w:pPr>
            <w:r>
              <w:rPr>
                <w:rFonts w:hint="eastAsia" w:ascii="宋体" w:hAnsi="宋体" w:eastAsia="宋体" w:cs="宋体"/>
                <w:b/>
                <w:szCs w:val="21"/>
              </w:rPr>
              <w:t>获取法律法规项，</w:t>
            </w:r>
            <w:r>
              <w:rPr>
                <w:rFonts w:hint="eastAsia" w:ascii="宋体" w:hAnsi="宋体" w:eastAsia="宋体" w:cs="宋体"/>
                <w:b/>
                <w:szCs w:val="21"/>
                <w:lang w:eastAsia="zh-CN"/>
              </w:rPr>
              <w:t>☑</w:t>
            </w:r>
            <w:r>
              <w:rPr>
                <w:rFonts w:hint="eastAsia" w:ascii="宋体" w:hAnsi="宋体" w:eastAsia="宋体" w:cs="宋体"/>
                <w:b/>
                <w:szCs w:val="21"/>
              </w:rPr>
              <w:t>法律法规获取充分</w:t>
            </w:r>
          </w:p>
          <w:p>
            <w:pPr>
              <w:pStyle w:val="12"/>
              <w:numPr>
                <w:ilvl w:val="0"/>
                <w:numId w:val="4"/>
              </w:numPr>
              <w:tabs>
                <w:tab w:val="left" w:pos="540"/>
              </w:tabs>
              <w:spacing w:line="360" w:lineRule="auto"/>
              <w:ind w:firstLineChars="0"/>
              <w:rPr>
                <w:rFonts w:hint="eastAsia" w:ascii="宋体" w:hAnsi="宋体" w:eastAsia="宋体" w:cs="宋体"/>
                <w:b/>
                <w:szCs w:val="21"/>
              </w:rPr>
            </w:pPr>
            <w:r>
              <w:rPr>
                <w:rFonts w:hint="eastAsia" w:ascii="宋体" w:hAnsi="宋体" w:eastAsia="宋体" w:cs="宋体"/>
                <w:b/>
                <w:szCs w:val="21"/>
              </w:rPr>
              <w:t>结合公司的</w:t>
            </w:r>
            <w:r>
              <w:rPr>
                <w:rFonts w:hint="eastAsia" w:ascii="宋体" w:hAnsi="宋体" w:eastAsia="宋体" w:cs="宋体"/>
                <w:b/>
                <w:szCs w:val="21"/>
                <w:lang w:eastAsia="zh-CN"/>
              </w:rPr>
              <w:t>☑</w:t>
            </w:r>
            <w:r>
              <w:rPr>
                <w:rFonts w:hint="eastAsia" w:ascii="宋体" w:hAnsi="宋体" w:eastAsia="宋体" w:cs="宋体"/>
                <w:b/>
                <w:szCs w:val="21"/>
              </w:rPr>
              <w:t>产品/服务</w:t>
            </w:r>
            <w:r>
              <w:rPr>
                <w:rFonts w:hint="eastAsia" w:ascii="宋体" w:hAnsi="宋体" w:eastAsia="宋体" w:cs="宋体"/>
                <w:b/>
                <w:szCs w:val="21"/>
                <w:lang w:eastAsia="zh-CN"/>
              </w:rPr>
              <w:t>☑</w:t>
            </w:r>
            <w:r>
              <w:rPr>
                <w:rFonts w:hint="eastAsia" w:ascii="宋体" w:hAnsi="宋体" w:eastAsia="宋体" w:cs="宋体"/>
                <w:b/>
                <w:szCs w:val="21"/>
              </w:rPr>
              <w:t>环境因素</w:t>
            </w:r>
            <w:r>
              <w:rPr>
                <w:rFonts w:hint="eastAsia" w:ascii="宋体" w:hAnsi="宋体" w:eastAsia="宋体" w:cs="宋体"/>
                <w:b/>
                <w:szCs w:val="21"/>
                <w:lang w:eastAsia="zh-CN"/>
              </w:rPr>
              <w:t>☑</w:t>
            </w:r>
            <w:r>
              <w:rPr>
                <w:rFonts w:hint="eastAsia" w:ascii="宋体" w:hAnsi="宋体" w:eastAsia="宋体" w:cs="宋体"/>
                <w:b/>
                <w:szCs w:val="21"/>
              </w:rPr>
              <w:t>危险源，</w:t>
            </w:r>
            <w:r>
              <w:rPr>
                <w:rFonts w:hint="eastAsia" w:ascii="宋体" w:hAnsi="宋体" w:eastAsia="宋体" w:cs="宋体"/>
                <w:b/>
                <w:szCs w:val="21"/>
                <w:lang w:eastAsia="zh-CN"/>
              </w:rPr>
              <w:t>☑</w:t>
            </w:r>
            <w:r>
              <w:rPr>
                <w:rFonts w:hint="eastAsia" w:ascii="宋体" w:hAnsi="宋体" w:eastAsia="宋体" w:cs="宋体"/>
                <w:b/>
                <w:szCs w:val="21"/>
              </w:rPr>
              <w:t>确定□未确定法律法规要求的具体条款，</w:t>
            </w:r>
          </w:p>
          <w:p>
            <w:pPr>
              <w:pStyle w:val="12"/>
              <w:numPr>
                <w:ilvl w:val="0"/>
                <w:numId w:val="4"/>
              </w:numPr>
              <w:tabs>
                <w:tab w:val="left" w:pos="540"/>
              </w:tabs>
              <w:spacing w:line="360" w:lineRule="auto"/>
              <w:ind w:firstLineChars="0"/>
              <w:rPr>
                <w:rFonts w:hint="eastAsia" w:ascii="宋体" w:hAnsi="宋体" w:eastAsia="宋体" w:cs="宋体"/>
                <w:b/>
                <w:szCs w:val="21"/>
              </w:rPr>
            </w:pPr>
            <w:r>
              <w:rPr>
                <w:rFonts w:hint="eastAsia" w:ascii="宋体" w:hAnsi="宋体" w:eastAsia="宋体" w:cs="宋体"/>
                <w:b/>
                <w:szCs w:val="21"/>
              </w:rPr>
              <w:t>法律法规的宣传方式：</w:t>
            </w:r>
            <w:r>
              <w:rPr>
                <w:rFonts w:hint="eastAsia" w:ascii="宋体" w:hAnsi="宋体" w:eastAsia="宋体" w:cs="宋体"/>
                <w:sz w:val="21"/>
                <w:szCs w:val="21"/>
              </w:rPr>
              <w:t>通过培训、开会、发文件等形式将法律法规要求传达给了员工和相关方。</w:t>
            </w:r>
          </w:p>
          <w:p>
            <w:pPr>
              <w:pStyle w:val="12"/>
              <w:numPr>
                <w:ilvl w:val="0"/>
                <w:numId w:val="4"/>
              </w:numPr>
              <w:tabs>
                <w:tab w:val="left" w:pos="540"/>
              </w:tabs>
              <w:spacing w:line="360" w:lineRule="auto"/>
              <w:ind w:firstLineChars="0"/>
              <w:rPr>
                <w:rFonts w:hint="eastAsia" w:ascii="宋体" w:hAnsi="宋体" w:eastAsia="宋体" w:cs="宋体"/>
                <w:b/>
                <w:szCs w:val="21"/>
              </w:rPr>
            </w:pPr>
            <w:r>
              <w:rPr>
                <w:rFonts w:hint="eastAsia" w:ascii="宋体" w:hAnsi="宋体" w:eastAsia="宋体" w:cs="宋体"/>
                <w:b/>
                <w:szCs w:val="21"/>
              </w:rPr>
              <w:t>法律法规要求及时更新了</w:t>
            </w:r>
            <w:r>
              <w:rPr>
                <w:rFonts w:hint="eastAsia" w:ascii="宋体" w:hAnsi="宋体" w:eastAsia="宋体" w:cs="宋体"/>
                <w:b/>
                <w:szCs w:val="21"/>
                <w:lang w:eastAsia="zh-CN"/>
              </w:rPr>
              <w:t>：</w:t>
            </w:r>
            <w:r>
              <w:rPr>
                <w:rFonts w:hint="eastAsia" w:ascii="宋体" w:hAnsi="宋体" w:eastAsia="宋体" w:cs="宋体"/>
                <w:b/>
                <w:szCs w:val="21"/>
              </w:rPr>
              <w:t>是</w:t>
            </w:r>
          </w:p>
          <w:p>
            <w:pPr>
              <w:tabs>
                <w:tab w:val="left" w:pos="0"/>
              </w:tabs>
              <w:spacing w:line="240" w:lineRule="exac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2" w:hRule="atLeast"/>
          <w:jc w:val="center"/>
        </w:trPr>
        <w:tc>
          <w:tcPr>
            <w:tcW w:w="720" w:type="dxa"/>
            <w:vMerge w:val="continue"/>
            <w:vAlign w:val="center"/>
          </w:tcPr>
          <w:p>
            <w:pPr>
              <w:spacing w:line="240" w:lineRule="exact"/>
              <w:jc w:val="center"/>
              <w:rPr>
                <w:rFonts w:hint="eastAsia" w:ascii="宋体" w:hAnsi="宋体" w:eastAsia="宋体" w:cs="宋体"/>
                <w:b/>
                <w:sz w:val="20"/>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5. 目标、方案</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（在相关层次上建立可测量的目标，目标、方案的有效性，对质量目标的实现情况进行评价并叙述测量方法）</w:t>
            </w:r>
          </w:p>
          <w:p>
            <w:pPr>
              <w:pStyle w:val="12"/>
              <w:numPr>
                <w:ilvl w:val="0"/>
                <w:numId w:val="0"/>
              </w:numPr>
              <w:tabs>
                <w:tab w:val="left" w:pos="540"/>
              </w:tabs>
              <w:spacing w:line="360" w:lineRule="auto"/>
              <w:ind w:leftChars="0" w:firstLine="210" w:firstLineChars="100"/>
              <w:rPr>
                <w:rFonts w:hint="eastAsia" w:ascii="宋体" w:hAnsi="宋体" w:eastAsia="宋体" w:cs="宋体"/>
                <w:sz w:val="21"/>
                <w:szCs w:val="21"/>
              </w:rPr>
            </w:pPr>
            <w:r>
              <w:rPr>
                <w:rFonts w:hint="eastAsia" w:ascii="宋体" w:hAnsi="宋体" w:eastAsia="宋体" w:cs="宋体"/>
                <w:sz w:val="21"/>
                <w:szCs w:val="21"/>
              </w:rPr>
              <w:t>采购产品一次检验合格率≥98%；</w:t>
            </w:r>
          </w:p>
          <w:p>
            <w:pPr>
              <w:pStyle w:val="12"/>
              <w:numPr>
                <w:ilvl w:val="0"/>
                <w:numId w:val="0"/>
              </w:numPr>
              <w:tabs>
                <w:tab w:val="left" w:pos="540"/>
              </w:tabs>
              <w:spacing w:line="360" w:lineRule="auto"/>
              <w:ind w:leftChars="0" w:firstLine="210" w:firstLineChars="100"/>
              <w:rPr>
                <w:rFonts w:hint="eastAsia" w:ascii="宋体" w:hAnsi="宋体" w:eastAsia="宋体" w:cs="宋体"/>
                <w:sz w:val="21"/>
                <w:szCs w:val="21"/>
              </w:rPr>
            </w:pPr>
            <w:r>
              <w:rPr>
                <w:rFonts w:hint="eastAsia" w:ascii="宋体" w:hAnsi="宋体" w:eastAsia="宋体" w:cs="宋体"/>
                <w:sz w:val="21"/>
                <w:szCs w:val="21"/>
              </w:rPr>
              <w:t>顾客满意度≥90%，今后三年每年递增1%。</w:t>
            </w:r>
          </w:p>
          <w:p>
            <w:pPr>
              <w:pStyle w:val="12"/>
              <w:numPr>
                <w:ilvl w:val="0"/>
                <w:numId w:val="0"/>
              </w:numPr>
              <w:tabs>
                <w:tab w:val="left" w:pos="540"/>
              </w:tabs>
              <w:spacing w:line="360" w:lineRule="auto"/>
              <w:ind w:leftChars="0" w:firstLine="210" w:firstLineChars="100"/>
              <w:rPr>
                <w:rFonts w:hint="eastAsia" w:ascii="宋体" w:hAnsi="宋体" w:eastAsia="宋体" w:cs="宋体"/>
                <w:sz w:val="21"/>
                <w:szCs w:val="21"/>
              </w:rPr>
            </w:pPr>
            <w:r>
              <w:rPr>
                <w:rFonts w:hint="eastAsia" w:ascii="宋体" w:hAnsi="宋体" w:eastAsia="宋体" w:cs="宋体"/>
                <w:sz w:val="21"/>
                <w:szCs w:val="21"/>
              </w:rPr>
              <w:t>生活污水、汽车废气达标排放；</w:t>
            </w:r>
          </w:p>
          <w:p>
            <w:pPr>
              <w:pStyle w:val="12"/>
              <w:numPr>
                <w:ilvl w:val="0"/>
                <w:numId w:val="0"/>
              </w:numPr>
              <w:tabs>
                <w:tab w:val="left" w:pos="540"/>
              </w:tabs>
              <w:spacing w:line="360" w:lineRule="auto"/>
              <w:ind w:leftChars="0" w:firstLine="210" w:firstLineChars="100"/>
              <w:rPr>
                <w:rFonts w:hint="eastAsia" w:ascii="宋体" w:hAnsi="宋体" w:eastAsia="宋体" w:cs="宋体"/>
                <w:sz w:val="21"/>
                <w:szCs w:val="21"/>
              </w:rPr>
            </w:pPr>
            <w:r>
              <w:rPr>
                <w:rFonts w:hint="eastAsia" w:ascii="宋体" w:hAnsi="宋体" w:eastAsia="宋体" w:cs="宋体"/>
                <w:sz w:val="21"/>
                <w:szCs w:val="21"/>
              </w:rPr>
              <w:t>废弃物分类存放，有效处置率100%；</w:t>
            </w:r>
          </w:p>
          <w:p>
            <w:pPr>
              <w:pStyle w:val="12"/>
              <w:numPr>
                <w:ilvl w:val="0"/>
                <w:numId w:val="0"/>
              </w:numPr>
              <w:tabs>
                <w:tab w:val="left" w:pos="540"/>
              </w:tabs>
              <w:spacing w:line="360" w:lineRule="auto"/>
              <w:ind w:leftChars="0" w:firstLine="210" w:firstLineChars="100"/>
              <w:rPr>
                <w:rFonts w:hint="eastAsia" w:ascii="宋体" w:hAnsi="宋体" w:eastAsia="宋体" w:cs="宋体"/>
                <w:sz w:val="21"/>
                <w:szCs w:val="21"/>
              </w:rPr>
            </w:pPr>
            <w:r>
              <w:rPr>
                <w:rFonts w:hint="eastAsia" w:ascii="宋体" w:hAnsi="宋体" w:eastAsia="宋体" w:cs="宋体"/>
                <w:sz w:val="21"/>
                <w:szCs w:val="21"/>
              </w:rPr>
              <w:t>无工伤事故；</w:t>
            </w:r>
          </w:p>
          <w:p>
            <w:pPr>
              <w:pStyle w:val="12"/>
              <w:numPr>
                <w:ilvl w:val="0"/>
                <w:numId w:val="0"/>
              </w:numPr>
              <w:tabs>
                <w:tab w:val="left" w:pos="540"/>
              </w:tabs>
              <w:spacing w:line="360" w:lineRule="auto"/>
              <w:ind w:leftChars="0"/>
              <w:rPr>
                <w:rFonts w:hint="eastAsia" w:ascii="宋体" w:hAnsi="宋体" w:eastAsia="宋体" w:cs="宋体"/>
                <w:sz w:val="21"/>
                <w:szCs w:val="21"/>
              </w:rPr>
            </w:pPr>
            <w:r>
              <w:rPr>
                <w:rFonts w:hint="eastAsia" w:ascii="宋体" w:hAnsi="宋体" w:eastAsia="宋体" w:cs="宋体"/>
                <w:sz w:val="21"/>
                <w:szCs w:val="21"/>
              </w:rPr>
              <w:t>提供 “《目标及指标考核表</w:t>
            </w:r>
            <w:r>
              <w:rPr>
                <w:rFonts w:hint="eastAsia" w:ascii="宋体" w:hAnsi="宋体" w:eastAsia="宋体" w:cs="宋体"/>
                <w:sz w:val="21"/>
                <w:szCs w:val="21"/>
                <w:lang w:eastAsia="zh-CN"/>
              </w:rPr>
              <w:t>》</w:t>
            </w:r>
            <w:r>
              <w:rPr>
                <w:rFonts w:hint="eastAsia" w:ascii="宋体" w:hAnsi="宋体" w:eastAsia="宋体" w:cs="宋体"/>
                <w:sz w:val="21"/>
                <w:szCs w:val="21"/>
              </w:rPr>
              <w:t>”、“目标、指标、管理方案一览表”等。目标已分解到各部门，有目标实现的措施和资源、考核方式、考核周期等要求。</w:t>
            </w:r>
          </w:p>
          <w:p>
            <w:pPr>
              <w:spacing w:line="240" w:lineRule="exac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720" w:type="dxa"/>
            <w:vMerge w:val="continue"/>
            <w:vAlign w:val="center"/>
          </w:tcPr>
          <w:p>
            <w:pPr>
              <w:spacing w:line="240" w:lineRule="exact"/>
              <w:jc w:val="center"/>
              <w:rPr>
                <w:rFonts w:hint="eastAsia" w:ascii="宋体" w:hAnsi="宋体" w:eastAsia="宋体" w:cs="宋体"/>
                <w:b/>
                <w:sz w:val="20"/>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6. 文件与记录控制(文审修订后文件与标准的符合程度评价、文件控制管理等)</w:t>
            </w:r>
          </w:p>
          <w:p>
            <w:pPr>
              <w:pStyle w:val="12"/>
              <w:numPr>
                <w:ilvl w:val="0"/>
                <w:numId w:val="0"/>
              </w:numPr>
              <w:tabs>
                <w:tab w:val="left" w:pos="540"/>
              </w:tabs>
              <w:spacing w:line="360" w:lineRule="auto"/>
              <w:ind w:leftChars="0"/>
              <w:rPr>
                <w:rFonts w:hint="eastAsia" w:ascii="宋体" w:hAnsi="宋体" w:eastAsia="宋体" w:cs="宋体"/>
                <w:sz w:val="21"/>
                <w:szCs w:val="21"/>
              </w:rPr>
            </w:pPr>
            <w:r>
              <w:rPr>
                <w:rFonts w:hint="eastAsia" w:ascii="宋体" w:hAnsi="宋体" w:eastAsia="宋体" w:cs="宋体"/>
                <w:sz w:val="21"/>
                <w:szCs w:val="21"/>
              </w:rPr>
              <w:t>体系文件符合公司要求，文件和记录管理控制符合标准要求。</w:t>
            </w:r>
          </w:p>
          <w:p>
            <w:pPr>
              <w:pStyle w:val="12"/>
              <w:numPr>
                <w:ilvl w:val="0"/>
                <w:numId w:val="0"/>
              </w:numPr>
              <w:tabs>
                <w:tab w:val="left" w:pos="540"/>
              </w:tabs>
              <w:spacing w:line="360" w:lineRule="auto"/>
              <w:ind w:leftChars="0"/>
              <w:rPr>
                <w:rFonts w:hint="eastAsia" w:ascii="宋体" w:hAnsi="宋体" w:eastAsia="宋体" w:cs="宋体"/>
                <w:b/>
                <w:sz w:val="21"/>
                <w:szCs w:val="21"/>
              </w:rPr>
            </w:pPr>
            <w:r>
              <w:rPr>
                <w:rFonts w:hint="eastAsia" w:ascii="宋体" w:hAnsi="宋体" w:eastAsia="宋体" w:cs="宋体"/>
                <w:sz w:val="21"/>
                <w:szCs w:val="21"/>
              </w:rPr>
              <w:t>自初审后无变化。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720" w:type="dxa"/>
            <w:vMerge w:val="restart"/>
            <w:textDirection w:val="tbRlV"/>
            <w:vAlign w:val="center"/>
          </w:tcPr>
          <w:p>
            <w:pPr>
              <w:spacing w:line="240" w:lineRule="exact"/>
              <w:ind w:left="113" w:right="113"/>
              <w:jc w:val="center"/>
              <w:rPr>
                <w:rFonts w:hint="eastAsia" w:ascii="宋体" w:hAnsi="宋体" w:eastAsia="宋体" w:cs="宋体"/>
                <w:b/>
                <w:szCs w:val="21"/>
              </w:rPr>
            </w:pPr>
            <w:r>
              <w:rPr>
                <w:rFonts w:hint="eastAsia" w:ascii="宋体" w:hAnsi="宋体" w:eastAsia="宋体" w:cs="宋体"/>
                <w:b/>
                <w:szCs w:val="21"/>
              </w:rPr>
              <w:br w:type="page"/>
            </w:r>
            <w:r>
              <w:rPr>
                <w:rFonts w:hint="eastAsia" w:ascii="宋体" w:hAnsi="宋体" w:eastAsia="宋体" w:cs="宋体"/>
                <w:b/>
                <w:szCs w:val="21"/>
              </w:rPr>
              <w:t>(二)资源评价</w:t>
            </w: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人力资源的简要说明.:</w:t>
            </w:r>
          </w:p>
          <w:p>
            <w:pPr>
              <w:spacing w:line="360" w:lineRule="auto"/>
              <w:rPr>
                <w:rFonts w:hint="eastAsia" w:ascii="宋体" w:hAnsi="宋体" w:eastAsia="宋体" w:cs="宋体"/>
                <w:b/>
                <w:sz w:val="21"/>
                <w:szCs w:val="21"/>
              </w:rPr>
            </w:pPr>
            <w:r>
              <w:rPr>
                <w:rFonts w:hint="eastAsia" w:ascii="宋体" w:hAnsi="宋体" w:eastAsia="宋体" w:cs="宋体"/>
                <w:kern w:val="2"/>
                <w:sz w:val="21"/>
                <w:szCs w:val="21"/>
                <w:lang w:val="en-US" w:eastAsia="zh-CN" w:bidi="ar-SA"/>
              </w:rPr>
              <w:t>编制了人力资源管理程序，制定培训计划，定期组织相关培训，能满足上岗要求。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720" w:type="dxa"/>
            <w:vMerge w:val="continue"/>
            <w:textDirection w:val="tbRlV"/>
            <w:vAlign w:val="center"/>
          </w:tcPr>
          <w:p>
            <w:pPr>
              <w:spacing w:line="240" w:lineRule="exact"/>
              <w:ind w:left="113" w:right="113"/>
              <w:jc w:val="center"/>
              <w:rPr>
                <w:rFonts w:hint="eastAsia" w:ascii="宋体" w:hAnsi="宋体" w:eastAsia="宋体" w:cs="宋体"/>
                <w:b/>
                <w:szCs w:val="21"/>
              </w:rPr>
            </w:pPr>
          </w:p>
        </w:tc>
        <w:tc>
          <w:tcPr>
            <w:tcW w:w="9198" w:type="dxa"/>
          </w:tcPr>
          <w:p>
            <w:pPr>
              <w:spacing w:line="240" w:lineRule="exact"/>
              <w:rPr>
                <w:rFonts w:hint="eastAsia" w:ascii="宋体" w:hAnsi="宋体" w:eastAsia="宋体" w:cs="宋体"/>
                <w:b/>
                <w:sz w:val="21"/>
                <w:szCs w:val="21"/>
              </w:rPr>
            </w:pPr>
            <w:r>
              <w:rPr>
                <w:rFonts w:hint="eastAsia" w:ascii="宋体" w:hAnsi="宋体" w:eastAsia="宋体" w:cs="宋体"/>
                <w:b/>
                <w:sz w:val="21"/>
                <w:szCs w:val="21"/>
              </w:rPr>
              <w:t>设备设施（包括信息系统）、</w:t>
            </w:r>
          </w:p>
          <w:p>
            <w:pPr>
              <w:spacing w:line="240" w:lineRule="exact"/>
              <w:rPr>
                <w:rFonts w:hint="eastAsia" w:ascii="宋体" w:hAnsi="宋体" w:eastAsia="宋体" w:cs="宋体"/>
                <w:b/>
                <w:sz w:val="21"/>
                <w:szCs w:val="21"/>
              </w:rPr>
            </w:pPr>
          </w:p>
          <w:p>
            <w:pPr>
              <w:spacing w:line="240" w:lineRule="exact"/>
              <w:rPr>
                <w:rFonts w:hint="eastAsia" w:ascii="宋体" w:hAnsi="宋体" w:eastAsia="宋体" w:cs="宋体"/>
                <w:b/>
                <w:sz w:val="21"/>
                <w:szCs w:val="21"/>
              </w:rPr>
            </w:pPr>
            <w:r>
              <w:rPr>
                <w:rFonts w:hint="eastAsia" w:ascii="宋体" w:hAnsi="宋体" w:eastAsia="宋体" w:cs="宋体"/>
                <w:sz w:val="21"/>
                <w:szCs w:val="21"/>
              </w:rPr>
              <w:t>主要设备有：电脑、打印机、网络、电话、打包机等设施设备，有库房和办公室能满足要求；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rFonts w:hint="eastAsia" w:ascii="宋体" w:hAnsi="宋体" w:eastAsia="宋体" w:cs="宋体"/>
                <w:b/>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过程运行环境</w:t>
            </w:r>
          </w:p>
          <w:p>
            <w:pPr>
              <w:spacing w:line="360" w:lineRule="auto"/>
              <w:rPr>
                <w:rFonts w:hint="eastAsia" w:ascii="宋体" w:hAnsi="宋体" w:eastAsia="宋体" w:cs="宋体"/>
                <w:b/>
                <w:sz w:val="21"/>
                <w:szCs w:val="21"/>
              </w:rPr>
            </w:pPr>
            <w:r>
              <w:rPr>
                <w:rFonts w:hint="eastAsia" w:ascii="宋体" w:hAnsi="宋体" w:eastAsia="宋体" w:cs="宋体"/>
                <w:sz w:val="21"/>
                <w:szCs w:val="21"/>
              </w:rPr>
              <w:t>产品销售对环境没有特殊要求，空间较宽敞、光线较明亮，销售服务和办公环境干净、整洁。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720" w:type="dxa"/>
            <w:vMerge w:val="continue"/>
            <w:textDirection w:val="tbRlV"/>
            <w:vAlign w:val="center"/>
          </w:tcPr>
          <w:p>
            <w:pPr>
              <w:spacing w:line="240" w:lineRule="exact"/>
              <w:ind w:left="113" w:right="113"/>
              <w:jc w:val="center"/>
              <w:rPr>
                <w:rFonts w:hint="eastAsia" w:ascii="宋体" w:hAnsi="宋体" w:eastAsia="宋体" w:cs="宋体"/>
                <w:b/>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监视和测量资源</w:t>
            </w:r>
          </w:p>
          <w:p>
            <w:pPr>
              <w:pStyle w:val="14"/>
              <w:spacing w:line="360" w:lineRule="auto"/>
              <w:rPr>
                <w:rFonts w:hint="eastAsia" w:ascii="宋体" w:hAnsi="宋体" w:eastAsia="宋体" w:cs="宋体"/>
              </w:rPr>
            </w:pPr>
            <w:r>
              <w:rPr>
                <w:rFonts w:hint="eastAsia" w:ascii="宋体" w:hAnsi="宋体" w:eastAsia="宋体" w:cs="宋体"/>
                <w:sz w:val="21"/>
                <w:szCs w:val="21"/>
              </w:rPr>
              <w:t>采取查验产品</w:t>
            </w:r>
            <w:r>
              <w:rPr>
                <w:rFonts w:hint="eastAsia" w:ascii="宋体" w:hAnsi="宋体" w:eastAsia="宋体" w:cs="宋体"/>
                <w:sz w:val="21"/>
                <w:szCs w:val="21"/>
                <w:lang w:val="en-US" w:eastAsia="zh-CN"/>
              </w:rPr>
              <w:t>数量</w:t>
            </w:r>
            <w:r>
              <w:rPr>
                <w:rFonts w:hint="eastAsia" w:ascii="宋体" w:hAnsi="宋体" w:eastAsia="宋体" w:cs="宋体"/>
                <w:sz w:val="21"/>
                <w:szCs w:val="21"/>
              </w:rPr>
              <w:t>、包装等方式，无需监视和测量资源。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rFonts w:hint="eastAsia" w:ascii="宋体" w:hAnsi="宋体" w:eastAsia="宋体" w:cs="宋体"/>
                <w:b/>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知识</w:t>
            </w:r>
          </w:p>
          <w:p>
            <w:pPr>
              <w:spacing w:line="360" w:lineRule="auto"/>
              <w:ind w:firstLine="420" w:firstLineChars="200"/>
              <w:rPr>
                <w:rFonts w:hint="eastAsia" w:ascii="宋体" w:hAnsi="宋体" w:eastAsia="宋体" w:cs="宋体"/>
                <w:b/>
                <w:sz w:val="21"/>
                <w:szCs w:val="21"/>
                <w:lang w:val="en-US" w:eastAsia="zh-CN"/>
              </w:rPr>
            </w:pPr>
            <w:r>
              <w:rPr>
                <w:rFonts w:hint="eastAsia" w:ascii="宋体" w:hAnsi="宋体" w:eastAsia="宋体" w:cs="宋体"/>
                <w:sz w:val="21"/>
                <w:szCs w:val="21"/>
              </w:rPr>
              <w:t>企业运行过程所需的知识从内部来源获取的有：公司销售服务人员有以往多年工作经验，公司老员工负有对新员工进行的传帮带经验传授的职责。外部来源获取有：</w:t>
            </w:r>
            <w:r>
              <w:rPr>
                <w:rFonts w:hint="eastAsia" w:ascii="宋体" w:hAnsi="宋体" w:eastAsia="宋体" w:cs="宋体"/>
                <w:sz w:val="21"/>
                <w:szCs w:val="21"/>
                <w:lang w:val="en-US" w:eastAsia="zh-CN"/>
              </w:rPr>
              <w:t>网上</w:t>
            </w:r>
            <w:r>
              <w:rPr>
                <w:rFonts w:hint="eastAsia" w:ascii="宋体" w:hAnsi="宋体" w:eastAsia="宋体" w:cs="宋体"/>
                <w:sz w:val="21"/>
                <w:szCs w:val="21"/>
              </w:rPr>
              <w:t>知识及</w:t>
            </w:r>
            <w:r>
              <w:rPr>
                <w:rFonts w:hint="eastAsia" w:ascii="宋体" w:hAnsi="宋体" w:eastAsia="宋体" w:cs="宋体"/>
                <w:sz w:val="21"/>
                <w:szCs w:val="21"/>
                <w:lang w:val="en-US" w:eastAsia="zh-CN"/>
              </w:rPr>
              <w:t>专业人员</w:t>
            </w:r>
            <w:r>
              <w:rPr>
                <w:rFonts w:hint="eastAsia" w:ascii="宋体" w:hAnsi="宋体" w:eastAsia="宋体" w:cs="宋体"/>
                <w:sz w:val="21"/>
                <w:szCs w:val="21"/>
              </w:rPr>
              <w:t>所实施的培训；人员的专业经历、外部供方的产品知识及相关标准、社会知识等</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20" w:type="dxa"/>
            <w:vMerge w:val="continue"/>
            <w:textDirection w:val="tbRlV"/>
            <w:vAlign w:val="center"/>
          </w:tcPr>
          <w:p>
            <w:pPr>
              <w:spacing w:line="240" w:lineRule="exact"/>
              <w:ind w:left="113" w:right="113"/>
              <w:jc w:val="center"/>
              <w:rPr>
                <w:rFonts w:hint="eastAsia" w:ascii="宋体" w:hAnsi="宋体" w:eastAsia="宋体" w:cs="宋体"/>
                <w:b/>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环保设施：</w:t>
            </w:r>
          </w:p>
          <w:p>
            <w:pPr>
              <w:pStyle w:val="14"/>
              <w:spacing w:line="360" w:lineRule="auto"/>
              <w:ind w:left="0" w:leftChars="0" w:firstLine="210" w:firstLineChars="100"/>
              <w:rPr>
                <w:rFonts w:hint="eastAsia" w:ascii="宋体" w:hAnsi="宋体" w:eastAsia="宋体" w:cs="宋体"/>
              </w:rPr>
            </w:pPr>
            <w:r>
              <w:rPr>
                <w:rFonts w:hint="eastAsia" w:ascii="宋体" w:hAnsi="宋体" w:eastAsia="宋体" w:cs="宋体"/>
                <w:kern w:val="2"/>
                <w:sz w:val="21"/>
                <w:szCs w:val="21"/>
                <w:lang w:val="en-US" w:eastAsia="zh-CN" w:bidi="ar-SA"/>
              </w:rPr>
              <w:t>分类垃圾桶。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720" w:type="dxa"/>
            <w:vMerge w:val="continue"/>
            <w:textDirection w:val="tbRlV"/>
            <w:vAlign w:val="center"/>
          </w:tcPr>
          <w:p>
            <w:pPr>
              <w:spacing w:line="240" w:lineRule="exact"/>
              <w:ind w:left="113" w:right="113"/>
              <w:jc w:val="center"/>
              <w:rPr>
                <w:rFonts w:hint="eastAsia" w:ascii="宋体" w:hAnsi="宋体" w:eastAsia="宋体" w:cs="宋体"/>
                <w:b/>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职业健康安全设施：</w:t>
            </w:r>
          </w:p>
          <w:p>
            <w:pPr>
              <w:pStyle w:val="14"/>
              <w:spacing w:line="360" w:lineRule="auto"/>
              <w:rPr>
                <w:rFonts w:hint="eastAsia" w:ascii="宋体" w:hAnsi="宋体" w:eastAsia="宋体" w:cs="宋体"/>
              </w:rPr>
            </w:pPr>
            <w:r>
              <w:rPr>
                <w:rFonts w:hint="eastAsia" w:ascii="宋体" w:hAnsi="宋体" w:eastAsia="宋体" w:cs="宋体"/>
                <w:kern w:val="2"/>
                <w:sz w:val="21"/>
                <w:szCs w:val="21"/>
                <w:lang w:val="en-US" w:eastAsia="zh-CN" w:bidi="ar-SA"/>
              </w:rPr>
              <w:t>配备灭火器。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720" w:type="dxa"/>
            <w:vMerge w:val="restart"/>
            <w:textDirection w:val="tbRlV"/>
            <w:vAlign w:val="center"/>
          </w:tcPr>
          <w:p>
            <w:pPr>
              <w:spacing w:line="240" w:lineRule="exact"/>
              <w:ind w:left="113" w:right="113"/>
              <w:jc w:val="center"/>
              <w:rPr>
                <w:rFonts w:hint="eastAsia" w:ascii="宋体" w:hAnsi="宋体" w:eastAsia="宋体" w:cs="宋体"/>
                <w:b/>
                <w:szCs w:val="21"/>
              </w:rPr>
            </w:pPr>
            <w:r>
              <w:rPr>
                <w:rFonts w:hint="eastAsia" w:ascii="宋体" w:hAnsi="宋体" w:eastAsia="宋体" w:cs="宋体"/>
                <w:b/>
                <w:szCs w:val="21"/>
              </w:rPr>
              <w:t>(三)体系运行情况</w:t>
            </w: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1. 针对方针的管理职责评审</w:t>
            </w:r>
          </w:p>
          <w:p>
            <w:pPr>
              <w:spacing w:line="360" w:lineRule="auto"/>
              <w:ind w:left="1"/>
              <w:rPr>
                <w:rFonts w:hint="eastAsia" w:ascii="宋体" w:hAnsi="宋体" w:eastAsia="宋体" w:cs="宋体"/>
                <w:b/>
                <w:sz w:val="21"/>
                <w:szCs w:val="21"/>
              </w:rPr>
            </w:pPr>
            <w:r>
              <w:rPr>
                <w:rFonts w:hint="eastAsia" w:ascii="宋体" w:hAnsi="宋体" w:eastAsia="宋体" w:cs="宋体"/>
                <w:b/>
                <w:sz w:val="21"/>
                <w:szCs w:val="21"/>
              </w:rPr>
              <w:t>（包括针对组织宗旨，制定相关管理方针政策、确保方针为员工理解并在运营中实施，监视方针的实施并评审方针的适宜性）</w:t>
            </w:r>
          </w:p>
          <w:p>
            <w:pPr>
              <w:spacing w:line="360" w:lineRule="auto"/>
              <w:ind w:left="1" w:firstLine="210" w:firstLineChars="100"/>
              <w:rPr>
                <w:rFonts w:hint="eastAsia" w:ascii="宋体" w:hAnsi="宋体" w:eastAsia="宋体" w:cs="宋体"/>
                <w:b/>
                <w:sz w:val="21"/>
                <w:szCs w:val="21"/>
              </w:rPr>
            </w:pPr>
            <w:r>
              <w:rPr>
                <w:rFonts w:hint="eastAsia" w:ascii="宋体" w:hAnsi="宋体" w:eastAsia="宋体" w:cs="宋体"/>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8" w:hRule="atLeast"/>
          <w:jc w:val="center"/>
        </w:trPr>
        <w:tc>
          <w:tcPr>
            <w:tcW w:w="720" w:type="dxa"/>
            <w:vMerge w:val="continue"/>
            <w:vAlign w:val="center"/>
          </w:tcPr>
          <w:p>
            <w:pPr>
              <w:spacing w:line="240" w:lineRule="exact"/>
              <w:jc w:val="center"/>
              <w:rPr>
                <w:rFonts w:hint="eastAsia" w:ascii="宋体" w:hAnsi="宋体" w:eastAsia="宋体" w:cs="宋体"/>
                <w:b/>
                <w:szCs w:val="21"/>
              </w:rPr>
            </w:pPr>
          </w:p>
        </w:tc>
        <w:tc>
          <w:tcPr>
            <w:tcW w:w="9198" w:type="dxa"/>
          </w:tcPr>
          <w:p>
            <w:pPr>
              <w:spacing w:line="360" w:lineRule="auto"/>
              <w:ind w:left="167" w:hanging="167" w:hangingChars="79"/>
              <w:rPr>
                <w:rFonts w:hint="eastAsia" w:ascii="宋体" w:hAnsi="宋体" w:eastAsia="宋体" w:cs="宋体"/>
                <w:b/>
                <w:sz w:val="21"/>
                <w:szCs w:val="21"/>
                <w:lang w:val="en-US" w:eastAsia="zh-CN"/>
              </w:rPr>
            </w:pPr>
            <w:r>
              <w:rPr>
                <w:rFonts w:hint="eastAsia" w:ascii="宋体" w:hAnsi="宋体" w:eastAsia="宋体" w:cs="宋体"/>
                <w:b/>
                <w:sz w:val="21"/>
                <w:szCs w:val="21"/>
              </w:rPr>
              <w:t>2. 组织内部沟通的充分性与效果；（OHSMS员工参与风险管理/健康安全事务的关心和影响力；组织对外联络关注顾客的感受情况、信息交流包括通报相关方的情况等）</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内部沟通的情况：</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内部沟通方式：</w:t>
            </w:r>
            <w:r>
              <w:rPr>
                <w:rFonts w:hint="eastAsia" w:ascii="宋体" w:hAnsi="宋体" w:eastAsia="宋体" w:cs="宋体"/>
                <w:sz w:val="21"/>
                <w:szCs w:val="21"/>
              </w:rPr>
              <w:t>培训、会议；</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内部沟通的效果：</w:t>
            </w:r>
            <w:r>
              <w:rPr>
                <w:rFonts w:hint="eastAsia" w:ascii="宋体" w:hAnsi="宋体" w:eastAsia="宋体" w:cs="宋体"/>
                <w:sz w:val="21"/>
                <w:szCs w:val="21"/>
              </w:rPr>
              <w:t>沟通畅通；</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组织对外联络，关注顾客的感受情况（QMS）：</w:t>
            </w:r>
            <w:r>
              <w:rPr>
                <w:rFonts w:hint="eastAsia" w:ascii="宋体" w:hAnsi="宋体" w:eastAsia="宋体" w:cs="宋体"/>
                <w:sz w:val="21"/>
                <w:szCs w:val="21"/>
              </w:rPr>
              <w:t>定期组织顾客满意度调查和走访。</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外部信息的接收、成文并答复的情况（E、S填写）：</w:t>
            </w:r>
            <w:r>
              <w:rPr>
                <w:rFonts w:hint="eastAsia" w:ascii="宋体" w:hAnsi="宋体" w:eastAsia="宋体" w:cs="宋体"/>
                <w:sz w:val="21"/>
                <w:szCs w:val="21"/>
              </w:rPr>
              <w:t>参加相关部门组织的会议，接收相关部门下达的通知并在公司内部沟通传达。</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重要环境因素信息对外交流情况（EMS填写）：</w:t>
            </w:r>
            <w:r>
              <w:rPr>
                <w:rFonts w:hint="eastAsia" w:ascii="宋体" w:hAnsi="宋体" w:eastAsia="宋体" w:cs="宋体"/>
                <w:sz w:val="21"/>
                <w:szCs w:val="21"/>
              </w:rPr>
              <w:t>对供方进行了环保告知。</w:t>
            </w:r>
          </w:p>
          <w:p>
            <w:pPr>
              <w:spacing w:line="360" w:lineRule="auto"/>
              <w:rPr>
                <w:rFonts w:hint="eastAsia" w:ascii="宋体" w:hAnsi="宋体" w:eastAsia="宋体" w:cs="宋体"/>
                <w:sz w:val="21"/>
                <w:szCs w:val="21"/>
              </w:rPr>
            </w:pPr>
            <w:r>
              <w:rPr>
                <w:rFonts w:hint="eastAsia" w:ascii="宋体" w:hAnsi="宋体" w:eastAsia="宋体" w:cs="宋体"/>
                <w:b/>
                <w:color w:val="000000" w:themeColor="text1"/>
                <w:sz w:val="21"/>
                <w:szCs w:val="21"/>
              </w:rPr>
              <w:t>OHSMS事务代表协商和交流的情况（OHSMS填写）：</w:t>
            </w:r>
            <w:r>
              <w:rPr>
                <w:rFonts w:hint="eastAsia" w:ascii="宋体" w:hAnsi="宋体" w:eastAsia="宋体" w:cs="宋体"/>
                <w:sz w:val="21"/>
                <w:szCs w:val="21"/>
              </w:rPr>
              <w:t>公司经选举确定了员工代表是乔文帅，</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pPr>
              <w:spacing w:line="360" w:lineRule="auto"/>
              <w:rPr>
                <w:rFonts w:hint="eastAsia" w:ascii="宋体" w:hAnsi="宋体" w:eastAsia="宋体" w:cs="宋体"/>
                <w:b/>
                <w:sz w:val="21"/>
                <w:szCs w:val="21"/>
              </w:rPr>
            </w:pPr>
            <w:r>
              <w:rPr>
                <w:rFonts w:hint="eastAsia" w:ascii="宋体" w:hAnsi="宋体" w:eastAsia="宋体" w:cs="宋体"/>
                <w:b/>
                <w:color w:val="000000" w:themeColor="text1"/>
                <w:sz w:val="21"/>
                <w:szCs w:val="21"/>
              </w:rPr>
              <w:t>与相关方协商的情况（OHSMS填写）：</w:t>
            </w:r>
            <w:r>
              <w:rPr>
                <w:rFonts w:hint="eastAsia" w:ascii="宋体" w:hAnsi="宋体" w:eastAsia="宋体" w:cs="宋体"/>
                <w:sz w:val="21"/>
                <w:szCs w:val="21"/>
              </w:rPr>
              <w:t>对供方进行了安全告知。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rFonts w:hint="eastAsia" w:ascii="宋体" w:hAnsi="宋体" w:eastAsia="宋体" w:cs="宋体"/>
                <w:b/>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3.  QMS /</w:t>
            </w:r>
            <w:r>
              <w:rPr>
                <w:rFonts w:hint="eastAsia" w:ascii="宋体" w:hAnsi="宋体" w:eastAsia="宋体" w:cs="宋体"/>
                <w:b/>
                <w:szCs w:val="21"/>
              </w:rPr>
              <w:t>□50430</w:t>
            </w:r>
            <w:r>
              <w:rPr>
                <w:rFonts w:hint="eastAsia" w:ascii="宋体" w:hAnsi="宋体" w:eastAsia="宋体" w:cs="宋体"/>
                <w:b/>
                <w:sz w:val="21"/>
                <w:szCs w:val="21"/>
              </w:rPr>
              <w:t>组织对重要过程实施控制的结果</w:t>
            </w:r>
          </w:p>
          <w:p>
            <w:pPr>
              <w:spacing w:line="360" w:lineRule="auto"/>
              <w:ind w:left="206" w:leftChars="42" w:hanging="105" w:hangingChars="50"/>
              <w:rPr>
                <w:rFonts w:hint="eastAsia" w:ascii="宋体" w:hAnsi="宋体" w:eastAsia="宋体" w:cs="宋体"/>
                <w:b/>
                <w:sz w:val="21"/>
                <w:szCs w:val="21"/>
              </w:rPr>
            </w:pPr>
            <w:r>
              <w:rPr>
                <w:rFonts w:hint="eastAsia" w:ascii="宋体" w:hAnsi="宋体" w:eastAsia="宋体" w:cs="宋体"/>
                <w:b/>
                <w:sz w:val="21"/>
                <w:szCs w:val="21"/>
              </w:rPr>
              <w:t>(包括对QMS关键工序(过程)、特殊过程控制;评价组织对过程实施控制情况/)</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公司主要从事教</w:t>
            </w:r>
            <w:r>
              <w:rPr>
                <w:rFonts w:hint="eastAsia" w:ascii="宋体" w:hAnsi="宋体" w:eastAsia="宋体" w:cs="宋体"/>
                <w:sz w:val="20"/>
              </w:rPr>
              <w:t>国内出版物批发、零售。</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销售流程为：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招投标及业务洽谈→合同评审→采购→检验→入库→交付；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特殊过程是销售服务，提供特殊过程的《特殊过程确认记录》，对销售过程进行了过程确认。</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公司依据客户订单，下达采购计划，进行销售服务、质量及管理工作协调。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通过采购产品检验、销售过程检验等对产品质量、销售服务质量等进行监控。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为销售服务过程提供了适宜的设备及环境，配备了胜任的人员。</w:t>
            </w:r>
          </w:p>
          <w:p>
            <w:pPr>
              <w:spacing w:line="360" w:lineRule="auto"/>
              <w:rPr>
                <w:rFonts w:hint="eastAsia" w:ascii="宋体" w:hAnsi="宋体" w:eastAsia="宋体" w:cs="宋体"/>
                <w:b/>
                <w:sz w:val="21"/>
                <w:szCs w:val="21"/>
              </w:rPr>
            </w:pPr>
            <w:r>
              <w:rPr>
                <w:rFonts w:hint="eastAsia" w:ascii="宋体" w:hAnsi="宋体" w:eastAsia="宋体" w:cs="宋体"/>
                <w:sz w:val="21"/>
                <w:szCs w:val="21"/>
              </w:rPr>
              <w:t>对供方进行调查评价。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jc w:val="center"/>
        </w:trPr>
        <w:tc>
          <w:tcPr>
            <w:tcW w:w="720" w:type="dxa"/>
            <w:vMerge w:val="continue"/>
            <w:vAlign w:val="center"/>
          </w:tcPr>
          <w:p>
            <w:pPr>
              <w:spacing w:line="240" w:lineRule="exact"/>
              <w:jc w:val="center"/>
              <w:rPr>
                <w:rFonts w:hint="eastAsia" w:ascii="宋体" w:hAnsi="宋体" w:eastAsia="宋体" w:cs="宋体"/>
                <w:b/>
                <w:szCs w:val="21"/>
              </w:rPr>
            </w:pPr>
          </w:p>
        </w:tc>
        <w:tc>
          <w:tcPr>
            <w:tcW w:w="9198" w:type="dxa"/>
          </w:tcPr>
          <w:p>
            <w:pPr>
              <w:spacing w:line="360" w:lineRule="auto"/>
              <w:jc w:val="left"/>
              <w:rPr>
                <w:rFonts w:hint="eastAsia" w:ascii="宋体" w:hAnsi="宋体" w:eastAsia="宋体" w:cs="宋体"/>
                <w:b/>
                <w:sz w:val="21"/>
                <w:szCs w:val="21"/>
              </w:rPr>
            </w:pPr>
            <w:r>
              <w:rPr>
                <w:rFonts w:hint="eastAsia" w:ascii="宋体" w:hAnsi="宋体" w:eastAsia="宋体" w:cs="宋体"/>
                <w:b/>
                <w:sz w:val="21"/>
                <w:szCs w:val="21"/>
              </w:rPr>
              <w:t>4.QMS/</w:t>
            </w:r>
            <w:r>
              <w:rPr>
                <w:rFonts w:hint="eastAsia" w:ascii="宋体" w:hAnsi="宋体" w:eastAsia="宋体" w:cs="宋体"/>
                <w:b/>
                <w:szCs w:val="21"/>
              </w:rPr>
              <w:t>□50430</w:t>
            </w:r>
            <w:r>
              <w:rPr>
                <w:rFonts w:hint="eastAsia" w:ascii="宋体" w:hAnsi="宋体" w:eastAsia="宋体" w:cs="宋体"/>
                <w:b/>
                <w:sz w:val="21"/>
                <w:szCs w:val="21"/>
              </w:rPr>
              <w:t>产品/服务的标准、协议/规范的有效性以及产品/服务质量符合要求，向顾客稳定提供合格产品的情况；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企业参考国家行业主要有：《出版物市场管理规定》</w:t>
            </w:r>
            <w:r>
              <w:rPr>
                <w:rFonts w:hint="eastAsia" w:ascii="宋体" w:hAnsi="宋体" w:eastAsia="宋体" w:cs="宋体"/>
                <w:sz w:val="21"/>
                <w:szCs w:val="21"/>
                <w:lang w:eastAsia="zh-CN"/>
              </w:rPr>
              <w:t>、</w:t>
            </w:r>
            <w:r>
              <w:rPr>
                <w:rFonts w:hint="eastAsia" w:ascii="宋体" w:hAnsi="宋体" w:eastAsia="宋体" w:cs="宋体"/>
                <w:sz w:val="21"/>
                <w:szCs w:val="21"/>
              </w:rPr>
              <w:t>《出版管理条例》</w:t>
            </w:r>
            <w:r>
              <w:rPr>
                <w:rFonts w:hint="eastAsia" w:ascii="宋体" w:hAnsi="宋体" w:eastAsia="宋体" w:cs="宋体"/>
                <w:sz w:val="21"/>
                <w:szCs w:val="21"/>
                <w:lang w:eastAsia="zh-CN"/>
              </w:rPr>
              <w:t>、</w:t>
            </w:r>
            <w:r>
              <w:rPr>
                <w:rFonts w:hint="eastAsia" w:ascii="宋体" w:hAnsi="宋体" w:eastAsia="宋体" w:cs="宋体"/>
                <w:sz w:val="21"/>
                <w:szCs w:val="21"/>
              </w:rPr>
              <w:t>（CY/T 2-1999）《印刷产品质量评价和分等导则》和客户要求。</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提供了</w:t>
            </w:r>
            <w:r>
              <w:rPr>
                <w:rFonts w:hint="eastAsia" w:ascii="宋体" w:hAnsi="宋体" w:eastAsia="宋体" w:cs="宋体"/>
                <w:sz w:val="21"/>
                <w:szCs w:val="21"/>
                <w:lang w:val="en-US" w:eastAsia="zh-CN"/>
              </w:rPr>
              <w:t>采购图书目录、出版社发货清单</w:t>
            </w:r>
            <w:r>
              <w:rPr>
                <w:rFonts w:hint="eastAsia" w:ascii="宋体" w:hAnsi="宋体" w:eastAsia="宋体" w:cs="宋体"/>
                <w:sz w:val="21"/>
                <w:szCs w:val="21"/>
              </w:rPr>
              <w:t>，</w:t>
            </w:r>
            <w:r>
              <w:rPr>
                <w:rFonts w:hint="eastAsia" w:ascii="宋体" w:hAnsi="宋体" w:eastAsia="宋体" w:cs="宋体"/>
                <w:sz w:val="21"/>
                <w:szCs w:val="21"/>
                <w:lang w:val="en-US" w:eastAsia="zh-CN"/>
              </w:rPr>
              <w:t>顾客接收单</w:t>
            </w:r>
            <w:r>
              <w:rPr>
                <w:rFonts w:hint="eastAsia" w:ascii="宋体" w:hAnsi="宋体" w:eastAsia="宋体" w:cs="宋体"/>
                <w:sz w:val="21"/>
                <w:szCs w:val="21"/>
              </w:rPr>
              <w:t>，满足顾客要求。</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(应说明相关证据)：</w:t>
            </w:r>
          </w:p>
          <w:p>
            <w:pPr>
              <w:spacing w:line="240" w:lineRule="exac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720" w:type="dxa"/>
            <w:vMerge w:val="continue"/>
            <w:vAlign w:val="center"/>
          </w:tcPr>
          <w:p>
            <w:pPr>
              <w:spacing w:line="240" w:lineRule="exact"/>
              <w:jc w:val="center"/>
              <w:rPr>
                <w:rFonts w:hint="eastAsia" w:ascii="宋体" w:hAnsi="宋体" w:eastAsia="宋体" w:cs="宋体"/>
                <w:b/>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5 .QMS/</w:t>
            </w:r>
            <w:r>
              <w:rPr>
                <w:rFonts w:hint="eastAsia" w:ascii="宋体" w:hAnsi="宋体" w:eastAsia="宋体" w:cs="宋体"/>
                <w:b/>
                <w:szCs w:val="21"/>
              </w:rPr>
              <w:t>□50430</w:t>
            </w:r>
            <w:r>
              <w:rPr>
                <w:rFonts w:hint="eastAsia" w:ascii="宋体" w:hAnsi="宋体" w:eastAsia="宋体" w:cs="宋体"/>
                <w:b/>
                <w:sz w:val="21"/>
                <w:szCs w:val="21"/>
              </w:rPr>
              <w:t>国家/地方技术监督部门监测（检测、委托检测、定期监测、型式试验等）、抽查结果</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无</w:t>
            </w:r>
          </w:p>
          <w:p>
            <w:pPr>
              <w:spacing w:line="300" w:lineRule="exact"/>
              <w:jc w:val="lef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720" w:type="dxa"/>
            <w:vMerge w:val="continue"/>
            <w:vAlign w:val="center"/>
          </w:tcPr>
          <w:p>
            <w:pPr>
              <w:spacing w:line="240" w:lineRule="exact"/>
              <w:jc w:val="center"/>
              <w:rPr>
                <w:rFonts w:hint="eastAsia" w:ascii="宋体" w:hAnsi="宋体" w:eastAsia="宋体" w:cs="宋体"/>
                <w:b/>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6. 不合格品/项的识别、控制;</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color w:val="000000"/>
                <w:sz w:val="21"/>
                <w:szCs w:val="21"/>
              </w:rPr>
              <w:t>编制了不合格管理程序，对不合格品进行了有效控制。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720" w:type="dxa"/>
            <w:vMerge w:val="continue"/>
            <w:vAlign w:val="center"/>
          </w:tcPr>
          <w:p>
            <w:pPr>
              <w:spacing w:line="240" w:lineRule="exact"/>
              <w:jc w:val="center"/>
              <w:rPr>
                <w:rFonts w:hint="eastAsia" w:ascii="宋体" w:hAnsi="宋体" w:eastAsia="宋体" w:cs="宋体"/>
                <w:b/>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7. EMS组织对重要环境因素实施控制的结果</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（EMS对重要环境因素控制，重大环境因素对周边环境产生的影响及控制;对相关方施加影响）</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1、废水管控：企业无工业废水，生活废水流入市政管网。</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2、废气管控：无废气排放。</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3、噪声管控：无噪声排放。</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4、固废管控：办公废旧硒鼓/墨盒，由供应商回收。生活垃圾由当地环卫所处理，公司缴纳处理费。</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能源资源管控：注意节水、节电，人走关闭设备和照明开关，现场未发现有漏水和浪费电能的现象。</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6、产品生命周期的环境管控：公司采购</w:t>
            </w:r>
            <w:r>
              <w:rPr>
                <w:rFonts w:hint="eastAsia" w:ascii="宋体" w:hAnsi="宋体" w:eastAsia="宋体" w:cs="宋体"/>
                <w:sz w:val="21"/>
                <w:szCs w:val="21"/>
                <w:lang w:val="en-US" w:eastAsia="zh-CN"/>
              </w:rPr>
              <w:t>书</w:t>
            </w:r>
            <w:r>
              <w:rPr>
                <w:rFonts w:hint="eastAsia" w:ascii="宋体" w:hAnsi="宋体" w:eastAsia="宋体" w:cs="宋体"/>
                <w:sz w:val="21"/>
                <w:szCs w:val="21"/>
              </w:rPr>
              <w:t>时</w:t>
            </w:r>
            <w:r>
              <w:rPr>
                <w:rFonts w:hint="eastAsia" w:ascii="宋体" w:hAnsi="宋体" w:eastAsia="宋体" w:cs="宋体"/>
                <w:sz w:val="21"/>
                <w:szCs w:val="21"/>
                <w:lang w:val="en-US" w:eastAsia="zh-CN"/>
              </w:rPr>
              <w:t>均是重复使用商品，纸张</w:t>
            </w:r>
            <w:r>
              <w:rPr>
                <w:rFonts w:hint="eastAsia" w:ascii="宋体" w:hAnsi="宋体" w:eastAsia="宋体" w:cs="宋体"/>
                <w:sz w:val="21"/>
                <w:szCs w:val="21"/>
              </w:rPr>
              <w:t>还可以回收再利用。</w:t>
            </w:r>
          </w:p>
          <w:p>
            <w:pPr>
              <w:spacing w:line="360" w:lineRule="auto"/>
              <w:rPr>
                <w:rFonts w:hint="eastAsia" w:ascii="宋体" w:hAnsi="宋体" w:eastAsia="宋体" w:cs="宋体"/>
                <w:b/>
                <w:sz w:val="21"/>
                <w:szCs w:val="21"/>
              </w:rPr>
            </w:pPr>
            <w:r>
              <w:rPr>
                <w:rFonts w:hint="eastAsia" w:ascii="宋体" w:hAnsi="宋体" w:eastAsia="宋体" w:cs="宋体"/>
                <w:sz w:val="21"/>
                <w:szCs w:val="21"/>
              </w:rPr>
              <w:t>7、对相关方进行了环保要求告知。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rFonts w:hint="eastAsia" w:ascii="宋体" w:hAnsi="宋体" w:eastAsia="宋体" w:cs="宋体"/>
                <w:b/>
                <w:szCs w:val="21"/>
              </w:rPr>
            </w:pPr>
          </w:p>
        </w:tc>
        <w:tc>
          <w:tcPr>
            <w:tcW w:w="9198" w:type="dxa"/>
          </w:tcPr>
          <w:p>
            <w:pPr>
              <w:numPr>
                <w:ilvl w:val="0"/>
                <w:numId w:val="5"/>
              </w:numPr>
              <w:spacing w:line="360" w:lineRule="auto"/>
              <w:ind w:firstLine="422" w:firstLineChars="200"/>
              <w:jc w:val="left"/>
              <w:rPr>
                <w:rFonts w:hint="eastAsia" w:ascii="宋体" w:hAnsi="宋体" w:eastAsia="宋体" w:cs="宋体"/>
                <w:b/>
                <w:sz w:val="21"/>
                <w:szCs w:val="21"/>
              </w:rPr>
            </w:pPr>
            <w:r>
              <w:rPr>
                <w:rFonts w:hint="eastAsia" w:ascii="宋体" w:hAnsi="宋体" w:eastAsia="宋体" w:cs="宋体"/>
                <w:b/>
                <w:sz w:val="21"/>
                <w:szCs w:val="21"/>
              </w:rPr>
              <w:t>OHSMS组织对不可接受风险实施控制的结果</w:t>
            </w:r>
          </w:p>
          <w:p>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1、潜在火灾管控：配备灭火器。</w:t>
            </w:r>
          </w:p>
          <w:p>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2、安全防护：公司给员工发放手套、口罩、工作服等劳保用品，现场电线布线合理，漏电保护器状态良好。</w:t>
            </w:r>
          </w:p>
          <w:p>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3、为主要长期员工上社保、工伤保险。</w:t>
            </w:r>
          </w:p>
          <w:p>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4、为环境和职业健康安全管理体系运行提供了财务支持。</w:t>
            </w:r>
          </w:p>
          <w:p>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5、员工饮用水为纯净水通过饮水机饮用。</w:t>
            </w:r>
          </w:p>
          <w:p>
            <w:pPr>
              <w:spacing w:line="240" w:lineRule="exact"/>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rFonts w:hint="eastAsia" w:ascii="宋体" w:hAnsi="宋体" w:eastAsia="宋体" w:cs="宋体"/>
                <w:b/>
                <w:szCs w:val="21"/>
              </w:rPr>
            </w:pPr>
          </w:p>
        </w:tc>
        <w:tc>
          <w:tcPr>
            <w:tcW w:w="9198" w:type="dxa"/>
          </w:tcPr>
          <w:p>
            <w:pPr>
              <w:numPr>
                <w:ilvl w:val="0"/>
                <w:numId w:val="0"/>
              </w:numPr>
              <w:spacing w:line="360" w:lineRule="auto"/>
              <w:jc w:val="left"/>
              <w:rPr>
                <w:rFonts w:hint="eastAsia" w:ascii="宋体" w:hAnsi="宋体" w:eastAsia="宋体" w:cs="宋体"/>
                <w:b/>
                <w:sz w:val="21"/>
                <w:szCs w:val="21"/>
              </w:rPr>
            </w:pPr>
            <w:r>
              <w:rPr>
                <w:rFonts w:hint="eastAsia" w:ascii="宋体" w:hAnsi="宋体" w:eastAsia="宋体" w:cs="宋体"/>
                <w:b/>
                <w:sz w:val="21"/>
                <w:szCs w:val="21"/>
              </w:rPr>
              <w:t xml:space="preserve">9. 应急准备与相应活动的演练及对预案可行性的评价(当有规定时) </w:t>
            </w:r>
          </w:p>
          <w:p>
            <w:pPr>
              <w:spacing w:line="360" w:lineRule="auto"/>
              <w:ind w:firstLine="420" w:firstLineChars="200"/>
              <w:rPr>
                <w:rFonts w:hint="eastAsia" w:ascii="宋体" w:hAnsi="宋体" w:eastAsia="宋体" w:cs="宋体"/>
              </w:rPr>
            </w:pPr>
            <w:r>
              <w:rPr>
                <w:rFonts w:hint="eastAsia" w:ascii="宋体" w:hAnsi="宋体" w:eastAsia="宋体" w:cs="宋体"/>
                <w:sz w:val="21"/>
                <w:szCs w:val="21"/>
              </w:rPr>
              <w:t>制定了火灾、触电、人身伤害等应急预案，查公司2020年6月23日进行了火灾应急预案演练</w:t>
            </w:r>
            <w:r>
              <w:rPr>
                <w:rFonts w:hint="eastAsia" w:ascii="宋体" w:hAnsi="宋体" w:eastAsia="宋体" w:cs="宋体"/>
                <w:sz w:val="21"/>
                <w:szCs w:val="21"/>
                <w:lang w:eastAsia="zh-CN"/>
              </w:rPr>
              <w:t>，</w:t>
            </w:r>
            <w:r>
              <w:rPr>
                <w:rFonts w:hint="eastAsia" w:ascii="宋体" w:hAnsi="宋体" w:eastAsia="宋体" w:cs="宋体"/>
                <w:sz w:val="21"/>
                <w:szCs w:val="21"/>
              </w:rPr>
              <w:t>对预案可行性进行了评价</w:t>
            </w:r>
            <w:r>
              <w:rPr>
                <w:rFonts w:hint="eastAsia" w:ascii="宋体" w:hAnsi="宋体" w:eastAsia="宋体" w:cs="宋体"/>
                <w:sz w:val="21"/>
                <w:szCs w:val="21"/>
                <w:lang w:eastAsia="zh-CN"/>
              </w:rPr>
              <w:t>。</w:t>
            </w:r>
            <w:r>
              <w:rPr>
                <w:rFonts w:hint="eastAsia" w:ascii="宋体" w:hAnsi="宋体" w:eastAsia="宋体" w:cs="宋体"/>
                <w:sz w:val="21"/>
                <w:szCs w:val="21"/>
              </w:rPr>
              <w:t>但是现场查看公司</w:t>
            </w:r>
            <w:r>
              <w:rPr>
                <w:rFonts w:hint="eastAsia" w:ascii="宋体" w:hAnsi="宋体" w:eastAsia="宋体" w:cs="宋体"/>
                <w:sz w:val="21"/>
                <w:szCs w:val="21"/>
                <w:lang w:val="en-US" w:eastAsia="zh-CN"/>
              </w:rPr>
              <w:t>库房</w:t>
            </w:r>
            <w:r>
              <w:rPr>
                <w:rFonts w:hint="eastAsia" w:ascii="宋体" w:hAnsi="宋体" w:eastAsia="宋体" w:cs="宋体"/>
                <w:sz w:val="21"/>
                <w:szCs w:val="21"/>
              </w:rPr>
              <w:t>区域配备</w:t>
            </w:r>
            <w:r>
              <w:rPr>
                <w:rFonts w:hint="eastAsia" w:ascii="宋体" w:hAnsi="宋体" w:eastAsia="宋体" w:cs="宋体"/>
                <w:sz w:val="21"/>
                <w:szCs w:val="21"/>
                <w:lang w:val="en-US" w:eastAsia="zh-CN"/>
              </w:rPr>
              <w:t>有</w:t>
            </w:r>
            <w:r>
              <w:rPr>
                <w:rFonts w:hint="eastAsia" w:ascii="宋体" w:hAnsi="宋体" w:eastAsia="宋体" w:cs="宋体"/>
                <w:sz w:val="21"/>
                <w:szCs w:val="21"/>
              </w:rPr>
              <w:t>灭火器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但被杂物挡住</w:t>
            </w:r>
            <w:r>
              <w:rPr>
                <w:rFonts w:hint="eastAsia" w:ascii="宋体" w:hAnsi="宋体" w:eastAsia="宋体" w:cs="宋体"/>
                <w:sz w:val="21"/>
                <w:szCs w:val="21"/>
              </w:rPr>
              <w:t>，不符合规定要求，开具了不符合报告。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rFonts w:hint="eastAsia" w:ascii="宋体" w:hAnsi="宋体" w:eastAsia="宋体" w:cs="宋体"/>
                <w:b/>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10. 对特种设备的维护，检定;（适用时）</w:t>
            </w:r>
          </w:p>
          <w:p>
            <w:pPr>
              <w:spacing w:line="360" w:lineRule="auto"/>
              <w:ind w:firstLine="211" w:firstLineChars="100"/>
              <w:jc w:val="left"/>
              <w:rPr>
                <w:rFonts w:hint="eastAsia" w:ascii="宋体" w:hAnsi="宋体" w:eastAsia="宋体" w:cs="宋体"/>
                <w:b/>
                <w:sz w:val="21"/>
                <w:szCs w:val="21"/>
              </w:rPr>
            </w:pPr>
            <w:r>
              <w:rPr>
                <w:rFonts w:hint="eastAsia" w:ascii="宋体" w:hAnsi="宋体" w:eastAsia="宋体" w:cs="宋体"/>
                <w:b/>
                <w:sz w:val="21"/>
                <w:szCs w:val="21"/>
              </w:rPr>
              <w:t>无特种设备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720" w:type="dxa"/>
            <w:vMerge w:val="continue"/>
            <w:vAlign w:val="center"/>
          </w:tcPr>
          <w:p>
            <w:pPr>
              <w:spacing w:line="240" w:lineRule="exact"/>
              <w:jc w:val="center"/>
              <w:rPr>
                <w:rFonts w:hint="eastAsia" w:ascii="宋体" w:hAnsi="宋体" w:eastAsia="宋体" w:cs="宋体"/>
                <w:b/>
                <w:szCs w:val="21"/>
              </w:rPr>
            </w:pPr>
          </w:p>
        </w:tc>
        <w:tc>
          <w:tcPr>
            <w:tcW w:w="9198" w:type="dxa"/>
          </w:tcPr>
          <w:p>
            <w:pPr>
              <w:spacing w:line="240" w:lineRule="exact"/>
              <w:rPr>
                <w:rFonts w:hint="eastAsia" w:ascii="宋体" w:hAnsi="宋体" w:eastAsia="宋体" w:cs="宋体"/>
                <w:b/>
                <w:sz w:val="21"/>
                <w:szCs w:val="21"/>
              </w:rPr>
            </w:pPr>
            <w:r>
              <w:rPr>
                <w:rFonts w:hint="eastAsia" w:ascii="宋体" w:hAnsi="宋体" w:eastAsia="宋体" w:cs="宋体"/>
                <w:b/>
                <w:sz w:val="21"/>
                <w:szCs w:val="21"/>
              </w:rPr>
              <w:t>11 .对危险化学品销售、使用、储存、运输处置，规定的执行力度(必要时);</w:t>
            </w:r>
          </w:p>
          <w:p>
            <w:pPr>
              <w:spacing w:line="240" w:lineRule="exact"/>
              <w:ind w:firstLine="211" w:firstLineChars="100"/>
              <w:rPr>
                <w:rFonts w:hint="eastAsia" w:ascii="宋体" w:hAnsi="宋体" w:eastAsia="宋体" w:cs="宋体"/>
                <w:b/>
                <w:sz w:val="21"/>
                <w:szCs w:val="21"/>
              </w:rPr>
            </w:pPr>
          </w:p>
          <w:p>
            <w:pPr>
              <w:spacing w:line="240" w:lineRule="exact"/>
              <w:ind w:firstLine="211" w:firstLineChars="100"/>
              <w:rPr>
                <w:rFonts w:hint="eastAsia" w:ascii="宋体" w:hAnsi="宋体" w:eastAsia="宋体" w:cs="宋体"/>
                <w:b/>
                <w:sz w:val="21"/>
                <w:szCs w:val="21"/>
              </w:rPr>
            </w:pPr>
            <w:r>
              <w:rPr>
                <w:rFonts w:hint="eastAsia" w:ascii="宋体" w:hAnsi="宋体" w:eastAsia="宋体" w:cs="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720" w:type="dxa"/>
            <w:vMerge w:val="restart"/>
            <w:textDirection w:val="tbRlV"/>
            <w:vAlign w:val="center"/>
          </w:tcPr>
          <w:p>
            <w:pPr>
              <w:spacing w:line="240" w:lineRule="exact"/>
              <w:ind w:left="113" w:right="113"/>
              <w:jc w:val="center"/>
              <w:rPr>
                <w:rFonts w:hint="eastAsia" w:ascii="宋体" w:hAnsi="宋体" w:eastAsia="宋体" w:cs="宋体"/>
                <w:b/>
                <w:szCs w:val="21"/>
              </w:rPr>
            </w:pPr>
            <w:r>
              <w:rPr>
                <w:rFonts w:hint="eastAsia" w:ascii="宋体" w:hAnsi="宋体" w:eastAsia="宋体" w:cs="宋体"/>
                <w:b/>
                <w:szCs w:val="21"/>
              </w:rPr>
              <w:t>(四)监视测量方面</w:t>
            </w:r>
          </w:p>
        </w:tc>
        <w:tc>
          <w:tcPr>
            <w:tcW w:w="9198" w:type="dxa"/>
          </w:tcPr>
          <w:p>
            <w:pPr>
              <w:spacing w:line="360" w:lineRule="auto"/>
              <w:ind w:left="105" w:hanging="105" w:hangingChars="50"/>
              <w:rPr>
                <w:rFonts w:hint="eastAsia" w:ascii="宋体" w:hAnsi="宋体" w:eastAsia="宋体" w:cs="宋体"/>
              </w:rPr>
            </w:pPr>
            <w:r>
              <w:rPr>
                <w:rFonts w:hint="eastAsia" w:ascii="宋体" w:hAnsi="宋体" w:eastAsia="宋体" w:cs="宋体"/>
                <w:b/>
                <w:sz w:val="21"/>
                <w:szCs w:val="21"/>
              </w:rPr>
              <w:t>1.对质量/环境/职业健康安全目标指标进行定期监测/检查情况</w:t>
            </w:r>
          </w:p>
          <w:p>
            <w:pPr>
              <w:spacing w:line="360" w:lineRule="auto"/>
              <w:ind w:firstLine="105" w:firstLineChars="50"/>
              <w:rPr>
                <w:rFonts w:hint="eastAsia" w:ascii="宋体" w:hAnsi="宋体" w:eastAsia="宋体" w:cs="宋体"/>
                <w:b/>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20</w:t>
            </w:r>
            <w:r>
              <w:rPr>
                <w:rFonts w:hint="eastAsia" w:ascii="宋体" w:hAnsi="宋体" w:eastAsia="宋体" w:cs="宋体"/>
                <w:sz w:val="21"/>
                <w:szCs w:val="21"/>
              </w:rPr>
              <w:t>.</w:t>
            </w:r>
            <w:r>
              <w:rPr>
                <w:rFonts w:hint="eastAsia" w:ascii="宋体" w:hAnsi="宋体" w:cs="宋体"/>
                <w:sz w:val="21"/>
                <w:szCs w:val="21"/>
                <w:lang w:val="en-US" w:eastAsia="zh-CN"/>
              </w:rPr>
              <w:t>7</w:t>
            </w:r>
            <w:r>
              <w:rPr>
                <w:rFonts w:hint="eastAsia" w:ascii="宋体" w:hAnsi="宋体" w:eastAsia="宋体" w:cs="宋体"/>
                <w:sz w:val="21"/>
                <w:szCs w:val="21"/>
              </w:rPr>
              <w:t>.3对质量/环境/职业健康安全目标指标进行了检查，能达标。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3" w:hRule="atLeast"/>
          <w:jc w:val="center"/>
        </w:trPr>
        <w:tc>
          <w:tcPr>
            <w:tcW w:w="720" w:type="dxa"/>
            <w:vMerge w:val="continue"/>
            <w:textDirection w:val="tbRlV"/>
            <w:vAlign w:val="center"/>
          </w:tcPr>
          <w:p>
            <w:pPr>
              <w:spacing w:line="360" w:lineRule="auto"/>
              <w:ind w:left="113" w:right="113"/>
              <w:jc w:val="center"/>
              <w:rPr>
                <w:rFonts w:hint="eastAsia" w:ascii="宋体" w:hAnsi="宋体" w:eastAsia="宋体" w:cs="宋体"/>
                <w:b/>
                <w:szCs w:val="21"/>
              </w:rPr>
            </w:pPr>
          </w:p>
        </w:tc>
        <w:tc>
          <w:tcPr>
            <w:tcW w:w="9198" w:type="dxa"/>
          </w:tcPr>
          <w:p>
            <w:pPr>
              <w:numPr>
                <w:ilvl w:val="0"/>
                <w:numId w:val="6"/>
              </w:numPr>
              <w:spacing w:line="360" w:lineRule="auto"/>
              <w:ind w:left="105" w:hanging="105" w:hangingChars="50"/>
              <w:rPr>
                <w:rFonts w:hint="eastAsia" w:ascii="宋体" w:hAnsi="宋体" w:eastAsia="宋体" w:cs="宋体"/>
                <w:b/>
                <w:sz w:val="21"/>
                <w:szCs w:val="21"/>
              </w:rPr>
            </w:pPr>
            <w:r>
              <w:rPr>
                <w:rFonts w:hint="eastAsia" w:ascii="宋体" w:hAnsi="宋体" w:eastAsia="宋体" w:cs="宋体"/>
                <w:b/>
                <w:sz w:val="21"/>
                <w:szCs w:val="21"/>
              </w:rPr>
              <w:t>顾客满意</w:t>
            </w:r>
          </w:p>
          <w:p>
            <w:pPr>
              <w:numPr>
                <w:ilvl w:val="0"/>
                <w:numId w:val="0"/>
              </w:numPr>
              <w:spacing w:line="360" w:lineRule="auto"/>
              <w:ind w:leftChars="-50"/>
              <w:rPr>
                <w:rFonts w:hint="eastAsia" w:ascii="宋体" w:hAnsi="宋体" w:eastAsia="宋体" w:cs="宋体"/>
                <w:b/>
                <w:sz w:val="21"/>
                <w:szCs w:val="21"/>
              </w:rPr>
            </w:pPr>
            <w:r>
              <w:rPr>
                <w:rFonts w:hint="eastAsia" w:ascii="宋体" w:hAnsi="宋体" w:eastAsia="宋体" w:cs="宋体"/>
                <w:sz w:val="21"/>
                <w:szCs w:val="21"/>
              </w:rPr>
              <w:t>企业主要通过开展顾客满意度调查来收集并了解顾客满意的信息，查见顾客满意程度调查表。调查表从</w:t>
            </w:r>
            <w:r>
              <w:rPr>
                <w:rFonts w:hint="eastAsia" w:ascii="宋体" w:hAnsi="宋体" w:eastAsia="宋体" w:cs="宋体"/>
                <w:sz w:val="21"/>
                <w:szCs w:val="21"/>
                <w:lang w:val="en-US" w:eastAsia="zh-CN"/>
              </w:rPr>
              <w:t>采访书目、图书</w:t>
            </w:r>
            <w:r>
              <w:rPr>
                <w:rFonts w:hint="eastAsia" w:ascii="宋体" w:hAnsi="宋体" w:eastAsia="宋体" w:cs="宋体"/>
                <w:sz w:val="21"/>
                <w:szCs w:val="21"/>
              </w:rPr>
              <w:t>质量、</w:t>
            </w:r>
            <w:r>
              <w:rPr>
                <w:rFonts w:hint="eastAsia" w:ascii="宋体" w:hAnsi="宋体" w:eastAsia="宋体" w:cs="宋体"/>
                <w:sz w:val="21"/>
                <w:szCs w:val="21"/>
                <w:lang w:val="en-US" w:eastAsia="zh-CN"/>
              </w:rPr>
              <w:t>图书发货包装、随书配送的编目数据</w:t>
            </w:r>
            <w:r>
              <w:rPr>
                <w:rFonts w:hint="eastAsia" w:ascii="宋体" w:hAnsi="宋体" w:eastAsia="宋体" w:cs="宋体"/>
                <w:sz w:val="21"/>
                <w:szCs w:val="21"/>
              </w:rPr>
              <w:t>、售后服务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到书率</w:t>
            </w:r>
            <w:r>
              <w:rPr>
                <w:rFonts w:hint="eastAsia" w:ascii="宋体" w:hAnsi="宋体" w:eastAsia="宋体" w:cs="宋体"/>
                <w:sz w:val="21"/>
                <w:szCs w:val="21"/>
              </w:rPr>
              <w:t>等方面对顾客满意度进行了调查，统计结果表明顾客满意综合率为96%，达到了公司质量目标。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720" w:type="dxa"/>
            <w:vMerge w:val="continue"/>
            <w:textDirection w:val="tbRlV"/>
            <w:vAlign w:val="center"/>
          </w:tcPr>
          <w:p>
            <w:pPr>
              <w:spacing w:line="360" w:lineRule="auto"/>
              <w:ind w:left="113" w:right="113"/>
              <w:jc w:val="center"/>
              <w:rPr>
                <w:rFonts w:hint="eastAsia" w:ascii="宋体" w:hAnsi="宋体" w:eastAsia="宋体" w:cs="宋体"/>
                <w:b/>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3. 内审（包括内审策划审核方案中考虑拟审核的过程和区域的状况和重要性）</w:t>
            </w:r>
          </w:p>
          <w:p>
            <w:pPr>
              <w:spacing w:line="360" w:lineRule="auto"/>
              <w:jc w:val="left"/>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 </w:t>
            </w:r>
            <w:r>
              <w:rPr>
                <w:rFonts w:hint="eastAsia" w:ascii="宋体" w:hAnsi="宋体" w:eastAsia="宋体" w:cs="宋体"/>
                <w:sz w:val="21"/>
                <w:szCs w:val="21"/>
              </w:rPr>
              <w:t xml:space="preserve"> 每年一次，本次20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8</w:t>
            </w:r>
            <w:r>
              <w:rPr>
                <w:rFonts w:hint="eastAsia" w:ascii="宋体" w:hAnsi="宋体" w:eastAsia="宋体" w:cs="宋体"/>
                <w:sz w:val="21"/>
                <w:szCs w:val="21"/>
              </w:rPr>
              <w:t>月6—7日内审。</w:t>
            </w:r>
            <w:bookmarkStart w:id="28" w:name="_GoBack"/>
            <w:bookmarkEnd w:id="28"/>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了解内审是否覆盖了管理体系范围内的活动及标准的要求; </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覆盖。</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了解内审结论是什么？</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本公司质量/环境/职业健康安全三合一管理体系符合公司管理手册、程序性文件、ISO9001:2015、ISO14001:2015、GB/T28001-2011的要求，本公司质量/环境/职业健康安全三合一管理体系得到了有效实施，运行实施保持了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720" w:type="dxa"/>
            <w:vMerge w:val="continue"/>
            <w:textDirection w:val="tbRlV"/>
            <w:vAlign w:val="center"/>
          </w:tcPr>
          <w:p>
            <w:pPr>
              <w:spacing w:line="240" w:lineRule="exact"/>
              <w:ind w:left="113" w:right="113"/>
              <w:jc w:val="center"/>
              <w:rPr>
                <w:rFonts w:hint="eastAsia" w:ascii="宋体" w:hAnsi="宋体" w:eastAsia="宋体" w:cs="宋体"/>
                <w:b/>
                <w:szCs w:val="21"/>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4.管理评审（管理评审体系变更需求，纠正和预防措施、体系有效性等）</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了解管理评审的策划; </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每年一次，20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月1</w:t>
            </w:r>
            <w:r>
              <w:rPr>
                <w:rFonts w:hint="eastAsia" w:ascii="宋体" w:hAnsi="宋体" w:eastAsia="宋体" w:cs="宋体"/>
                <w:sz w:val="21"/>
                <w:szCs w:val="21"/>
                <w:lang w:val="en-US" w:eastAsia="zh-CN"/>
              </w:rPr>
              <w:t>5</w:t>
            </w:r>
            <w:r>
              <w:rPr>
                <w:rFonts w:hint="eastAsia" w:ascii="宋体" w:hAnsi="宋体" w:eastAsia="宋体" w:cs="宋体"/>
                <w:sz w:val="21"/>
                <w:szCs w:val="21"/>
              </w:rPr>
              <w:t>日管理评审。</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了解管理评审输入是否充分; </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输入基本充分。</w:t>
            </w:r>
          </w:p>
          <w:p>
            <w:pPr>
              <w:spacing w:line="360" w:lineRule="auto"/>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 xml:space="preserve">了解管理评审结论; </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720" w:type="dxa"/>
            <w:vMerge w:val="continue"/>
            <w:vAlign w:val="center"/>
          </w:tcPr>
          <w:p>
            <w:pPr>
              <w:spacing w:line="240" w:lineRule="exact"/>
              <w:jc w:val="center"/>
              <w:rPr>
                <w:rFonts w:hint="eastAsia" w:ascii="宋体" w:hAnsi="宋体" w:eastAsia="宋体" w:cs="宋体"/>
                <w:b/>
                <w:sz w:val="20"/>
              </w:rPr>
            </w:pPr>
          </w:p>
        </w:tc>
        <w:tc>
          <w:tcPr>
            <w:tcW w:w="9198" w:type="dxa"/>
          </w:tcPr>
          <w:p>
            <w:pPr>
              <w:numPr>
                <w:ilvl w:val="0"/>
                <w:numId w:val="3"/>
              </w:numPr>
              <w:spacing w:line="360" w:lineRule="auto"/>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rPr>
              <w:t xml:space="preserve"> EMS是否按规定对主要污染物（污水、废气、噪声、废渣等）及排放实施了例行的监视或测量，结果是否满足相关要求？</w:t>
            </w:r>
          </w:p>
          <w:p>
            <w:pPr>
              <w:numPr>
                <w:ilvl w:val="0"/>
                <w:numId w:val="0"/>
              </w:num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本公司质量/环境/职业健康安全三合一管理体系符合公司管理手册、程序性文件、ISO9001:2015、ISO14001:2015、GB/T28001-2011的要求，本公司质量/环境/职业健康安全三合一管理体系得到了有效实施，运行实施保持了适宜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20" w:type="dxa"/>
            <w:vMerge w:val="continue"/>
            <w:vAlign w:val="center"/>
          </w:tcPr>
          <w:p>
            <w:pPr>
              <w:spacing w:line="240" w:lineRule="exact"/>
              <w:jc w:val="center"/>
              <w:rPr>
                <w:rFonts w:hint="eastAsia" w:ascii="宋体" w:hAnsi="宋体" w:eastAsia="宋体" w:cs="宋体"/>
                <w:b/>
                <w:sz w:val="20"/>
              </w:rPr>
            </w:pPr>
          </w:p>
        </w:tc>
        <w:tc>
          <w:tcPr>
            <w:tcW w:w="9198" w:type="dxa"/>
          </w:tcPr>
          <w:p>
            <w:pPr>
              <w:spacing w:line="360" w:lineRule="auto"/>
              <w:ind w:left="105" w:hanging="105" w:hangingChars="50"/>
              <w:rPr>
                <w:rFonts w:hint="eastAsia" w:ascii="宋体" w:hAnsi="宋体" w:eastAsia="宋体" w:cs="宋体"/>
                <w:b/>
                <w:sz w:val="21"/>
                <w:szCs w:val="21"/>
              </w:rPr>
            </w:pPr>
            <w:r>
              <w:rPr>
                <w:rFonts w:hint="eastAsia" w:ascii="宋体" w:hAnsi="宋体" w:eastAsia="宋体" w:cs="宋体"/>
                <w:b/>
                <w:sz w:val="21"/>
                <w:szCs w:val="21"/>
              </w:rPr>
              <w:t xml:space="preserve">6.  EMS国家/地方环保部门监测结果、新改扩建项目符合环评报告、三同时验收报告要求情况及措施(98年后) </w:t>
            </w:r>
          </w:p>
          <w:p>
            <w:pPr>
              <w:spacing w:line="360" w:lineRule="auto"/>
              <w:rPr>
                <w:rFonts w:hint="eastAsia" w:ascii="宋体" w:hAnsi="宋体" w:eastAsia="宋体" w:cs="宋体"/>
                <w:b/>
                <w:sz w:val="21"/>
                <w:szCs w:val="21"/>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720" w:type="dxa"/>
            <w:vMerge w:val="continue"/>
            <w:vAlign w:val="center"/>
          </w:tcPr>
          <w:p>
            <w:pPr>
              <w:spacing w:line="240" w:lineRule="exact"/>
              <w:jc w:val="center"/>
              <w:rPr>
                <w:rFonts w:hint="eastAsia" w:ascii="宋体" w:hAnsi="宋体" w:eastAsia="宋体" w:cs="宋体"/>
                <w:b/>
                <w:sz w:val="20"/>
              </w:rPr>
            </w:pPr>
          </w:p>
        </w:tc>
        <w:tc>
          <w:tcPr>
            <w:tcW w:w="9198" w:type="dxa"/>
          </w:tcPr>
          <w:p>
            <w:pPr>
              <w:spacing w:line="360" w:lineRule="auto"/>
              <w:ind w:left="105" w:hanging="105" w:hangingChars="50"/>
              <w:rPr>
                <w:rFonts w:hint="eastAsia" w:ascii="宋体" w:hAnsi="宋体" w:eastAsia="宋体" w:cs="宋体"/>
                <w:b/>
                <w:sz w:val="21"/>
                <w:szCs w:val="21"/>
              </w:rPr>
            </w:pPr>
            <w:r>
              <w:rPr>
                <w:rFonts w:hint="eastAsia" w:ascii="宋体" w:hAnsi="宋体" w:eastAsia="宋体" w:cs="宋体"/>
                <w:b/>
                <w:sz w:val="21"/>
                <w:szCs w:val="21"/>
              </w:rPr>
              <w:t>7. OHSMS是否按规定对职业健康安全项目进行定期测量，结果是否满足相关要求：</w:t>
            </w:r>
          </w:p>
          <w:p>
            <w:pPr>
              <w:spacing w:line="360" w:lineRule="auto"/>
              <w:rPr>
                <w:rFonts w:hint="eastAsia" w:ascii="宋体" w:hAnsi="宋体" w:eastAsia="宋体" w:cs="宋体"/>
                <w:b/>
                <w:sz w:val="21"/>
                <w:szCs w:val="21"/>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20" w:type="dxa"/>
            <w:vMerge w:val="continue"/>
            <w:vAlign w:val="center"/>
          </w:tcPr>
          <w:p>
            <w:pPr>
              <w:spacing w:line="240" w:lineRule="exact"/>
              <w:jc w:val="center"/>
              <w:rPr>
                <w:rFonts w:hint="eastAsia" w:ascii="宋体" w:hAnsi="宋体" w:eastAsia="宋体" w:cs="宋体"/>
                <w:b/>
                <w:sz w:val="20"/>
              </w:rPr>
            </w:pPr>
          </w:p>
        </w:tc>
        <w:tc>
          <w:tcPr>
            <w:tcW w:w="9198" w:type="dxa"/>
          </w:tcPr>
          <w:p>
            <w:pPr>
              <w:spacing w:line="360" w:lineRule="auto"/>
              <w:jc w:val="both"/>
              <w:rPr>
                <w:rFonts w:hint="eastAsia" w:ascii="宋体" w:hAnsi="宋体" w:eastAsia="宋体" w:cs="宋体"/>
                <w:b/>
                <w:sz w:val="21"/>
                <w:szCs w:val="21"/>
              </w:rPr>
            </w:pPr>
            <w:r>
              <w:rPr>
                <w:rFonts w:hint="eastAsia" w:ascii="宋体" w:hAnsi="宋体" w:eastAsia="宋体" w:cs="宋体"/>
                <w:b/>
                <w:sz w:val="21"/>
                <w:szCs w:val="21"/>
              </w:rPr>
              <w:t>8.OHSMS国家/地方职业健康安全部门监督检查情况及措施</w:t>
            </w:r>
          </w:p>
          <w:p>
            <w:pPr>
              <w:spacing w:line="360" w:lineRule="auto"/>
              <w:jc w:val="both"/>
              <w:rPr>
                <w:rFonts w:hint="eastAsia" w:ascii="宋体" w:hAnsi="宋体" w:eastAsia="宋体" w:cs="宋体"/>
                <w:b/>
                <w:sz w:val="21"/>
                <w:szCs w:val="21"/>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720" w:type="dxa"/>
            <w:vMerge w:val="continue"/>
            <w:vAlign w:val="center"/>
          </w:tcPr>
          <w:p>
            <w:pPr>
              <w:spacing w:line="240" w:lineRule="exact"/>
              <w:jc w:val="center"/>
              <w:rPr>
                <w:rFonts w:hint="eastAsia" w:ascii="宋体" w:hAnsi="宋体" w:eastAsia="宋体" w:cs="宋体"/>
                <w:b/>
                <w:sz w:val="20"/>
              </w:rPr>
            </w:pPr>
          </w:p>
        </w:tc>
        <w:tc>
          <w:tcPr>
            <w:tcW w:w="9198" w:type="dxa"/>
          </w:tcPr>
          <w:p>
            <w:pPr>
              <w:widowControl/>
              <w:numPr>
                <w:ilvl w:val="0"/>
                <w:numId w:val="0"/>
              </w:num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9.</w:t>
            </w:r>
            <w:r>
              <w:rPr>
                <w:rFonts w:hint="eastAsia" w:ascii="宋体" w:hAnsi="宋体" w:eastAsia="宋体" w:cs="宋体"/>
                <w:b/>
                <w:sz w:val="21"/>
                <w:szCs w:val="21"/>
              </w:rPr>
              <w:t>其他能够标明组织绩效、信誉的证据/信息：</w:t>
            </w:r>
          </w:p>
          <w:p>
            <w:pPr>
              <w:widowControl/>
              <w:numPr>
                <w:ilvl w:val="0"/>
                <w:numId w:val="0"/>
              </w:numPr>
              <w:spacing w:line="360" w:lineRule="auto"/>
              <w:rPr>
                <w:rFonts w:hint="eastAsia" w:ascii="宋体" w:hAnsi="宋体" w:eastAsia="宋体" w:cs="宋体"/>
                <w:b/>
                <w:sz w:val="21"/>
                <w:szCs w:val="21"/>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hint="eastAsia" w:ascii="宋体" w:hAnsi="宋体" w:eastAsia="宋体" w:cs="宋体"/>
                <w:b/>
                <w:szCs w:val="21"/>
              </w:rPr>
            </w:pPr>
            <w:r>
              <w:rPr>
                <w:rFonts w:hint="eastAsia" w:ascii="宋体" w:hAnsi="宋体" w:eastAsia="宋体" w:cs="宋体"/>
                <w:b/>
                <w:szCs w:val="21"/>
              </w:rPr>
              <w:t>(五)持</w:t>
            </w:r>
          </w:p>
          <w:p>
            <w:pPr>
              <w:spacing w:line="240" w:lineRule="exact"/>
              <w:ind w:left="113" w:right="113"/>
              <w:jc w:val="center"/>
              <w:rPr>
                <w:rFonts w:hint="eastAsia" w:ascii="宋体" w:hAnsi="宋体" w:eastAsia="宋体" w:cs="宋体"/>
                <w:b/>
                <w:szCs w:val="21"/>
              </w:rPr>
            </w:pPr>
            <w:r>
              <w:rPr>
                <w:rFonts w:hint="eastAsia" w:ascii="宋体" w:hAnsi="宋体" w:eastAsia="宋体" w:cs="宋体"/>
                <w:b/>
                <w:szCs w:val="21"/>
              </w:rPr>
              <w:t>续</w:t>
            </w:r>
          </w:p>
          <w:p>
            <w:pPr>
              <w:spacing w:line="240" w:lineRule="exact"/>
              <w:ind w:left="113" w:right="113"/>
              <w:jc w:val="center"/>
              <w:rPr>
                <w:rFonts w:hint="eastAsia" w:ascii="宋体" w:hAnsi="宋体" w:eastAsia="宋体" w:cs="宋体"/>
                <w:b/>
                <w:szCs w:val="21"/>
              </w:rPr>
            </w:pPr>
            <w:r>
              <w:rPr>
                <w:rFonts w:hint="eastAsia" w:ascii="宋体" w:hAnsi="宋体" w:eastAsia="宋体" w:cs="宋体"/>
                <w:b/>
                <w:szCs w:val="21"/>
              </w:rPr>
              <w:t>改</w:t>
            </w:r>
          </w:p>
          <w:p>
            <w:pPr>
              <w:spacing w:line="240" w:lineRule="exact"/>
              <w:ind w:left="113" w:right="113"/>
              <w:jc w:val="center"/>
              <w:rPr>
                <w:rFonts w:hint="eastAsia" w:ascii="宋体" w:hAnsi="宋体" w:eastAsia="宋体" w:cs="宋体"/>
                <w:b/>
                <w:sz w:val="20"/>
              </w:rPr>
            </w:pPr>
            <w:r>
              <w:rPr>
                <w:rFonts w:hint="eastAsia" w:ascii="宋体" w:hAnsi="宋体" w:eastAsia="宋体" w:cs="宋体"/>
                <w:b/>
                <w:szCs w:val="21"/>
              </w:rPr>
              <w:t>进</w:t>
            </w: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1 纠正措施的实施及效果;</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企业自体系建立以来，通过内审的改进、管理评审；纠正措施的实施、顾客满意度调查等措施，采取了具体的改进措施。基本符合要求。</w:t>
            </w:r>
          </w:p>
          <w:p>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总经理通过建立管理方针和目标，并鼓励员工提合理化建议，营造了一个激励改进的氛围，通过管理目标的建立与考核，明确了改进、努力的方向，通过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rFonts w:hint="eastAsia" w:ascii="宋体" w:hAnsi="宋体" w:eastAsia="宋体" w:cs="宋体"/>
                <w:b/>
                <w:sz w:val="20"/>
              </w:rPr>
            </w:pPr>
          </w:p>
        </w:tc>
        <w:tc>
          <w:tcPr>
            <w:tcW w:w="9198" w:type="dxa"/>
          </w:tcPr>
          <w:p>
            <w:pPr>
              <w:spacing w:line="360" w:lineRule="auto"/>
              <w:rPr>
                <w:rFonts w:hint="eastAsia" w:ascii="宋体" w:hAnsi="宋体" w:eastAsia="宋体" w:cs="宋体"/>
                <w:b/>
                <w:sz w:val="21"/>
                <w:szCs w:val="21"/>
              </w:rPr>
            </w:pPr>
            <w:r>
              <w:rPr>
                <w:rFonts w:hint="eastAsia" w:ascii="宋体" w:hAnsi="宋体" w:eastAsia="宋体" w:cs="宋体"/>
                <w:b/>
                <w:sz w:val="21"/>
                <w:szCs w:val="21"/>
              </w:rPr>
              <w:t>2.（上次审核后）重大事故、顾客/相关方投诉：</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20" w:type="dxa"/>
            <w:vMerge w:val="continue"/>
            <w:vAlign w:val="center"/>
          </w:tcPr>
          <w:p>
            <w:pPr>
              <w:spacing w:line="240" w:lineRule="exact"/>
              <w:jc w:val="center"/>
              <w:rPr>
                <w:rFonts w:hint="eastAsia" w:ascii="宋体" w:hAnsi="宋体" w:eastAsia="宋体" w:cs="宋体"/>
                <w:b/>
                <w:sz w:val="20"/>
              </w:rPr>
            </w:pPr>
          </w:p>
        </w:tc>
        <w:tc>
          <w:tcPr>
            <w:tcW w:w="9198" w:type="dxa"/>
          </w:tcPr>
          <w:p>
            <w:pPr>
              <w:numPr>
                <w:ilvl w:val="0"/>
                <w:numId w:val="6"/>
              </w:numPr>
              <w:spacing w:line="360" w:lineRule="auto"/>
              <w:ind w:left="105" w:leftChars="0" w:hanging="105" w:hangingChars="50"/>
              <w:rPr>
                <w:rFonts w:hint="eastAsia" w:ascii="宋体" w:hAnsi="宋体" w:eastAsia="宋体" w:cs="宋体"/>
                <w:b/>
                <w:sz w:val="21"/>
                <w:szCs w:val="21"/>
                <w:lang w:val="en-US" w:eastAsia="zh-CN"/>
              </w:rPr>
            </w:pPr>
            <w:r>
              <w:rPr>
                <w:rFonts w:hint="eastAsia" w:ascii="宋体" w:hAnsi="宋体" w:eastAsia="宋体" w:cs="宋体"/>
                <w:b/>
                <w:sz w:val="21"/>
                <w:szCs w:val="21"/>
              </w:rPr>
              <w:t>创新情况</w:t>
            </w:r>
          </w:p>
          <w:p>
            <w:pPr>
              <w:numPr>
                <w:ilvl w:val="0"/>
                <w:numId w:val="0"/>
              </w:numPr>
              <w:spacing w:line="360" w:lineRule="auto"/>
              <w:ind w:leftChars="-50" w:firstLine="211" w:firstLineChars="100"/>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720" w:type="dxa"/>
            <w:vMerge w:val="continue"/>
            <w:vAlign w:val="center"/>
          </w:tcPr>
          <w:p>
            <w:pPr>
              <w:spacing w:line="240" w:lineRule="exact"/>
              <w:jc w:val="center"/>
              <w:rPr>
                <w:rFonts w:hint="eastAsia" w:ascii="宋体" w:hAnsi="宋体" w:eastAsia="宋体" w:cs="宋体"/>
                <w:b/>
                <w:sz w:val="20"/>
              </w:rPr>
            </w:pPr>
          </w:p>
        </w:tc>
        <w:tc>
          <w:tcPr>
            <w:tcW w:w="9198" w:type="dxa"/>
          </w:tcPr>
          <w:p>
            <w:pPr>
              <w:numPr>
                <w:ilvl w:val="0"/>
                <w:numId w:val="0"/>
              </w:numPr>
              <w:spacing w:line="360" w:lineRule="auto"/>
              <w:rPr>
                <w:rFonts w:hint="eastAsia" w:ascii="宋体" w:hAnsi="宋体" w:eastAsia="宋体" w:cs="宋体"/>
                <w:b/>
                <w:sz w:val="21"/>
                <w:szCs w:val="21"/>
              </w:rPr>
            </w:pPr>
            <w:r>
              <w:rPr>
                <w:rFonts w:hint="eastAsia" w:ascii="宋体" w:hAnsi="宋体" w:eastAsia="宋体" w:cs="宋体"/>
                <w:b/>
                <w:sz w:val="21"/>
                <w:szCs w:val="21"/>
                <w:lang w:val="en-US" w:eastAsia="zh-CN"/>
              </w:rPr>
              <w:t>4.</w:t>
            </w:r>
            <w:r>
              <w:rPr>
                <w:rFonts w:hint="eastAsia" w:ascii="宋体" w:hAnsi="宋体" w:eastAsia="宋体" w:cs="宋体"/>
                <w:b/>
                <w:sz w:val="21"/>
                <w:szCs w:val="21"/>
              </w:rPr>
              <w:t>上次不符合的整改情况</w:t>
            </w:r>
          </w:p>
          <w:p>
            <w:pPr>
              <w:numPr>
                <w:ilvl w:val="0"/>
                <w:numId w:val="0"/>
              </w:numPr>
              <w:spacing w:line="360" w:lineRule="auto"/>
              <w:ind w:leftChars="-50" w:firstLine="422" w:firstLineChars="200"/>
              <w:rPr>
                <w:rFonts w:hint="eastAsia" w:ascii="宋体" w:hAnsi="宋体" w:eastAsia="宋体" w:cs="宋体"/>
              </w:rPr>
            </w:pPr>
            <w:r>
              <w:rPr>
                <w:rFonts w:hint="eastAsia" w:ascii="宋体" w:hAnsi="宋体" w:eastAsia="宋体" w:cs="宋体"/>
                <w:b/>
                <w:sz w:val="21"/>
                <w:szCs w:val="21"/>
              </w:rPr>
              <w:t>经现场查看，</w:t>
            </w:r>
            <w:r>
              <w:rPr>
                <w:rFonts w:hint="eastAsia" w:ascii="宋体" w:hAnsi="宋体" w:eastAsia="宋体" w:cs="宋体"/>
                <w:b/>
                <w:sz w:val="21"/>
                <w:szCs w:val="21"/>
                <w:lang w:val="en-US" w:eastAsia="zh-CN"/>
              </w:rPr>
              <w:t>上查审核</w:t>
            </w:r>
            <w:r>
              <w:rPr>
                <w:rFonts w:hint="eastAsia" w:ascii="宋体" w:hAnsi="宋体" w:eastAsia="宋体" w:cs="宋体"/>
                <w:b/>
                <w:sz w:val="21"/>
                <w:szCs w:val="21"/>
              </w:rPr>
              <w:t>开具的一般不符合项（</w:t>
            </w:r>
            <w:r>
              <w:rPr>
                <w:rFonts w:hint="eastAsia" w:ascii="宋体" w:hAnsi="宋体" w:eastAsia="宋体" w:cs="宋体"/>
                <w:b/>
                <w:sz w:val="21"/>
                <w:szCs w:val="21"/>
                <w:lang w:val="en-US" w:eastAsia="zh-CN"/>
              </w:rPr>
              <w:t>O：</w:t>
            </w:r>
            <w:r>
              <w:rPr>
                <w:rFonts w:hint="eastAsia" w:ascii="宋体" w:hAnsi="宋体" w:eastAsia="宋体" w:cs="宋体"/>
                <w:b/>
                <w:bCs/>
                <w:sz w:val="22"/>
                <w:szCs w:val="22"/>
                <w:lang w:val="en-US" w:eastAsia="zh-CN"/>
              </w:rPr>
              <w:t>4.4.7</w:t>
            </w:r>
            <w:r>
              <w:rPr>
                <w:rFonts w:hint="eastAsia" w:ascii="宋体" w:hAnsi="宋体" w:eastAsia="宋体" w:cs="宋体"/>
                <w:b/>
                <w:sz w:val="21"/>
                <w:szCs w:val="21"/>
              </w:rPr>
              <w:t>条款）已整改完毕，符合要求</w:t>
            </w:r>
            <w:r>
              <w:rPr>
                <w:rFonts w:hint="eastAsia" w:ascii="宋体" w:hAnsi="宋体" w:eastAsia="宋体" w:cs="宋体"/>
                <w:b/>
                <w:sz w:val="21"/>
                <w:szCs w:val="21"/>
                <w:lang w:eastAsia="zh-CN"/>
              </w:rPr>
              <w:t>。</w:t>
            </w:r>
          </w:p>
        </w:tc>
      </w:tr>
    </w:tbl>
    <w:p>
      <w:pPr>
        <w:widowControl w:val="0"/>
        <w:numPr>
          <w:ilvl w:val="0"/>
          <w:numId w:val="0"/>
        </w:numPr>
        <w:tabs>
          <w:tab w:val="left" w:pos="645"/>
        </w:tabs>
        <w:spacing w:before="326" w:beforeLines="100" w:after="163" w:afterLines="50" w:line="360" w:lineRule="exact"/>
        <w:jc w:val="both"/>
        <w:rPr>
          <w:rFonts w:hint="eastAsia"/>
          <w:b/>
          <w:sz w:val="26"/>
          <w:szCs w:val="26"/>
        </w:rPr>
      </w:pPr>
    </w:p>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可能影响本次审核结论可靠性的因素：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w:t>
      </w:r>
      <w:r>
        <w:rPr>
          <w:rFonts w:hint="eastAsia" w:ascii="宋体" w:hAnsi="宋体"/>
          <w:b/>
          <w:szCs w:val="21"/>
          <w:lang w:val="en-US" w:eastAsia="zh-CN"/>
        </w:rPr>
        <w:t>0</w:t>
      </w:r>
      <w:r>
        <w:rPr>
          <w:rFonts w:hint="eastAsia" w:ascii="宋体" w:hAnsi="宋体"/>
          <w:b/>
          <w:szCs w:val="21"/>
        </w:rPr>
        <w:t>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spacing w:line="360" w:lineRule="auto"/>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lang w:eastAsia="zh-CN"/>
              </w:rPr>
              <w:t>□</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360" w:lineRule="auto"/>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360" w:lineRule="auto"/>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360" w:lineRule="auto"/>
              <w:ind w:firstLine="480" w:firstLineChars="200"/>
              <w:rPr>
                <w:rFonts w:ascii="宋体" w:hAnsi="宋体"/>
                <w:b w:val="0"/>
                <w:bCs/>
                <w:szCs w:val="21"/>
              </w:rPr>
            </w:pPr>
            <w:r>
              <w:rPr>
                <w:rFonts w:hint="eastAsia" w:ascii="宋体" w:hAnsi="宋体"/>
                <w:b w:val="0"/>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drawing>
          <wp:anchor distT="0" distB="0" distL="114300" distR="114300" simplePos="0" relativeHeight="251659264" behindDoc="0" locked="0" layoutInCell="1" allowOverlap="1">
            <wp:simplePos x="0" y="0"/>
            <wp:positionH relativeFrom="column">
              <wp:posOffset>2073910</wp:posOffset>
            </wp:positionH>
            <wp:positionV relativeFrom="paragraph">
              <wp:posOffset>316865</wp:posOffset>
            </wp:positionV>
            <wp:extent cx="335915" cy="266065"/>
            <wp:effectExtent l="0" t="0" r="6985" b="6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35915" cy="266065"/>
                    </a:xfrm>
                    <a:prstGeom prst="rect">
                      <a:avLst/>
                    </a:prstGeom>
                    <a:noFill/>
                    <a:ln>
                      <a:noFill/>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r>
        <w:rPr>
          <w:rFonts w:hint="eastAsia" w:ascii="宋体" w:hAnsi="宋体"/>
          <w:b/>
          <w:kern w:val="0"/>
          <w:sz w:val="20"/>
          <w:szCs w:val="20"/>
          <w:lang w:val="en-US" w:eastAsia="zh-CN"/>
        </w:rPr>
        <w:t>2020.10.28</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lang w:eastAsia="zh-CN"/>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823" w:firstLineChars="343"/>
        <w:rPr>
          <w:b/>
          <w:sz w:val="21"/>
          <w:szCs w:val="21"/>
          <w:u w:val="single"/>
        </w:rPr>
      </w:pPr>
      <w:r>
        <w:drawing>
          <wp:anchor distT="0" distB="0" distL="114300" distR="114300" simplePos="0" relativeHeight="251661312" behindDoc="0" locked="0" layoutInCell="1" allowOverlap="1">
            <wp:simplePos x="0" y="0"/>
            <wp:positionH relativeFrom="column">
              <wp:posOffset>1306830</wp:posOffset>
            </wp:positionH>
            <wp:positionV relativeFrom="paragraph">
              <wp:posOffset>44450</wp:posOffset>
            </wp:positionV>
            <wp:extent cx="335915" cy="266065"/>
            <wp:effectExtent l="0" t="0" r="6985" b="6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35915" cy="266065"/>
                    </a:xfrm>
                    <a:prstGeom prst="rect">
                      <a:avLst/>
                    </a:prstGeom>
                    <a:noFill/>
                    <a:ln>
                      <a:noFill/>
                    </a:ln>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7"/>
        </w:numPr>
        <w:spacing w:line="600" w:lineRule="auto"/>
        <w:rPr>
          <w:b/>
          <w:szCs w:val="24"/>
        </w:rPr>
      </w:pPr>
      <w:r>
        <w:rPr>
          <w:rFonts w:hint="eastAsia"/>
          <w:b/>
          <w:szCs w:val="24"/>
        </w:rPr>
        <w:t>技术委员会评定结论：</w:t>
      </w:r>
      <w:r>
        <w:rPr>
          <w:rFonts w:hint="eastAsia"/>
          <w:b/>
          <w:sz w:val="21"/>
          <w:szCs w:val="21"/>
          <w:lang w:eastAsia="zh-CN"/>
        </w:rPr>
        <w:t>□</w:t>
      </w:r>
      <w:r>
        <w:rPr>
          <w:rFonts w:hint="eastAsia"/>
          <w:b/>
          <w:sz w:val="21"/>
        </w:rPr>
        <w:t>同意审核组意见</w:t>
      </w:r>
      <w:r>
        <w:rPr>
          <w:rFonts w:hint="eastAsia"/>
          <w:b/>
          <w:sz w:val="21"/>
          <w:szCs w:val="21"/>
        </w:rPr>
        <w:t>□</w:t>
      </w:r>
      <w:r>
        <w:rPr>
          <w:rFonts w:hint="eastAsia"/>
          <w:b/>
          <w:sz w:val="21"/>
        </w:rPr>
        <w:t>不同意审核组意见</w:t>
      </w:r>
    </w:p>
    <w:p>
      <w:pPr>
        <w:spacing w:line="60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7"/>
        </w:numPr>
        <w:spacing w:line="600" w:lineRule="auto"/>
        <w:rPr>
          <w:b/>
          <w:szCs w:val="24"/>
        </w:rPr>
      </w:pPr>
      <w:r>
        <w:rPr>
          <w:rFonts w:hint="eastAsia"/>
          <w:b/>
          <w:szCs w:val="24"/>
        </w:rPr>
        <w:t>批准结论：</w:t>
      </w:r>
      <w:r>
        <w:rPr>
          <w:rFonts w:hint="eastAsia"/>
          <w:b/>
          <w:sz w:val="21"/>
          <w:szCs w:val="21"/>
          <w:lang w:eastAsia="zh-CN"/>
        </w:rPr>
        <w:t>□</w:t>
      </w:r>
      <w:r>
        <w:rPr>
          <w:rFonts w:hint="eastAsia"/>
          <w:b/>
          <w:sz w:val="21"/>
        </w:rPr>
        <w:t>同意评定结论</w:t>
      </w:r>
      <w:r>
        <w:rPr>
          <w:rFonts w:hint="eastAsia"/>
          <w:b/>
          <w:sz w:val="21"/>
          <w:szCs w:val="21"/>
        </w:rPr>
        <w:t>□</w:t>
      </w:r>
      <w:r>
        <w:rPr>
          <w:rFonts w:hint="eastAsia"/>
          <w:b/>
          <w:sz w:val="21"/>
        </w:rPr>
        <w:t>不同意评定结论</w:t>
      </w:r>
    </w:p>
    <w:p>
      <w:pPr>
        <w:spacing w:line="60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B9ABD1"/>
    <w:multiLevelType w:val="singleLevel"/>
    <w:tmpl w:val="C8B9ABD1"/>
    <w:lvl w:ilvl="0" w:tentative="0">
      <w:start w:val="2"/>
      <w:numFmt w:val="decimal"/>
      <w:lvlText w:val="%1."/>
      <w:lvlJc w:val="left"/>
      <w:pPr>
        <w:tabs>
          <w:tab w:val="left" w:pos="312"/>
        </w:tabs>
      </w:pPr>
    </w:lvl>
  </w:abstractNum>
  <w:abstractNum w:abstractNumId="1">
    <w:nsid w:val="E7016BEC"/>
    <w:multiLevelType w:val="singleLevel"/>
    <w:tmpl w:val="E7016BEC"/>
    <w:lvl w:ilvl="0" w:tentative="0">
      <w:start w:val="3"/>
      <w:numFmt w:val="decimal"/>
      <w:lvlText w:val="%1."/>
      <w:lvlJc w:val="left"/>
      <w:pPr>
        <w:tabs>
          <w:tab w:val="left" w:pos="312"/>
        </w:tabs>
      </w:pPr>
    </w:lvl>
  </w:abstractNum>
  <w:abstractNum w:abstractNumId="2">
    <w:nsid w:val="F8F7B51D"/>
    <w:multiLevelType w:val="singleLevel"/>
    <w:tmpl w:val="F8F7B51D"/>
    <w:lvl w:ilvl="0" w:tentative="0">
      <w:start w:val="8"/>
      <w:numFmt w:val="decimal"/>
      <w:suff w:val="space"/>
      <w:lvlText w:val="%1."/>
      <w:lvlJc w:val="left"/>
    </w:lvl>
  </w:abstractNum>
  <w:abstractNum w:abstractNumId="3">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4">
    <w:nsid w:val="3072FDD2"/>
    <w:multiLevelType w:val="singleLevel"/>
    <w:tmpl w:val="3072FDD2"/>
    <w:lvl w:ilvl="0" w:tentative="0">
      <w:start w:val="2"/>
      <w:numFmt w:val="decimal"/>
      <w:suff w:val="nothing"/>
      <w:lvlText w:val="%1、"/>
      <w:lvlJc w:val="left"/>
    </w:lvl>
  </w:abstractNum>
  <w:abstractNum w:abstractNumId="5">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7BF0B2B0"/>
    <w:multiLevelType w:val="singleLevel"/>
    <w:tmpl w:val="7BF0B2B0"/>
    <w:lvl w:ilvl="0" w:tentative="0">
      <w:start w:val="6"/>
      <w:numFmt w:val="chineseCounting"/>
      <w:suff w:val="nothing"/>
      <w:lvlText w:val="%1、"/>
      <w:lvlJc w:val="left"/>
      <w:rPr>
        <w:rFonts w:hint="eastAsia"/>
      </w:rPr>
    </w:lvl>
  </w:abstractNum>
  <w:num w:numId="1">
    <w:abstractNumId w:val="6"/>
  </w:num>
  <w:num w:numId="2">
    <w:abstractNumId w:val="4"/>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B455439"/>
    <w:rsid w:val="486B4A50"/>
    <w:rsid w:val="4A585533"/>
    <w:rsid w:val="691F0D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2"/>
    <w:semiHidden/>
    <w:qFormat/>
    <w:locked/>
    <w:uiPriority w:val="99"/>
    <w:rPr>
      <w:rFonts w:ascii="Times New Roman" w:hAnsi="Times New Roman" w:eastAsia="宋体" w:cs="Times New Roman"/>
      <w:sz w:val="18"/>
      <w:szCs w:val="18"/>
    </w:rPr>
  </w:style>
  <w:style w:type="character" w:customStyle="1" w:styleId="9">
    <w:name w:val="页脚 Char"/>
    <w:link w:val="3"/>
    <w:semiHidden/>
    <w:locked/>
    <w:uiPriority w:val="99"/>
    <w:rPr>
      <w:rFonts w:ascii="Times New Roman" w:hAnsi="Times New Roman" w:eastAsia="宋体" w:cs="Times New Roman"/>
      <w:sz w:val="18"/>
      <w:szCs w:val="18"/>
    </w:rPr>
  </w:style>
  <w:style w:type="character" w:customStyle="1" w:styleId="10">
    <w:name w:val="页眉 Char"/>
    <w:link w:val="4"/>
    <w:qFormat/>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样式 样式 四号 行距: 1.5 倍行距 首行缩进:  2 字符1 + 首行缩进:  2 字符"/>
    <w:basedOn w:val="1"/>
    <w:qFormat/>
    <w:uiPriority w:val="0"/>
    <w:pPr>
      <w:spacing w:line="360" w:lineRule="auto"/>
      <w:ind w:firstLine="480" w:firstLineChars="200"/>
    </w:pPr>
    <w:rPr>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6</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LIL</cp:lastModifiedBy>
  <cp:lastPrinted>2019-04-18T08:15:00Z</cp:lastPrinted>
  <dcterms:modified xsi:type="dcterms:W3CDTF">2020-11-10T14:37:33Z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