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楷体" w:hAnsi="楷体" w:eastAsia="楷体"/>
          <w:bCs/>
          <w:sz w:val="36"/>
          <w:szCs w:val="36"/>
        </w:rPr>
      </w:pPr>
      <w:r>
        <w:rPr>
          <w:rFonts w:hint="eastAsia" w:ascii="楷体" w:hAnsi="楷体" w:eastAsia="楷体"/>
          <w:bCs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311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受审核部门：供销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中心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主管领导：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李倩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陪同人员：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乔文帅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李俐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审核时间：20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8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审核条款：</w:t>
            </w:r>
          </w:p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QMS:5.3、6.2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7.1.5、8.2、8.4、9.1.2、8.1、8.3、8.5.1、8.5.2、8.5.3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8.5.4、8.5.6、8.6、8.7</w:t>
            </w:r>
          </w:p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EMS: 5.3、6.1.2、6.2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8.1、8.2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楷体" w:hAnsi="楷体" w:eastAsia="楷体" w:cs="Arial"/>
                <w:szCs w:val="21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OHSAS：4.4.1、4.3.1、4.4.6、4.4.7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b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QE</w:t>
            </w:r>
            <w:r>
              <w:rPr>
                <w:rFonts w:hint="eastAsia" w:ascii="楷体" w:hAnsi="楷体" w:eastAsia="楷体" w:cs="Arial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 xml:space="preserve"> 5.3</w:t>
            </w:r>
          </w:p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O</w:t>
            </w:r>
            <w:r>
              <w:rPr>
                <w:rFonts w:hint="eastAsia" w:ascii="楷体" w:hAnsi="楷体" w:eastAsia="楷体" w:cs="Arial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4.4.1</w:t>
            </w:r>
          </w:p>
        </w:tc>
        <w:tc>
          <w:tcPr>
            <w:tcW w:w="10004" w:type="dxa"/>
          </w:tcPr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现场审核过程了解到部门主要负责：负责对图书批发、零售管理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市场调研与开发，招投标、商务谈判及合同评审、供方选择及能力评价与调查，顾客档案建立，售后服务及顾客满意度评价与分析，采购管理控制，本部门环境因素和危险源识别和控制，本部门目标制定与实施，与相关方做好沟通，对供方环境、职业健康安全因素等进行控制或施加影响等。</w:t>
            </w:r>
          </w:p>
          <w:p>
            <w:pPr>
              <w:spacing w:line="360" w:lineRule="auto"/>
              <w:rPr>
                <w:rFonts w:hint="default" w:ascii="华文楷体" w:hAnsi="华文楷体" w:eastAsia="华文楷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部门负责人比较了解本部门职责。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 xml:space="preserve">目标 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QE:6.2</w:t>
            </w:r>
          </w:p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O4.3.3</w:t>
            </w:r>
          </w:p>
        </w:tc>
        <w:tc>
          <w:tcPr>
            <w:tcW w:w="10004" w:type="dxa"/>
            <w:vAlign w:val="center"/>
          </w:tcPr>
          <w:p>
            <w:pPr>
              <w:autoSpaceDE w:val="0"/>
              <w:autoSpaceDN w:val="0"/>
              <w:spacing w:line="360" w:lineRule="auto"/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提供上半年供销中心的质量、环境、职业健康安全目标分解及完成情况统计</w:t>
            </w:r>
          </w:p>
          <w:p>
            <w:pPr>
              <w:pStyle w:val="2"/>
              <w:rPr>
                <w:rFonts w:hint="eastAsia"/>
              </w:rPr>
            </w:pP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14"/>
              <w:gridCol w:w="1680"/>
              <w:gridCol w:w="1580"/>
              <w:gridCol w:w="1270"/>
              <w:gridCol w:w="1300"/>
              <w:gridCol w:w="1360"/>
              <w:gridCol w:w="144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69" w:hRule="atLeast"/>
                <w:tblHeader/>
              </w:trPr>
              <w:tc>
                <w:tcPr>
                  <w:tcW w:w="814" w:type="dxa"/>
                  <w:vMerge w:val="restart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部门</w:t>
                  </w:r>
                </w:p>
              </w:tc>
              <w:tc>
                <w:tcPr>
                  <w:tcW w:w="3260" w:type="dxa"/>
                  <w:gridSpan w:val="2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质量目标</w:t>
                  </w:r>
                </w:p>
              </w:tc>
              <w:tc>
                <w:tcPr>
                  <w:tcW w:w="2570" w:type="dxa"/>
                  <w:gridSpan w:val="2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职业健康安全目标</w:t>
                  </w:r>
                </w:p>
              </w:tc>
              <w:tc>
                <w:tcPr>
                  <w:tcW w:w="2800" w:type="dxa"/>
                  <w:gridSpan w:val="2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环境目标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50" w:hRule="atLeast"/>
                <w:tblHeader/>
              </w:trPr>
              <w:tc>
                <w:tcPr>
                  <w:tcW w:w="814" w:type="dxa"/>
                  <w:vMerge w:val="continue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680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目标</w:t>
                  </w:r>
                </w:p>
              </w:tc>
              <w:tc>
                <w:tcPr>
                  <w:tcW w:w="1580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完成情况</w:t>
                  </w:r>
                </w:p>
              </w:tc>
              <w:tc>
                <w:tcPr>
                  <w:tcW w:w="1270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目标</w:t>
                  </w:r>
                </w:p>
              </w:tc>
              <w:tc>
                <w:tcPr>
                  <w:tcW w:w="1300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完成情况</w:t>
                  </w:r>
                </w:p>
              </w:tc>
              <w:tc>
                <w:tcPr>
                  <w:tcW w:w="1360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指标</w:t>
                  </w:r>
                </w:p>
              </w:tc>
              <w:tc>
                <w:tcPr>
                  <w:tcW w:w="1440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完成情况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1690" w:hRule="atLeast"/>
              </w:trPr>
              <w:tc>
                <w:tcPr>
                  <w:tcW w:w="814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供销中心</w:t>
                  </w:r>
                </w:p>
              </w:tc>
              <w:tc>
                <w:tcPr>
                  <w:tcW w:w="1680" w:type="dxa"/>
                  <w:noWrap w:val="0"/>
                  <w:vAlign w:val="center"/>
                </w:tcPr>
                <w:p>
                  <w:pPr>
                    <w:spacing w:line="400" w:lineRule="exact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无重大顾客投诉；</w:t>
                  </w:r>
                </w:p>
                <w:p>
                  <w:pPr>
                    <w:spacing w:line="400" w:lineRule="exact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顾客满意度达到92%；</w:t>
                  </w:r>
                </w:p>
                <w:p>
                  <w:pPr>
                    <w:spacing w:line="400" w:lineRule="exact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顾客意见处理率100%</w:t>
                  </w:r>
                </w:p>
              </w:tc>
              <w:tc>
                <w:tcPr>
                  <w:tcW w:w="1580" w:type="dxa"/>
                  <w:noWrap w:val="0"/>
                  <w:vAlign w:val="center"/>
                </w:tcPr>
                <w:p>
                  <w:pPr>
                    <w:spacing w:line="400" w:lineRule="exact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无发生顾客投诉。</w:t>
                  </w:r>
                </w:p>
                <w:p>
                  <w:pPr>
                    <w:spacing w:line="400" w:lineRule="exact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顾客满意度96%；</w:t>
                  </w:r>
                </w:p>
                <w:p>
                  <w:pPr>
                    <w:spacing w:line="400" w:lineRule="exact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顾客意见处理率100%。</w:t>
                  </w:r>
                </w:p>
              </w:tc>
              <w:tc>
                <w:tcPr>
                  <w:tcW w:w="1270" w:type="dxa"/>
                  <w:noWrap w:val="0"/>
                  <w:vAlign w:val="center"/>
                </w:tcPr>
                <w:p>
                  <w:pPr>
                    <w:spacing w:line="400" w:lineRule="exact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无工伤事故</w:t>
                  </w:r>
                </w:p>
              </w:tc>
              <w:tc>
                <w:tcPr>
                  <w:tcW w:w="1300" w:type="dxa"/>
                  <w:noWrap w:val="0"/>
                  <w:vAlign w:val="center"/>
                </w:tcPr>
                <w:p>
                  <w:pPr>
                    <w:spacing w:line="400" w:lineRule="exact"/>
                    <w:jc w:val="center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无工伤事故</w:t>
                  </w:r>
                </w:p>
              </w:tc>
              <w:tc>
                <w:tcPr>
                  <w:tcW w:w="1360" w:type="dxa"/>
                  <w:noWrap w:val="0"/>
                  <w:vAlign w:val="center"/>
                </w:tcPr>
                <w:p>
                  <w:pPr>
                    <w:spacing w:line="400" w:lineRule="exact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无火灾等环境事故</w:t>
                  </w:r>
                </w:p>
              </w:tc>
              <w:tc>
                <w:tcPr>
                  <w:tcW w:w="1440" w:type="dxa"/>
                  <w:noWrap w:val="0"/>
                  <w:vAlign w:val="center"/>
                </w:tcPr>
                <w:p>
                  <w:pPr>
                    <w:spacing w:line="400" w:lineRule="exact"/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sz w:val="21"/>
                      <w:szCs w:val="21"/>
                    </w:rPr>
                    <w:t>没有发生火灾</w:t>
                  </w:r>
                </w:p>
              </w:tc>
            </w:tr>
          </w:tbl>
          <w:p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编制：  办公室   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7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日      审批：梁艳丽        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7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 xml:space="preserve">日 </w:t>
            </w:r>
          </w:p>
          <w:p>
            <w:pPr>
              <w:pStyle w:val="2"/>
              <w:ind w:left="0" w:leftChars="0" w:firstLine="0" w:firstLineChars="0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经考核已完成。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7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监视和测量资源不适用确认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ind w:right="-6" w:rightChars="-3"/>
              <w:jc w:val="center"/>
              <w:rPr>
                <w:rFonts w:hint="eastAsia" w:ascii="楷体" w:hAnsi="楷体" w:eastAsia="楷体" w:cs="楷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szCs w:val="24"/>
              </w:rPr>
              <w:t>Q：7.1.5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本公司是根据相关国家和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图书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行业标准按固有销售模式从事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销售，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检验采取外观检验的方式进行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无计量器具。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b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运行策划和控制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</w:t>
            </w:r>
            <w:r>
              <w:rPr>
                <w:rFonts w:hint="eastAsia" w:ascii="楷体" w:hAnsi="楷体" w:eastAsia="楷体" w:cs="Arial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8.1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</w:t>
            </w:r>
          </w:p>
        </w:tc>
        <w:tc>
          <w:tcPr>
            <w:tcW w:w="10004" w:type="dxa"/>
            <w:vAlign w:val="center"/>
          </w:tcPr>
          <w:p>
            <w:pPr>
              <w:pStyle w:val="14"/>
              <w:spacing w:line="360" w:lineRule="auto"/>
              <w:ind w:left="0" w:leftChars="0" w:firstLine="0" w:firstLineChars="0"/>
              <w:jc w:val="left"/>
              <w:rPr>
                <w:rFonts w:ascii="楷体" w:hAnsi="楷体" w:eastAsia="楷体" w:cs="楷体"/>
                <w:szCs w:val="24"/>
              </w:rPr>
            </w:pPr>
            <w:r>
              <w:rPr>
                <w:rFonts w:hint="eastAsia" w:ascii="楷体" w:hAnsi="楷体" w:eastAsia="楷体" w:cs="楷体"/>
                <w:kern w:val="0"/>
                <w:szCs w:val="24"/>
                <w:lang w:val="en-US" w:eastAsia="zh-CN"/>
              </w:rPr>
              <w:t>产品</w:t>
            </w:r>
            <w:r>
              <w:rPr>
                <w:rFonts w:hint="eastAsia" w:ascii="楷体" w:hAnsi="楷体" w:eastAsia="楷体" w:cs="楷体"/>
                <w:kern w:val="0"/>
                <w:szCs w:val="24"/>
              </w:rPr>
              <w:t>的实现过程策划主要由总经理和供销</w:t>
            </w:r>
            <w:r>
              <w:rPr>
                <w:rFonts w:hint="eastAsia" w:ascii="楷体" w:hAnsi="楷体" w:eastAsia="楷体" w:cs="楷体"/>
                <w:kern w:val="0"/>
                <w:szCs w:val="24"/>
                <w:lang w:val="en-US" w:eastAsia="zh-CN"/>
              </w:rPr>
              <w:t>中心</w:t>
            </w:r>
            <w:r>
              <w:rPr>
                <w:rFonts w:hint="eastAsia" w:ascii="楷体" w:hAnsi="楷体" w:eastAsia="楷体" w:cs="楷体"/>
                <w:kern w:val="0"/>
                <w:szCs w:val="24"/>
              </w:rPr>
              <w:t>负责人负责完成，过程策划包含</w:t>
            </w:r>
            <w:r>
              <w:rPr>
                <w:rFonts w:hint="eastAsia" w:ascii="楷体" w:hAnsi="楷体" w:eastAsia="楷体" w:cs="楷体"/>
                <w:szCs w:val="24"/>
              </w:rPr>
              <w:t>了国内出版物批发、零售所需要达到的质量目标和要求。</w:t>
            </w:r>
          </w:p>
          <w:p>
            <w:pPr>
              <w:pStyle w:val="14"/>
              <w:spacing w:line="360" w:lineRule="auto"/>
              <w:ind w:left="0" w:leftChars="0" w:firstLine="0" w:firstLineChars="0"/>
              <w:jc w:val="left"/>
              <w:rPr>
                <w:rFonts w:ascii="楷体" w:hAnsi="楷体" w:eastAsia="楷体" w:cs="楷体"/>
                <w:kern w:val="0"/>
                <w:szCs w:val="24"/>
              </w:rPr>
            </w:pPr>
            <w:r>
              <w:rPr>
                <w:rFonts w:hint="eastAsia" w:ascii="楷体" w:hAnsi="楷体" w:eastAsia="楷体" w:cs="楷体"/>
                <w:kern w:val="0"/>
                <w:szCs w:val="24"/>
              </w:rPr>
              <w:t>执行标准《出版物市场管理规定》</w:t>
            </w:r>
            <w:r>
              <w:rPr>
                <w:rFonts w:hint="eastAsia" w:ascii="楷体" w:hAnsi="楷体" w:eastAsia="楷体" w:cs="楷体"/>
                <w:kern w:val="0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kern w:val="0"/>
                <w:szCs w:val="24"/>
              </w:rPr>
              <w:t>《出版管理条例》</w:t>
            </w:r>
            <w:r>
              <w:rPr>
                <w:rFonts w:hint="eastAsia" w:ascii="楷体" w:hAnsi="楷体" w:eastAsia="楷体" w:cs="楷体"/>
                <w:kern w:val="0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kern w:val="0"/>
                <w:szCs w:val="24"/>
              </w:rPr>
              <w:t>（CY/T  2-1999）《印刷</w:t>
            </w:r>
            <w:r>
              <w:rPr>
                <w:rFonts w:hint="eastAsia" w:ascii="楷体" w:hAnsi="楷体" w:eastAsia="楷体" w:cs="楷体"/>
                <w:kern w:val="0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kern w:val="0"/>
                <w:szCs w:val="24"/>
              </w:rPr>
              <w:t>质量评价和分等导则》等。</w:t>
            </w:r>
          </w:p>
          <w:p>
            <w:pPr>
              <w:pStyle w:val="14"/>
              <w:spacing w:line="360" w:lineRule="auto"/>
              <w:ind w:left="420"/>
              <w:jc w:val="left"/>
              <w:rPr>
                <w:rFonts w:ascii="楷体" w:hAnsi="楷体" w:eastAsia="楷体" w:cs="楷体"/>
                <w:kern w:val="0"/>
                <w:szCs w:val="24"/>
              </w:rPr>
            </w:pPr>
            <w:r>
              <w:rPr>
                <w:rFonts w:hint="eastAsia" w:ascii="楷体" w:hAnsi="楷体" w:eastAsia="楷体" w:cs="楷体"/>
                <w:kern w:val="0"/>
                <w:szCs w:val="24"/>
              </w:rPr>
              <w:t>编制了相应的过程文件：</w:t>
            </w:r>
          </w:p>
          <w:p>
            <w:pPr>
              <w:pStyle w:val="14"/>
              <w:spacing w:line="360" w:lineRule="auto"/>
              <w:ind w:left="0"/>
              <w:jc w:val="left"/>
              <w:rPr>
                <w:rFonts w:ascii="楷体" w:hAnsi="楷体" w:eastAsia="楷体" w:cs="楷体"/>
                <w:kern w:val="0"/>
                <w:szCs w:val="24"/>
              </w:rPr>
            </w:pPr>
            <w:r>
              <w:rPr>
                <w:rFonts w:hint="eastAsia" w:ascii="楷体" w:hAnsi="楷体" w:eastAsia="楷体" w:cs="楷体"/>
                <w:kern w:val="0"/>
                <w:szCs w:val="24"/>
              </w:rPr>
              <w:t>（1）编制了销售服务流程：招投标/业务洽谈 → 合同评审 → 采购 → 进货检验 → 交付；</w:t>
            </w:r>
          </w:p>
          <w:p>
            <w:pPr>
              <w:pStyle w:val="14"/>
              <w:spacing w:line="360" w:lineRule="auto"/>
              <w:ind w:left="0"/>
              <w:jc w:val="left"/>
              <w:rPr>
                <w:rFonts w:ascii="楷体" w:hAnsi="楷体" w:eastAsia="楷体" w:cs="楷体"/>
                <w:kern w:val="0"/>
                <w:szCs w:val="24"/>
              </w:rPr>
            </w:pPr>
            <w:r>
              <w:rPr>
                <w:rFonts w:hint="eastAsia" w:ascii="楷体" w:hAnsi="楷体" w:eastAsia="楷体" w:cs="楷体"/>
                <w:kern w:val="0"/>
                <w:szCs w:val="24"/>
              </w:rPr>
              <w:t>（2）制定了作业指导书</w:t>
            </w:r>
            <w:r>
              <w:rPr>
                <w:rFonts w:hint="eastAsia" w:ascii="楷体" w:hAnsi="楷体" w:eastAsia="楷体" w:cs="楷体"/>
                <w:szCs w:val="24"/>
              </w:rPr>
              <w:t>《</w:t>
            </w:r>
            <w:r>
              <w:rPr>
                <w:rFonts w:hint="eastAsia" w:ascii="楷体" w:hAnsi="楷体" w:eastAsia="楷体" w:cs="楷体"/>
                <w:kern w:val="0"/>
                <w:szCs w:val="24"/>
              </w:rPr>
              <w:t>营销服务提供规范》、《营销服务质量的控制规范》、《售后服务规定》、《售后服务人员服务规范》；</w:t>
            </w:r>
          </w:p>
          <w:p>
            <w:pPr>
              <w:pStyle w:val="14"/>
              <w:spacing w:line="360" w:lineRule="auto"/>
              <w:ind w:left="0"/>
              <w:jc w:val="left"/>
              <w:rPr>
                <w:rFonts w:ascii="楷体" w:hAnsi="楷体" w:eastAsia="楷体" w:cs="楷体"/>
                <w:kern w:val="0"/>
                <w:szCs w:val="24"/>
              </w:rPr>
            </w:pPr>
            <w:r>
              <w:rPr>
                <w:rFonts w:hint="eastAsia" w:ascii="楷体" w:hAnsi="楷体" w:eastAsia="楷体" w:cs="楷体"/>
                <w:kern w:val="0"/>
                <w:szCs w:val="24"/>
              </w:rPr>
              <w:t>（3）规定了</w:t>
            </w:r>
            <w:r>
              <w:rPr>
                <w:rFonts w:hint="eastAsia" w:ascii="楷体" w:hAnsi="楷体" w:eastAsia="楷体" w:cs="楷体"/>
                <w:kern w:val="0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kern w:val="0"/>
                <w:szCs w:val="24"/>
              </w:rPr>
              <w:t>的检验验收准则，并制定了相应的检验规范；</w:t>
            </w:r>
            <w:r>
              <w:rPr>
                <w:rFonts w:hint="eastAsia" w:ascii="楷体" w:hAnsi="楷体" w:eastAsia="楷体" w:cs="楷体"/>
                <w:szCs w:val="24"/>
              </w:rPr>
              <w:t>《采购物资检验规范》、《营销服务质量的控制规范》；</w:t>
            </w:r>
          </w:p>
          <w:p>
            <w:pPr>
              <w:pStyle w:val="14"/>
              <w:spacing w:line="360" w:lineRule="auto"/>
              <w:ind w:left="0"/>
              <w:jc w:val="left"/>
              <w:rPr>
                <w:rFonts w:ascii="楷体" w:hAnsi="楷体" w:eastAsia="楷体" w:cs="楷体"/>
                <w:kern w:val="0"/>
                <w:szCs w:val="24"/>
              </w:rPr>
            </w:pPr>
            <w:r>
              <w:rPr>
                <w:rFonts w:hint="eastAsia" w:ascii="楷体" w:hAnsi="楷体" w:eastAsia="楷体" w:cs="楷体"/>
                <w:kern w:val="0"/>
                <w:szCs w:val="24"/>
              </w:rPr>
              <w:t>（4）现场对销售各过程填写有</w:t>
            </w:r>
            <w:r>
              <w:rPr>
                <w:rFonts w:hint="eastAsia" w:ascii="楷体" w:hAnsi="楷体" w:eastAsia="楷体" w:cs="楷体"/>
                <w:kern w:val="0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kern w:val="0"/>
                <w:szCs w:val="24"/>
              </w:rPr>
              <w:t>检验记录、营销人员工作监督表、不合格品处置单、发货单等各种监视和测量记录；</w:t>
            </w:r>
          </w:p>
          <w:p>
            <w:pPr>
              <w:pStyle w:val="14"/>
              <w:spacing w:line="360" w:lineRule="auto"/>
              <w:ind w:left="0"/>
              <w:jc w:val="left"/>
              <w:rPr>
                <w:rFonts w:ascii="楷体" w:hAnsi="楷体" w:eastAsia="楷体" w:cs="楷体"/>
                <w:kern w:val="0"/>
                <w:szCs w:val="24"/>
              </w:rPr>
            </w:pPr>
            <w:r>
              <w:rPr>
                <w:rFonts w:hint="eastAsia" w:ascii="楷体" w:hAnsi="楷体" w:eastAsia="楷体" w:cs="楷体"/>
                <w:kern w:val="0"/>
                <w:szCs w:val="24"/>
              </w:rPr>
              <w:t>（5）资源的提供（包括场所、人力、物力、设备设施等）。</w:t>
            </w:r>
          </w:p>
          <w:p>
            <w:pPr>
              <w:pStyle w:val="14"/>
              <w:spacing w:line="360" w:lineRule="auto"/>
              <w:ind w:left="0" w:firstLine="480" w:firstLineChars="200"/>
              <w:jc w:val="left"/>
              <w:rPr>
                <w:rFonts w:ascii="楷体" w:hAnsi="楷体" w:eastAsia="楷体" w:cs="楷体"/>
                <w:kern w:val="0"/>
                <w:szCs w:val="24"/>
              </w:rPr>
            </w:pPr>
            <w:r>
              <w:rPr>
                <w:rFonts w:hint="eastAsia" w:ascii="楷体" w:hAnsi="楷体" w:eastAsia="楷体"/>
                <w:szCs w:val="24"/>
              </w:rPr>
              <w:t>组织对外包过程的控制详见8.4审核记录，到目前为止，组织运行没有变更，问其有关要求，基本了解。</w:t>
            </w:r>
          </w:p>
          <w:p>
            <w:pPr>
              <w:pStyle w:val="14"/>
              <w:spacing w:line="360" w:lineRule="auto"/>
              <w:ind w:left="420"/>
              <w:jc w:val="left"/>
              <w:rPr>
                <w:rFonts w:ascii="楷体" w:hAnsi="楷体" w:eastAsia="楷体" w:cs="楷体"/>
                <w:szCs w:val="24"/>
              </w:rPr>
            </w:pPr>
            <w:r>
              <w:rPr>
                <w:rFonts w:hint="eastAsia" w:ascii="楷体" w:hAnsi="楷体" w:eastAsia="楷体" w:cs="楷体"/>
                <w:kern w:val="0"/>
                <w:szCs w:val="24"/>
              </w:rPr>
              <w:t>该公司销售服务提供过程策划符合要求。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  <w:lang w:val="en-US" w:eastAsia="zh-CN"/>
              </w:rPr>
              <w:t>产品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和服务的设计和开发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不适用确认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Q8.3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</w:t>
            </w:r>
          </w:p>
        </w:tc>
        <w:tc>
          <w:tcPr>
            <w:tcW w:w="10004" w:type="dxa"/>
            <w:vAlign w:val="center"/>
          </w:tcPr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公司只负责按常规销售模式进行国内出版物批发、零售，不需要再设计开发，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因此将ISO9001：2015标准“8.3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产品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和服务的设计和开发”的要求确认为不适用，该不适用不影响组织确保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和服务合格以及增强顾客满意的能力或责任。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809" w:type="dxa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rPr>
                <w:rFonts w:ascii="楷体" w:hAnsi="楷体" w:eastAsia="楷体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和服务的要求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Q:8.2 </w:t>
            </w:r>
          </w:p>
        </w:tc>
        <w:tc>
          <w:tcPr>
            <w:tcW w:w="10004" w:type="dxa"/>
            <w:vAlign w:val="center"/>
          </w:tcPr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负责人介绍沟通方式：主要是电话、资料传递、招投标会、交流会等形式宣传本公司有关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及公司的有关信誉等。针对合同洽谈、签订、履行过程中的问题，及时电话联系，明确各自的要求，执行合同。目前沟通效果良好。</w:t>
            </w:r>
          </w:p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公司主要通过招标、市场调查、客户的走访、交流会等了解市场的需求状态。主要以招标文件、订单、合同、电话等形式确定与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有关的要求，均已保存或进行相应的记录。</w:t>
            </w:r>
          </w:p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对顾客的要求由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内勤直接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通过招标网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对顾客要求进行识别、确认，对于存在的问题直接提出和顾客进行交流沟通。企业对招标文件要求（即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要求）进行识别确认，由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经理组织人员评审，经评审能满足要求后组织进行投标，并交纳保证金，投标是承诺可以满足顾客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要求的标志，中标后顾客发放中标通知书和采购合同，合同内的要求与招标文件内的要求一致，合同由总经理或其授权人签字并加盖企业公章，视同已经过合同评审，然后回传给顾客，以作为可以满足顾客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要求的承诺的证据。</w:t>
            </w:r>
          </w:p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抽1）20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20.8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日《招投标文件评审记录》，包括了如下内容：顾客名称：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郑州大学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，项目名称：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郑州大学图书馆图书采购、编目、项目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，在招投标文件中明确了质量、价格、交货期、数量、服务、付款方式等要求，开标日期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.1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日，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 xml:space="preserve">评审内容：合同条款是否符合有关法律法规 、履行合同时企业的利益和风险如何、合同条款是否有含糊不清之处、技术、供应、生产等能否满足需要有无特殊要求 、交货期限能否满足、交货方式是否合适、价格是否合理、付款期限是否适当 、有无质量保证要求等，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评审人员：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黄亚迪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李倩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乔文帅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张永艳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等。</w:t>
            </w:r>
          </w:p>
          <w:p>
            <w:pPr>
              <w:pStyle w:val="2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2020.9.1接河南正大招标服务有限公司 中标通知书，2020.9.7日签订《郑州大学政府采购货物合同》</w:t>
            </w:r>
          </w:p>
          <w:p>
            <w:pPr>
              <w:pStyle w:val="2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4146550</wp:posOffset>
                  </wp:positionH>
                  <wp:positionV relativeFrom="paragraph">
                    <wp:posOffset>72390</wp:posOffset>
                  </wp:positionV>
                  <wp:extent cx="1910715" cy="2642235"/>
                  <wp:effectExtent l="0" t="0" r="6985" b="12065"/>
                  <wp:wrapNone/>
                  <wp:docPr id="20" name="图片 20" descr="扫描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扫描00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218" t="10906" r="11271" b="18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5" cy="26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2178685</wp:posOffset>
                  </wp:positionH>
                  <wp:positionV relativeFrom="paragraph">
                    <wp:posOffset>66040</wp:posOffset>
                  </wp:positionV>
                  <wp:extent cx="1763395" cy="2494280"/>
                  <wp:effectExtent l="0" t="0" r="1905" b="7620"/>
                  <wp:wrapNone/>
                  <wp:docPr id="17" name="图片 17" descr="扫描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扫描00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98425</wp:posOffset>
                  </wp:positionV>
                  <wp:extent cx="1903730" cy="2692400"/>
                  <wp:effectExtent l="0" t="0" r="1270" b="0"/>
                  <wp:wrapNone/>
                  <wp:docPr id="16" name="图片 16" descr="扫描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扫描00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2）抽该公司20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.22日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华北水利水电大学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的《招投标文件评审记录》，项目名称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华北水利水电大学中文图书采购及编目、加工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。开标日期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31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 xml:space="preserve">，评审内容：合同条款是否符合有关法律法规 、履行合同时企业的利益和风险如何、合同条款是否有含糊不清之处、技术、供应、生产等能否满足需要有无特殊要求 、交货期限能否满足、交货方式是否合适、价格是否合理、付款期限是否适当 、有无质量保证要求等，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评审人员：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黄亚迪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李倩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乔文帅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张永艳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等。</w:t>
            </w:r>
          </w:p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3）抽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.6.1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河南工程学院图书馆，图书采购项目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的《招投标文件评审记录》；开标日期20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 xml:space="preserve">，评审内容：合同条款是否符合有关法律法规 、履行合同时企业的利益和风险如何、合同条款是否有含糊不清之处、技术、供应、生产等能否满足需要有无特殊要求 、交货期限能否满足、交货方式是否合适、价格是否合理、付款期限是否适当 、有无质量保证要求等，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评审人员：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黄亚迪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李倩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乔文帅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张永艳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批准：梁艳丽。</w:t>
            </w:r>
          </w:p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评审基本同上，以上评审均在开标和签订正式合同之前进行。</w:t>
            </w:r>
          </w:p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经理介绍：目前尚未发生合同更改的情况，询问对更改情况的控制较为明确清楚。 </w:t>
            </w:r>
          </w:p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要求的评审基本符合标准要求。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809" w:type="dxa"/>
            <w:vAlign w:val="center"/>
          </w:tcPr>
          <w:p>
            <w:pPr>
              <w:rPr>
                <w:rFonts w:hint="eastAsia" w:ascii="楷体" w:hAnsi="楷体" w:eastAsia="楷体"/>
                <w:szCs w:val="24"/>
              </w:rPr>
            </w:pPr>
            <w:r>
              <w:rPr>
                <w:rFonts w:hint="eastAsia" w:ascii="楷体" w:hAnsi="楷体" w:eastAsia="楷体" w:cs="Arial"/>
                <w:szCs w:val="24"/>
              </w:rPr>
              <w:t>外部提供过程、</w:t>
            </w:r>
            <w:r>
              <w:rPr>
                <w:rFonts w:hint="eastAsia" w:ascii="楷体" w:hAnsi="楷体" w:eastAsia="楷体" w:cs="Arial"/>
                <w:szCs w:val="24"/>
                <w:lang w:val="en-US" w:eastAsia="zh-CN"/>
              </w:rPr>
              <w:t>产品</w:t>
            </w:r>
            <w:r>
              <w:rPr>
                <w:rFonts w:hint="eastAsia" w:ascii="楷体" w:hAnsi="楷体" w:eastAsia="楷体" w:cs="Arial"/>
                <w:szCs w:val="24"/>
              </w:rPr>
              <w:t>和服务的控制</w:t>
            </w:r>
          </w:p>
        </w:tc>
        <w:tc>
          <w:tcPr>
            <w:tcW w:w="1311" w:type="dxa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240" w:firstLineChars="1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Q8.4 </w:t>
            </w:r>
          </w:p>
        </w:tc>
        <w:tc>
          <w:tcPr>
            <w:tcW w:w="10004" w:type="dxa"/>
          </w:tcPr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保持《外部提供过程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产品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服务控制程序》，程序规定了采购物资分类、供方评价与管理状况、采购信息、采购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验证等内容。对采购的物资进行分类，并依据重要程度分别予以控制。</w:t>
            </w:r>
          </w:p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提供了《合格供方评价标准》，评价内容包含管理体系、质量安全环境要求、交货期、人员、设备、现场、生产能力、资质、价格、服务等，分数比例5-10分不等，各分项有相应的评分标准。</w:t>
            </w:r>
          </w:p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提供了《合格供方名录》，收录清华大学出版社有限公司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北京大学出版社有限公司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化学工业出版社发行部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北京工业大学出版社、北京航空航天大学出版社有限公司、北京理工大学出版社有限责任公、北京旅游教育出版社有限责任公司、北京师范大学出版社(集团)有限公司、北京世纪文景文化传播公司、北京体育大学出版社、北京邮电大学出版社、北岳文艺出版社、成都西南交大出版社有限公、大家出版传媒(大连)股份有限公司、大连理工大学出版社有限公司、东方出版中心有限公司、复且大学出版社有限公司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等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206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个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出版社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，有供方名称，供应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、列入日期、联系人、联系电话、供方详细地址等信息。</w:t>
            </w:r>
          </w:p>
          <w:p>
            <w:pPr>
              <w:tabs>
                <w:tab w:val="left" w:pos="111"/>
              </w:tabs>
              <w:autoSpaceDE w:val="0"/>
              <w:autoSpaceDN w:val="0"/>
              <w:adjustRightInd w:val="0"/>
              <w:spacing w:line="360" w:lineRule="auto"/>
              <w:ind w:right="56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查见《供方评价表》，有供方名称、评价项目及得分、评价结果等内容，录有：山清华大学出版社有限公司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北京大学出版社有限公司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化学工业出版社发行部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北京工业大学出版社、北京航空航天大学出版社有限公司、北京理工大学出版社有限责任公、北京旅游教育出版社有限责任公司、北京师范大学出版社(集团)有限公司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等供方和外包方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206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个，评价人：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黄亚迪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李倩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乔文帅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张永艳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，批准：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梁艳丽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，日期：20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.15日。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组织在对供方进行选择和评价时，收集了企业的相关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的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目录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、合格证等，对于供方的相关资质，应保持更新，但对供方评价应充分考虑环境及职业健康安全方面的要求，与负责人进行了沟通。</w:t>
            </w: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供销经理介绍，根据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招标要求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需要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通过网络向供应商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提报采购申请，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订单生成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后由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组织实施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委托运输公司发公司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。在实施采购前公司与供方进行沟通后编制采购文件，注明名称、数量、要求、交付期等内容，列入采购计划组织实施。</w:t>
            </w: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按中标要求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采购计划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采购计划，均经过审批。</w:t>
            </w: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抽 2020.8.9与机械工业出版社的业务清单</w:t>
            </w: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提供给外部供方的信息表述清晰、充分并经过了批准，能涵盖公司认证范围等的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。</w:t>
            </w: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查到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提供20120.3.22于郑州万宇物流运输有限公司签订的《运输协议》。</w:t>
            </w: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、</w:t>
            </w: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4370070</wp:posOffset>
                  </wp:positionH>
                  <wp:positionV relativeFrom="paragraph">
                    <wp:posOffset>200025</wp:posOffset>
                  </wp:positionV>
                  <wp:extent cx="1893570" cy="2679065"/>
                  <wp:effectExtent l="0" t="0" r="11430" b="635"/>
                  <wp:wrapNone/>
                  <wp:docPr id="23" name="图片 2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26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183515</wp:posOffset>
                  </wp:positionV>
                  <wp:extent cx="2135505" cy="3020695"/>
                  <wp:effectExtent l="0" t="0" r="10795" b="1905"/>
                  <wp:wrapNone/>
                  <wp:docPr id="22" name="图片 22" descr="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新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30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170815</wp:posOffset>
                  </wp:positionV>
                  <wp:extent cx="2195195" cy="3105150"/>
                  <wp:effectExtent l="0" t="0" r="1905" b="6350"/>
                  <wp:wrapNone/>
                  <wp:docPr id="21" name="图片 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ind w:left="0" w:leftChars="0" w:firstLine="0" w:firstLineChars="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采购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验证通常采取查验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外观、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合格证的方式，具体详见8.6工作单。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销售和服务提供的控制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Q：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8.5.1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right="-6" w:rightChars="-3"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公司编制并执行《营销服务提供规范》、《营销服务人员服务规范》、《营销服务质量的控制规范》等。</w:t>
            </w:r>
          </w:p>
          <w:p>
            <w:pPr>
              <w:spacing w:line="360" w:lineRule="auto"/>
              <w:ind w:right="-6" w:rightChars="-3"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现场查看营销工作情况：</w:t>
            </w: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1.以上文件规定了服务提供特性和验收标准，合同的洽商、评定和签订，售后服务保证，客户投诉的处置以及销售人员的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知识业务能力的要求。文件可以指导销售过程的进行。</w:t>
            </w: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2.资源配置齐备，设施设备可以满足要求。</w:t>
            </w: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3.现场查看销售合同都进行了评审、加盖了公司公章。</w:t>
            </w: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4.现场提供有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检验记录表、发货单、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合格证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。</w:t>
            </w: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5.管理人员以及业务员、质检员、库管员都经过了培训，能力满足要求，无特种作业人员。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6.公司将销售过程定为需要确认的过程。查有《特殊过程确认记录表》，20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日对销售过程的人员、销售文件、销售过程确认、过程确认结论等方面进行了过程确认，结论：可以满足过程能力的需求、提供合格的服务。确认人员：</w:t>
            </w:r>
            <w:r>
              <w:rPr>
                <w:rFonts w:hint="eastAsia"/>
                <w:bCs/>
                <w:sz w:val="24"/>
              </w:rPr>
              <w:t>黄亚迪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7.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制定了销售管理制度、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搬运管理制度、仓库管理制度等，规定了操作的步骤、方法、注意事项等，操作人员直接按要求进行控制，防止人为错误。</w:t>
            </w:r>
          </w:p>
          <w:p>
            <w:pPr>
              <w:spacing w:line="360" w:lineRule="auto"/>
              <w:ind w:right="-6" w:rightChars="-3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8.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所有的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都必须经检验合格后方可交付。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质检</w:t>
            </w:r>
            <w:r>
              <w:rPr>
                <w:rFonts w:hint="eastAsia" w:ascii="楷体" w:hAnsi="楷体" w:eastAsia="楷体" w:cs="Arial"/>
                <w:sz w:val="24"/>
                <w:szCs w:val="24"/>
                <w:lang w:val="en-US" w:eastAsia="zh-CN"/>
              </w:rPr>
              <w:t>员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负责</w:t>
            </w:r>
            <w:r>
              <w:rPr>
                <w:rFonts w:hint="eastAsia" w:ascii="楷体" w:hAnsi="楷体" w:eastAsia="楷体" w:cs="Arial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的检验和放行，</w:t>
            </w:r>
            <w:r>
              <w:rPr>
                <w:rFonts w:hint="eastAsia" w:ascii="楷体" w:hAnsi="楷体" w:eastAsia="楷体" w:cs="Arial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经过检验合格后方可放行和交付，</w:t>
            </w:r>
            <w:r>
              <w:rPr>
                <w:rFonts w:hint="eastAsia" w:ascii="楷体" w:hAnsi="楷体" w:eastAsia="楷体" w:cs="Arial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负责</w:t>
            </w:r>
            <w:r>
              <w:rPr>
                <w:rFonts w:hint="eastAsia" w:ascii="楷体" w:hAnsi="楷体" w:eastAsia="楷体" w:cs="Arial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交付和交付后活动的实施，并负责联系售后服务。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发货前由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开具发货单，库管员依据发货单发货，随货同行有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合格证，公司负责联系货运交付到指定地点，经查出库、交付手续齐全。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售后服务由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业务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员按照售后服务规范执行，去客户现场培训和演示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编目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的使用方法和注意事项。</w:t>
            </w:r>
          </w:p>
          <w:p>
            <w:pPr>
              <w:spacing w:line="360" w:lineRule="auto"/>
              <w:ind w:right="-6" w:rightChars="-3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9. 现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场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胡琳娜等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正在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为编号：漯采公开采购-2019-126，漯河医学高等专科学校中文图书项目制作标书，数量1.3万册，医药卫生专业书籍、数量1万册自然科学类图书、数量约7000册社会科学类图书等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。</w:t>
            </w:r>
          </w:p>
          <w:p>
            <w:pPr>
              <w:pStyle w:val="14"/>
              <w:spacing w:line="360" w:lineRule="auto"/>
              <w:ind w:right="-6" w:rightChars="-3"/>
              <w:rPr>
                <w:rFonts w:ascii="楷体" w:hAnsi="楷体" w:eastAsia="楷体" w:cs="楷体"/>
                <w:kern w:val="0"/>
                <w:szCs w:val="24"/>
              </w:rPr>
            </w:pPr>
            <w:r>
              <w:rPr>
                <w:rFonts w:hint="eastAsia" w:ascii="楷体" w:hAnsi="楷体" w:eastAsia="楷体" w:cs="楷体"/>
                <w:kern w:val="0"/>
                <w:szCs w:val="24"/>
              </w:rPr>
              <w:t>组织销售服务过程的控制符合标准规定的要求。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  <w:lang w:val="en-US" w:eastAsia="zh-CN"/>
              </w:rPr>
              <w:t>产品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标识和可追朔性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Q8.5.2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360" w:firstLineChars="15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在《管理手册》中规定公司向顾客提供商品时采取适当措施，确保商品进入公司到销售过程中均被明确标识，包括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名称、种类、规格等信息及销售记录和票据等追溯查阅信息。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通常保留厂家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发货单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、合格证等方式对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进行标识，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附有“合格证”有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名称、型号、日期、质检人员代号等信息。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外包装上有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名称、规格型号、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印刷公司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、数量等，可作为追溯性标识。发货时库管员核对标签无误后再交付。根据采购单、订单编号等进行追溯。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经现场查验标识齐全、清晰、正确，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标识管理基本符合标准要求，并满足实际需要。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  <w:lang w:val="en-US" w:eastAsia="zh-CN"/>
              </w:rPr>
              <w:t>产品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防护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 xml:space="preserve">Q8.5.4 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360" w:firstLineChars="15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企业对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搬运、包装、贮存、运输以及交付等过程的防护实施控制：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配置适宜的搬运工具，采用合理的搬运方法，搬运人员按要求执行，做好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防护，防止丢失和损坏。包装人员核对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合格证，保持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外观清洁、完整，按装箱单核对装箱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，包装后进行正确标识。用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外包装纸裹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紧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扎牢，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避免破损，对运输供方进行合格评定，签订运输合同，保证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运输质量，并对运输质量进行记录，跟踪监督。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sz w:val="24"/>
                <w:szCs w:val="24"/>
              </w:rPr>
              <w:t>公司自体系运行以来，未发生由于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防护不当导致</w:t>
            </w:r>
            <w:r>
              <w:rPr>
                <w:rFonts w:hint="eastAsia" w:ascii="楷体" w:hAnsi="楷体" w:eastAsia="楷体" w:cs="宋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宋体"/>
                <w:sz w:val="24"/>
                <w:szCs w:val="24"/>
                <w:lang w:val="en-US" w:eastAsia="zh-CN"/>
              </w:rPr>
              <w:t>退回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的情况，防护措施能够满足要求。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现场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防护能够按照策划的要求实施，满足策划的要求。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3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更改的控制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Q</w:t>
            </w:r>
            <w:r>
              <w:rPr>
                <w:rFonts w:ascii="楷体" w:hAnsi="楷体" w:eastAsia="楷体"/>
                <w:sz w:val="24"/>
                <w:szCs w:val="24"/>
              </w:rPr>
              <w:t>8.5.6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ind w:left="105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0004" w:type="dxa"/>
          </w:tcPr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据销售负责人介绍目前顾客、供方比较稳定，有关的法律法规没有发生变化，公司业务比较固定，所以销售和服务的提供没有发生过更改，现场也没有发现变更情况，问其有关的要求，比较熟悉。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客户满意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 xml:space="preserve">Q9.1.2 </w:t>
            </w:r>
          </w:p>
        </w:tc>
        <w:tc>
          <w:tcPr>
            <w:tcW w:w="10004" w:type="dxa"/>
          </w:tcPr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公司通过拜访、电话、电邮、问卷等形式，收集顾客反馈信息，监视顾客满意程度，评价体系的有效性，寻求体系改进的机会。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提供《顾客满意程度调查表》，调查包含：企业主要通过开展顾客满意度调查来收集并了解顾客满意的信息，查见顾客满意程度调查表。调查表从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采访书目、图书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质量、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图书发货包装、随书配送的编目数据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、售后服务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到书率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等方面对顾客满意度进行了调查，统计结果表明顾客满意综合率为96%，达到了公司质量目标。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企业对顾客满意度调查样本量较低，调查数据的全面性、客观性等有待进一步改善，顾客建议的跟踪处理反馈等方面有待进一步改善。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企业对顾客满意度的调查、分析利用进行了策划并实施，基本符合标准条款的要求。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环境因素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危险源辨识与评价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E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6.1.2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ascii="楷体" w:hAnsi="楷体" w:eastAsia="楷体" w:cs="楷体"/>
                <w:sz w:val="24"/>
                <w:szCs w:val="24"/>
              </w:rPr>
              <w:t>O4.3.1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snapToGrid w:val="0"/>
              <w:spacing w:line="360" w:lineRule="auto"/>
              <w:ind w:firstLine="48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按照《环境因素识别与评价控制程序》、《危险源辩识风险评价控制程序》对办公过程和销售服务过程的环境因素、危险源进行了辨识，辨识时考虑了三种时态：过去、现在和将来，和三种状态：正常、异常和紧急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查“环境因素识别评价汇总表”，识别了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在办公、采购、销售、相关方等各有关过程的环境因素，包括办公纸张消耗、办公固废排放、车辆尾气排放、废包装物排放、火灾事故的发生等环境因素，识别时能考虑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生命周期观点。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查《重要环境因素清单》，涉及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有2项重要环境因素，包括：火灾、固体废弃物的排放。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控制措施：固废分类存放、垃圾等由办公室负责按规定处置，包装物分类卖掉，日常检查、培训教育，配备有消防器材、进行应急演练等措施。</w:t>
            </w:r>
          </w:p>
          <w:p>
            <w:pPr>
              <w:snapToGrid w:val="0"/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   查“危险源识别及风险评价表”，识别了办公设备辐射、办公设备漏电、采购及销售过程中的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有毒有害、运输汽车事故、火灾等危险源。</w:t>
            </w:r>
          </w:p>
          <w:p>
            <w:pPr>
              <w:spacing w:line="360" w:lineRule="auto"/>
              <w:ind w:firstLine="468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查《不可接受风险清单》，涉及本部门的有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个不可接受风险，包括：触电、火灾。</w:t>
            </w:r>
          </w:p>
          <w:p>
            <w:pPr>
              <w:spacing w:line="360" w:lineRule="auto"/>
              <w:ind w:firstLine="468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控制措施：危险源控制执行管理方案、配备消防器材、个体防护、日常检查、培训教育、应急预案等运行控制措施。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部门识别和评价基本充分，符合规定要求，运行控制参见运行控制条款审核记录。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5" w:hRule="atLeast"/>
        </w:trPr>
        <w:tc>
          <w:tcPr>
            <w:tcW w:w="1809" w:type="dxa"/>
            <w:vAlign w:val="center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运行策划和控制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E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8.1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ascii="楷体" w:hAnsi="楷体" w:eastAsia="楷体" w:cs="楷体"/>
                <w:sz w:val="24"/>
                <w:szCs w:val="24"/>
              </w:rPr>
              <w:t>O4.4.6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E:8.1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ascii="楷体" w:hAnsi="楷体" w:eastAsia="楷体" w:cs="楷体"/>
                <w:sz w:val="24"/>
                <w:szCs w:val="24"/>
              </w:rPr>
              <w:t>O4.4.6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1.编制并实施《固体废弃物控制程序》、《环境保护管理办法》、《相关方管理程序》、《消防安全管理程序》、《劳保、消防用品管理办法》、《职工安全守则》、</w:t>
            </w:r>
            <w:r>
              <w:rPr>
                <w:rFonts w:hint="eastAsia" w:ascii="楷体" w:hAnsi="楷体" w:eastAsia="楷体" w:cs="楷体"/>
                <w:bCs/>
                <w:sz w:val="24"/>
                <w:szCs w:val="24"/>
              </w:rPr>
              <w:t>《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火灾应急响应规范》等环境、职业健康安全控制程序和管理制度。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2.公司通过各地招标或业务洽谈进行销售，流程是招投标/业务洽谈→合同评审→组织货源→销售→售后。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3.公司目前销售的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产品</w:t>
            </w:r>
            <w:r>
              <w:rPr>
                <w:rFonts w:hint="eastAsia" w:ascii="楷体" w:hAnsi="楷体" w:eastAsia="楷体" w:cs="楷体"/>
                <w:bCs/>
                <w:sz w:val="24"/>
                <w:szCs w:val="24"/>
              </w:rPr>
              <w:t>主要是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：国内出版物批发、零售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楷体" w:hAnsi="楷体" w:eastAsia="楷体" w:cs="楷体"/>
                <w:bCs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bCs/>
                <w:sz w:val="24"/>
                <w:szCs w:val="24"/>
              </w:rPr>
              <w:t>全部由厂家提供，均有合格证和使用说明以及检验报告。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4.本部门办公中所使用的办公用品均由公司办公室负责统一打印、复印，产生的废弃物，由办公室统一处理。</w:t>
            </w:r>
          </w:p>
          <w:p>
            <w:pPr>
              <w:snapToGrid w:val="0"/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5.对可回收的固体废弃物，一部分由厂家回收，厂家不回收的公司统一回收再利用或由物资回收公司处理，不可回收的废弃物由公司办公室统一处理，部门不单独处理。</w:t>
            </w:r>
          </w:p>
          <w:p>
            <w:pPr>
              <w:snapToGrid w:val="0"/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6.建立并实施了《相关方管理程序》，</w:t>
            </w:r>
          </w:p>
          <w:p>
            <w:pPr>
              <w:snapToGrid w:val="0"/>
              <w:spacing w:line="360" w:lineRule="auto"/>
              <w:ind w:firstLine="48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提供《对相关方施加影响记录表》，2019.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日对所有采购物资相关方施加影响，内容:将公司的环境/职业健康安全方针、重要环境因素/危险源等，通过传真发函的方式通知对方，记录人黄亚迪 。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7.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供销中心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向供应商发放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代表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黄亚迪签署的《告知书》，显示的内容中包括本公司采购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的造成的环境影响或可能造成的影响，对使用该种物料的员工的要求，供应商在运输这些物料所使用的贮存容器、运输方式对环境和职业健康的影响，到本公司减速慢行、运输路上每4个小时休息1次等。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8．在装卸车时，要求装运人员必须穿戴劳动防护用品，合理使用搬运工具。</w:t>
            </w:r>
          </w:p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9.对外招投标和业务洽谈时明确承诺公司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图书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环保、无毒无害。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部门运行控制在运输外包方管理方面还需加强。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楷体" w:hAnsi="楷体" w:eastAsia="楷体" w:cs="Arial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应急准备和响应</w:t>
            </w:r>
          </w:p>
        </w:tc>
        <w:tc>
          <w:tcPr>
            <w:tcW w:w="1311" w:type="dxa"/>
            <w:vAlign w:val="center"/>
          </w:tcPr>
          <w:p>
            <w:pPr>
              <w:tabs>
                <w:tab w:val="left" w:pos="218"/>
              </w:tabs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E</w:t>
            </w:r>
            <w:r>
              <w:rPr>
                <w:rFonts w:hint="eastAsia" w:ascii="楷体" w:hAnsi="楷体" w:eastAsia="楷体" w:cs="Arial"/>
                <w:sz w:val="24"/>
                <w:szCs w:val="24"/>
              </w:rPr>
              <w:t>8.2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</w:t>
            </w:r>
          </w:p>
          <w:p>
            <w:pPr>
              <w:tabs>
                <w:tab w:val="left" w:pos="218"/>
              </w:tabs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O4.4.7 </w:t>
            </w:r>
          </w:p>
        </w:tc>
        <w:tc>
          <w:tcPr>
            <w:tcW w:w="10004" w:type="dxa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    制定实施了《应急准备和响应控制程序》，制定了火灾、触电、人员伤亡应急预案。内容包括：目的、适用范围、职责、应急处理细则、演习、必备资料等。</w:t>
            </w:r>
          </w:p>
          <w:p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24"/>
              </w:rPr>
            </w:pPr>
            <w:bookmarkStart w:id="0" w:name="_GoBack"/>
            <w:r>
              <w:rPr>
                <w:rFonts w:hint="eastAsia" w:ascii="楷体" w:hAnsi="楷体" w:eastAsia="楷体"/>
                <w:sz w:val="24"/>
                <w:szCs w:val="24"/>
              </w:rPr>
              <w:t>20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.7日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参加了由办公室组织的火灾应急预案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培训及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演练。</w:t>
            </w:r>
          </w:p>
          <w:bookmarkEnd w:id="0"/>
          <w:p>
            <w:pPr>
              <w:spacing w:line="360" w:lineRule="auto"/>
              <w:ind w:firstLine="360" w:firstLineChars="15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自体系运行以来未发生紧急情况。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809" w:type="dxa"/>
          </w:tcPr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>
            <w:pPr>
              <w:tabs>
                <w:tab w:val="left" w:pos="218"/>
              </w:tabs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</w:tc>
        <w:tc>
          <w:tcPr>
            <w:tcW w:w="10004" w:type="dxa"/>
          </w:tcPr>
          <w:p>
            <w:pPr>
              <w:spacing w:line="360" w:lineRule="auto"/>
              <w:rPr>
                <w:rFonts w:ascii="楷体" w:hAnsi="楷体" w:eastAsia="楷体" w:cs="楷体"/>
                <w:sz w:val="24"/>
                <w:szCs w:val="24"/>
              </w:rPr>
            </w:pPr>
          </w:p>
        </w:tc>
        <w:tc>
          <w:tcPr>
            <w:tcW w:w="1585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</w:tbl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ptab w:relativeTo="margin" w:alignment="center" w:leader="none"/>
      </w:r>
    </w:p>
    <w:p>
      <w:pPr>
        <w:pStyle w:val="4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ISC-B-II-31 管理体系审核记录表(03版)</w:t>
                </w:r>
              </w:p>
            </w:txbxContent>
          </v:textbox>
        </v:shape>
      </w:pict>
    </w:r>
    <w:r>
      <w:rPr>
        <w:rStyle w:val="11"/>
        <w:rFonts w:hint="default"/>
      </w:rPr>
      <w:t xml:space="preserve">        </w:t>
    </w:r>
    <w:r>
      <w:rPr>
        <w:rStyle w:val="11"/>
        <w:rFonts w:hint="default"/>
        <w:w w:val="90"/>
      </w:rPr>
      <w:t>Beijing International Standard united Certification Co.,Ltd.</w:t>
    </w:r>
    <w:r>
      <w:rPr>
        <w:rStyle w:val="11"/>
        <w:rFonts w:hint="default"/>
        <w:w w:val="90"/>
        <w:szCs w:val="21"/>
      </w:rPr>
      <w:t xml:space="preserve">  </w:t>
    </w:r>
    <w:r>
      <w:rPr>
        <w:rStyle w:val="11"/>
        <w:rFonts w:hint="default"/>
        <w:w w:val="90"/>
        <w:sz w:val="20"/>
      </w:rPr>
      <w:t xml:space="preserve"> </w:t>
    </w:r>
    <w:r>
      <w:rPr>
        <w:rStyle w:val="11"/>
        <w:rFonts w:hint="default"/>
        <w:w w:val="90"/>
      </w:rPr>
      <w:t xml:space="preserve">                   </w:t>
    </w:r>
  </w:p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4817"/>
    <w:rsid w:val="00005AA6"/>
    <w:rsid w:val="000214B6"/>
    <w:rsid w:val="0002531E"/>
    <w:rsid w:val="0003373A"/>
    <w:rsid w:val="000412F6"/>
    <w:rsid w:val="00045270"/>
    <w:rsid w:val="0004642B"/>
    <w:rsid w:val="00047E49"/>
    <w:rsid w:val="0005199E"/>
    <w:rsid w:val="0005697E"/>
    <w:rsid w:val="000579CF"/>
    <w:rsid w:val="00072B81"/>
    <w:rsid w:val="00076CD3"/>
    <w:rsid w:val="00082216"/>
    <w:rsid w:val="00082398"/>
    <w:rsid w:val="000828F8"/>
    <w:rsid w:val="000849D2"/>
    <w:rsid w:val="000A5E44"/>
    <w:rsid w:val="000A7044"/>
    <w:rsid w:val="000B0541"/>
    <w:rsid w:val="000B1394"/>
    <w:rsid w:val="000B2E9C"/>
    <w:rsid w:val="000B40BD"/>
    <w:rsid w:val="000C123B"/>
    <w:rsid w:val="000C408E"/>
    <w:rsid w:val="000D5401"/>
    <w:rsid w:val="000D5976"/>
    <w:rsid w:val="000D697A"/>
    <w:rsid w:val="000D7F6A"/>
    <w:rsid w:val="000E2B69"/>
    <w:rsid w:val="000E2FCD"/>
    <w:rsid w:val="000E7848"/>
    <w:rsid w:val="000E7EF7"/>
    <w:rsid w:val="000F35F1"/>
    <w:rsid w:val="000F588F"/>
    <w:rsid w:val="000F7D53"/>
    <w:rsid w:val="00101F08"/>
    <w:rsid w:val="001022F1"/>
    <w:rsid w:val="001037D5"/>
    <w:rsid w:val="00112EBF"/>
    <w:rsid w:val="00117BB9"/>
    <w:rsid w:val="00145688"/>
    <w:rsid w:val="00150852"/>
    <w:rsid w:val="0015334D"/>
    <w:rsid w:val="00161106"/>
    <w:rsid w:val="001677C1"/>
    <w:rsid w:val="00172654"/>
    <w:rsid w:val="001737D0"/>
    <w:rsid w:val="00173DEB"/>
    <w:rsid w:val="001904A8"/>
    <w:rsid w:val="001918ED"/>
    <w:rsid w:val="00192A7F"/>
    <w:rsid w:val="001A2536"/>
    <w:rsid w:val="001A2D7F"/>
    <w:rsid w:val="001A3DF8"/>
    <w:rsid w:val="001A572D"/>
    <w:rsid w:val="001A6B4F"/>
    <w:rsid w:val="001C724A"/>
    <w:rsid w:val="001C74CE"/>
    <w:rsid w:val="001D318E"/>
    <w:rsid w:val="001D4AD8"/>
    <w:rsid w:val="001D54FF"/>
    <w:rsid w:val="001E1974"/>
    <w:rsid w:val="001E6122"/>
    <w:rsid w:val="001E61BA"/>
    <w:rsid w:val="001F1494"/>
    <w:rsid w:val="00202BC2"/>
    <w:rsid w:val="002103DA"/>
    <w:rsid w:val="002122D7"/>
    <w:rsid w:val="00214113"/>
    <w:rsid w:val="00215081"/>
    <w:rsid w:val="00215B15"/>
    <w:rsid w:val="00222532"/>
    <w:rsid w:val="002250F7"/>
    <w:rsid w:val="0023038C"/>
    <w:rsid w:val="00237445"/>
    <w:rsid w:val="00237625"/>
    <w:rsid w:val="0024000F"/>
    <w:rsid w:val="00247AD6"/>
    <w:rsid w:val="00250E2E"/>
    <w:rsid w:val="002513BC"/>
    <w:rsid w:val="002518FD"/>
    <w:rsid w:val="00252A48"/>
    <w:rsid w:val="0026497A"/>
    <w:rsid w:val="00264A93"/>
    <w:rsid w:val="002651A6"/>
    <w:rsid w:val="00267E42"/>
    <w:rsid w:val="00271397"/>
    <w:rsid w:val="00281EB5"/>
    <w:rsid w:val="00290C8D"/>
    <w:rsid w:val="00290FC2"/>
    <w:rsid w:val="00293973"/>
    <w:rsid w:val="002973F0"/>
    <w:rsid w:val="002975C1"/>
    <w:rsid w:val="002A0E6E"/>
    <w:rsid w:val="002A2529"/>
    <w:rsid w:val="002A33CC"/>
    <w:rsid w:val="002B01C2"/>
    <w:rsid w:val="002B14DB"/>
    <w:rsid w:val="002B1808"/>
    <w:rsid w:val="002C1ACE"/>
    <w:rsid w:val="002C1AF9"/>
    <w:rsid w:val="002C3E0D"/>
    <w:rsid w:val="002C47E9"/>
    <w:rsid w:val="002D12B3"/>
    <w:rsid w:val="002D41FB"/>
    <w:rsid w:val="002D5116"/>
    <w:rsid w:val="002E0587"/>
    <w:rsid w:val="002E1E1D"/>
    <w:rsid w:val="002F05FA"/>
    <w:rsid w:val="002F307B"/>
    <w:rsid w:val="003075BF"/>
    <w:rsid w:val="00311EBB"/>
    <w:rsid w:val="00312608"/>
    <w:rsid w:val="00317401"/>
    <w:rsid w:val="00320BCB"/>
    <w:rsid w:val="0032358B"/>
    <w:rsid w:val="00326FC1"/>
    <w:rsid w:val="00330405"/>
    <w:rsid w:val="0033189B"/>
    <w:rsid w:val="00331EC6"/>
    <w:rsid w:val="00336052"/>
    <w:rsid w:val="00337922"/>
    <w:rsid w:val="00340867"/>
    <w:rsid w:val="00340CC4"/>
    <w:rsid w:val="00342857"/>
    <w:rsid w:val="00342E9F"/>
    <w:rsid w:val="00351CEE"/>
    <w:rsid w:val="003608CB"/>
    <w:rsid w:val="00362501"/>
    <w:rsid w:val="003627B6"/>
    <w:rsid w:val="0036714F"/>
    <w:rsid w:val="003708D5"/>
    <w:rsid w:val="003744AD"/>
    <w:rsid w:val="00374D02"/>
    <w:rsid w:val="0038061A"/>
    <w:rsid w:val="0038063B"/>
    <w:rsid w:val="00380837"/>
    <w:rsid w:val="003810B0"/>
    <w:rsid w:val="00382518"/>
    <w:rsid w:val="00382EDD"/>
    <w:rsid w:val="003836CA"/>
    <w:rsid w:val="00384306"/>
    <w:rsid w:val="00385291"/>
    <w:rsid w:val="00386A98"/>
    <w:rsid w:val="003A12A3"/>
    <w:rsid w:val="003A1E9C"/>
    <w:rsid w:val="003A3EB1"/>
    <w:rsid w:val="003A7A5C"/>
    <w:rsid w:val="003B4CA7"/>
    <w:rsid w:val="003B7E75"/>
    <w:rsid w:val="003C33A8"/>
    <w:rsid w:val="003D42CB"/>
    <w:rsid w:val="003D6BE3"/>
    <w:rsid w:val="003D736E"/>
    <w:rsid w:val="003E0E52"/>
    <w:rsid w:val="003F20A5"/>
    <w:rsid w:val="003F233D"/>
    <w:rsid w:val="00400B96"/>
    <w:rsid w:val="00401BD6"/>
    <w:rsid w:val="00405D5F"/>
    <w:rsid w:val="00410914"/>
    <w:rsid w:val="00410B9E"/>
    <w:rsid w:val="00414FA8"/>
    <w:rsid w:val="00415AA3"/>
    <w:rsid w:val="00420C60"/>
    <w:rsid w:val="00423983"/>
    <w:rsid w:val="00424D15"/>
    <w:rsid w:val="0042604D"/>
    <w:rsid w:val="00430432"/>
    <w:rsid w:val="00433759"/>
    <w:rsid w:val="0043494E"/>
    <w:rsid w:val="00440B76"/>
    <w:rsid w:val="004414A5"/>
    <w:rsid w:val="00456697"/>
    <w:rsid w:val="00465FE1"/>
    <w:rsid w:val="00471378"/>
    <w:rsid w:val="00475491"/>
    <w:rsid w:val="004869FB"/>
    <w:rsid w:val="00491735"/>
    <w:rsid w:val="00494A46"/>
    <w:rsid w:val="004B1EC1"/>
    <w:rsid w:val="004B217F"/>
    <w:rsid w:val="004B3600"/>
    <w:rsid w:val="004B3E7F"/>
    <w:rsid w:val="004B437C"/>
    <w:rsid w:val="004B768D"/>
    <w:rsid w:val="004C07FE"/>
    <w:rsid w:val="004D3E4C"/>
    <w:rsid w:val="004D4610"/>
    <w:rsid w:val="004E2863"/>
    <w:rsid w:val="004F185D"/>
    <w:rsid w:val="00502126"/>
    <w:rsid w:val="005037D9"/>
    <w:rsid w:val="00504418"/>
    <w:rsid w:val="005056ED"/>
    <w:rsid w:val="00506D58"/>
    <w:rsid w:val="00513A36"/>
    <w:rsid w:val="005159E6"/>
    <w:rsid w:val="00516106"/>
    <w:rsid w:val="005162A7"/>
    <w:rsid w:val="00517E4C"/>
    <w:rsid w:val="00521CF0"/>
    <w:rsid w:val="005272FD"/>
    <w:rsid w:val="00527516"/>
    <w:rsid w:val="00530B0E"/>
    <w:rsid w:val="00530BBE"/>
    <w:rsid w:val="0053208B"/>
    <w:rsid w:val="00532214"/>
    <w:rsid w:val="00534814"/>
    <w:rsid w:val="00536930"/>
    <w:rsid w:val="0054270E"/>
    <w:rsid w:val="00542A03"/>
    <w:rsid w:val="00547980"/>
    <w:rsid w:val="00552F32"/>
    <w:rsid w:val="005577C1"/>
    <w:rsid w:val="00560A2A"/>
    <w:rsid w:val="00564E53"/>
    <w:rsid w:val="00564E58"/>
    <w:rsid w:val="00571DE8"/>
    <w:rsid w:val="0057559A"/>
    <w:rsid w:val="00580224"/>
    <w:rsid w:val="00581B74"/>
    <w:rsid w:val="00583277"/>
    <w:rsid w:val="00583744"/>
    <w:rsid w:val="00584E4C"/>
    <w:rsid w:val="00592C3E"/>
    <w:rsid w:val="00595FA8"/>
    <w:rsid w:val="005A000F"/>
    <w:rsid w:val="005A045C"/>
    <w:rsid w:val="005A1ED6"/>
    <w:rsid w:val="005A4E86"/>
    <w:rsid w:val="005B173D"/>
    <w:rsid w:val="005B6888"/>
    <w:rsid w:val="005B78B3"/>
    <w:rsid w:val="005C1396"/>
    <w:rsid w:val="005D3185"/>
    <w:rsid w:val="005F3F52"/>
    <w:rsid w:val="005F4B95"/>
    <w:rsid w:val="005F6C65"/>
    <w:rsid w:val="00600F02"/>
    <w:rsid w:val="0060444D"/>
    <w:rsid w:val="006122FC"/>
    <w:rsid w:val="00622CB5"/>
    <w:rsid w:val="00624138"/>
    <w:rsid w:val="0062550A"/>
    <w:rsid w:val="006354BB"/>
    <w:rsid w:val="00642776"/>
    <w:rsid w:val="00644FE2"/>
    <w:rsid w:val="00645FB8"/>
    <w:rsid w:val="00650809"/>
    <w:rsid w:val="0065134F"/>
    <w:rsid w:val="00651986"/>
    <w:rsid w:val="006545E8"/>
    <w:rsid w:val="00664736"/>
    <w:rsid w:val="00665701"/>
    <w:rsid w:val="00665980"/>
    <w:rsid w:val="00672BD0"/>
    <w:rsid w:val="0067640C"/>
    <w:rsid w:val="00677086"/>
    <w:rsid w:val="006836D9"/>
    <w:rsid w:val="00686699"/>
    <w:rsid w:val="00686D0C"/>
    <w:rsid w:val="006937E6"/>
    <w:rsid w:val="00695256"/>
    <w:rsid w:val="00695570"/>
    <w:rsid w:val="00696AF1"/>
    <w:rsid w:val="006A3B31"/>
    <w:rsid w:val="006A66C1"/>
    <w:rsid w:val="006A68F3"/>
    <w:rsid w:val="006B06F4"/>
    <w:rsid w:val="006B20B9"/>
    <w:rsid w:val="006B2C6D"/>
    <w:rsid w:val="006B4127"/>
    <w:rsid w:val="006C24BF"/>
    <w:rsid w:val="006C40B9"/>
    <w:rsid w:val="006C6653"/>
    <w:rsid w:val="006E678B"/>
    <w:rsid w:val="006F176F"/>
    <w:rsid w:val="006F50AA"/>
    <w:rsid w:val="006F5843"/>
    <w:rsid w:val="006F599A"/>
    <w:rsid w:val="006F7580"/>
    <w:rsid w:val="00703009"/>
    <w:rsid w:val="0070367F"/>
    <w:rsid w:val="00712F3C"/>
    <w:rsid w:val="00713183"/>
    <w:rsid w:val="00715C27"/>
    <w:rsid w:val="007170AA"/>
    <w:rsid w:val="00722A29"/>
    <w:rsid w:val="0072769F"/>
    <w:rsid w:val="00732B66"/>
    <w:rsid w:val="007351E2"/>
    <w:rsid w:val="00737C8F"/>
    <w:rsid w:val="007406DE"/>
    <w:rsid w:val="00740DCC"/>
    <w:rsid w:val="00742E96"/>
    <w:rsid w:val="00743E79"/>
    <w:rsid w:val="00744BEA"/>
    <w:rsid w:val="00751532"/>
    <w:rsid w:val="00751C37"/>
    <w:rsid w:val="0075411F"/>
    <w:rsid w:val="0075521F"/>
    <w:rsid w:val="0075769B"/>
    <w:rsid w:val="0077198E"/>
    <w:rsid w:val="007757F3"/>
    <w:rsid w:val="007815DC"/>
    <w:rsid w:val="00787AEA"/>
    <w:rsid w:val="00793469"/>
    <w:rsid w:val="00796E4A"/>
    <w:rsid w:val="007A197A"/>
    <w:rsid w:val="007A47FB"/>
    <w:rsid w:val="007A7056"/>
    <w:rsid w:val="007B106B"/>
    <w:rsid w:val="007B275D"/>
    <w:rsid w:val="007C587C"/>
    <w:rsid w:val="007D0724"/>
    <w:rsid w:val="007D5776"/>
    <w:rsid w:val="007E4877"/>
    <w:rsid w:val="007E6AEB"/>
    <w:rsid w:val="007F01EC"/>
    <w:rsid w:val="007F7DF2"/>
    <w:rsid w:val="00806CD1"/>
    <w:rsid w:val="008079FA"/>
    <w:rsid w:val="00810D58"/>
    <w:rsid w:val="00823D48"/>
    <w:rsid w:val="0082611C"/>
    <w:rsid w:val="008336D7"/>
    <w:rsid w:val="00835B31"/>
    <w:rsid w:val="00844B5D"/>
    <w:rsid w:val="0084793C"/>
    <w:rsid w:val="00850413"/>
    <w:rsid w:val="00857B4A"/>
    <w:rsid w:val="008646DE"/>
    <w:rsid w:val="00864902"/>
    <w:rsid w:val="00864BE7"/>
    <w:rsid w:val="00865200"/>
    <w:rsid w:val="0087120C"/>
    <w:rsid w:val="00871695"/>
    <w:rsid w:val="008841D8"/>
    <w:rsid w:val="00884879"/>
    <w:rsid w:val="00891C25"/>
    <w:rsid w:val="008945E1"/>
    <w:rsid w:val="008957E5"/>
    <w:rsid w:val="008973EE"/>
    <w:rsid w:val="00897630"/>
    <w:rsid w:val="008A3B66"/>
    <w:rsid w:val="008B1414"/>
    <w:rsid w:val="008B2609"/>
    <w:rsid w:val="008C51BA"/>
    <w:rsid w:val="008D089D"/>
    <w:rsid w:val="008D427B"/>
    <w:rsid w:val="008E31F5"/>
    <w:rsid w:val="008F0B04"/>
    <w:rsid w:val="008F3FE0"/>
    <w:rsid w:val="008F41A1"/>
    <w:rsid w:val="008F7C55"/>
    <w:rsid w:val="00900C72"/>
    <w:rsid w:val="0090248D"/>
    <w:rsid w:val="00907732"/>
    <w:rsid w:val="00922540"/>
    <w:rsid w:val="00930694"/>
    <w:rsid w:val="0093521F"/>
    <w:rsid w:val="00936368"/>
    <w:rsid w:val="00936493"/>
    <w:rsid w:val="00942412"/>
    <w:rsid w:val="00945677"/>
    <w:rsid w:val="00951FB6"/>
    <w:rsid w:val="00954FA5"/>
    <w:rsid w:val="00955B84"/>
    <w:rsid w:val="009610F8"/>
    <w:rsid w:val="00962113"/>
    <w:rsid w:val="00962F78"/>
    <w:rsid w:val="0096609F"/>
    <w:rsid w:val="00966D8E"/>
    <w:rsid w:val="00971600"/>
    <w:rsid w:val="00983B0D"/>
    <w:rsid w:val="00984342"/>
    <w:rsid w:val="00987356"/>
    <w:rsid w:val="009973B4"/>
    <w:rsid w:val="009A5193"/>
    <w:rsid w:val="009A76A1"/>
    <w:rsid w:val="009B7EB8"/>
    <w:rsid w:val="009D1FC3"/>
    <w:rsid w:val="009D48E6"/>
    <w:rsid w:val="009D6D70"/>
    <w:rsid w:val="009D7E11"/>
    <w:rsid w:val="009E30DA"/>
    <w:rsid w:val="009E6193"/>
    <w:rsid w:val="009E7DD1"/>
    <w:rsid w:val="009F609F"/>
    <w:rsid w:val="009F7EED"/>
    <w:rsid w:val="00A01006"/>
    <w:rsid w:val="00A115EA"/>
    <w:rsid w:val="00A119E9"/>
    <w:rsid w:val="00A138EC"/>
    <w:rsid w:val="00A169D0"/>
    <w:rsid w:val="00A26E44"/>
    <w:rsid w:val="00A34B9E"/>
    <w:rsid w:val="00A458FE"/>
    <w:rsid w:val="00A53106"/>
    <w:rsid w:val="00A6128F"/>
    <w:rsid w:val="00A672B4"/>
    <w:rsid w:val="00A7595A"/>
    <w:rsid w:val="00A801DE"/>
    <w:rsid w:val="00A90A22"/>
    <w:rsid w:val="00A95DF8"/>
    <w:rsid w:val="00A960E3"/>
    <w:rsid w:val="00A97734"/>
    <w:rsid w:val="00AA1A59"/>
    <w:rsid w:val="00AA6C7E"/>
    <w:rsid w:val="00AA7F40"/>
    <w:rsid w:val="00AB2990"/>
    <w:rsid w:val="00AB3547"/>
    <w:rsid w:val="00AB41FC"/>
    <w:rsid w:val="00AB7D2F"/>
    <w:rsid w:val="00AC3C8A"/>
    <w:rsid w:val="00AC763E"/>
    <w:rsid w:val="00AD1C7F"/>
    <w:rsid w:val="00AD333E"/>
    <w:rsid w:val="00AD6F34"/>
    <w:rsid w:val="00AF0AAB"/>
    <w:rsid w:val="00AF156F"/>
    <w:rsid w:val="00AF616B"/>
    <w:rsid w:val="00B00F82"/>
    <w:rsid w:val="00B0685B"/>
    <w:rsid w:val="00B077F0"/>
    <w:rsid w:val="00B17A56"/>
    <w:rsid w:val="00B20E72"/>
    <w:rsid w:val="00B22D22"/>
    <w:rsid w:val="00B23030"/>
    <w:rsid w:val="00B237B9"/>
    <w:rsid w:val="00B23A5E"/>
    <w:rsid w:val="00B23CAA"/>
    <w:rsid w:val="00B2585D"/>
    <w:rsid w:val="00B362B9"/>
    <w:rsid w:val="00B410EE"/>
    <w:rsid w:val="00B4369C"/>
    <w:rsid w:val="00B443E9"/>
    <w:rsid w:val="00B57EAB"/>
    <w:rsid w:val="00B64949"/>
    <w:rsid w:val="00B81284"/>
    <w:rsid w:val="00B8202D"/>
    <w:rsid w:val="00B857F1"/>
    <w:rsid w:val="00B929FD"/>
    <w:rsid w:val="00B95B99"/>
    <w:rsid w:val="00B95F69"/>
    <w:rsid w:val="00B97B53"/>
    <w:rsid w:val="00BC2015"/>
    <w:rsid w:val="00BC36BE"/>
    <w:rsid w:val="00BC6CDF"/>
    <w:rsid w:val="00BC71B0"/>
    <w:rsid w:val="00BE2675"/>
    <w:rsid w:val="00BE6A10"/>
    <w:rsid w:val="00BF597E"/>
    <w:rsid w:val="00C00AEE"/>
    <w:rsid w:val="00C028B7"/>
    <w:rsid w:val="00C0299D"/>
    <w:rsid w:val="00C03098"/>
    <w:rsid w:val="00C0339F"/>
    <w:rsid w:val="00C10703"/>
    <w:rsid w:val="00C14685"/>
    <w:rsid w:val="00C173F0"/>
    <w:rsid w:val="00C31C73"/>
    <w:rsid w:val="00C342F8"/>
    <w:rsid w:val="00C42C8D"/>
    <w:rsid w:val="00C46B78"/>
    <w:rsid w:val="00C51A36"/>
    <w:rsid w:val="00C548BE"/>
    <w:rsid w:val="00C55228"/>
    <w:rsid w:val="00C67E19"/>
    <w:rsid w:val="00C67E47"/>
    <w:rsid w:val="00C71E85"/>
    <w:rsid w:val="00C73543"/>
    <w:rsid w:val="00C74F8C"/>
    <w:rsid w:val="00C81ACE"/>
    <w:rsid w:val="00C86F9B"/>
    <w:rsid w:val="00C87FEE"/>
    <w:rsid w:val="00C911DA"/>
    <w:rsid w:val="00C920A9"/>
    <w:rsid w:val="00CA22B6"/>
    <w:rsid w:val="00CA5A02"/>
    <w:rsid w:val="00CB0B69"/>
    <w:rsid w:val="00CB11CC"/>
    <w:rsid w:val="00CB260B"/>
    <w:rsid w:val="00CE2A9E"/>
    <w:rsid w:val="00CE315A"/>
    <w:rsid w:val="00CE7BE1"/>
    <w:rsid w:val="00CF147A"/>
    <w:rsid w:val="00CF1726"/>
    <w:rsid w:val="00CF46F8"/>
    <w:rsid w:val="00CF615B"/>
    <w:rsid w:val="00CF6C5C"/>
    <w:rsid w:val="00D02852"/>
    <w:rsid w:val="00D02F7F"/>
    <w:rsid w:val="00D02FF8"/>
    <w:rsid w:val="00D06F59"/>
    <w:rsid w:val="00D2302E"/>
    <w:rsid w:val="00D306EF"/>
    <w:rsid w:val="00D3392D"/>
    <w:rsid w:val="00D35353"/>
    <w:rsid w:val="00D363BF"/>
    <w:rsid w:val="00D37F3C"/>
    <w:rsid w:val="00D429D7"/>
    <w:rsid w:val="00D44AD0"/>
    <w:rsid w:val="00D458E8"/>
    <w:rsid w:val="00D5229B"/>
    <w:rsid w:val="00D55BC5"/>
    <w:rsid w:val="00D55E69"/>
    <w:rsid w:val="00D562F6"/>
    <w:rsid w:val="00D566B4"/>
    <w:rsid w:val="00D624A3"/>
    <w:rsid w:val="00D8388C"/>
    <w:rsid w:val="00D87E15"/>
    <w:rsid w:val="00D95656"/>
    <w:rsid w:val="00D96342"/>
    <w:rsid w:val="00D96755"/>
    <w:rsid w:val="00DA0DF0"/>
    <w:rsid w:val="00DA53CD"/>
    <w:rsid w:val="00DA7616"/>
    <w:rsid w:val="00DC4F7D"/>
    <w:rsid w:val="00DD1C8E"/>
    <w:rsid w:val="00DE146D"/>
    <w:rsid w:val="00DE2D80"/>
    <w:rsid w:val="00DE6FCE"/>
    <w:rsid w:val="00DF3ECC"/>
    <w:rsid w:val="00DF76DB"/>
    <w:rsid w:val="00E02739"/>
    <w:rsid w:val="00E038E4"/>
    <w:rsid w:val="00E13D9A"/>
    <w:rsid w:val="00E21843"/>
    <w:rsid w:val="00E32D13"/>
    <w:rsid w:val="00E43822"/>
    <w:rsid w:val="00E44012"/>
    <w:rsid w:val="00E4451E"/>
    <w:rsid w:val="00E44C05"/>
    <w:rsid w:val="00E467AB"/>
    <w:rsid w:val="00E54035"/>
    <w:rsid w:val="00E62996"/>
    <w:rsid w:val="00E63714"/>
    <w:rsid w:val="00E64A51"/>
    <w:rsid w:val="00E676F9"/>
    <w:rsid w:val="00E7040E"/>
    <w:rsid w:val="00E70928"/>
    <w:rsid w:val="00E764D2"/>
    <w:rsid w:val="00E910C0"/>
    <w:rsid w:val="00E9449D"/>
    <w:rsid w:val="00E97424"/>
    <w:rsid w:val="00EA10B1"/>
    <w:rsid w:val="00EA55F7"/>
    <w:rsid w:val="00EB0164"/>
    <w:rsid w:val="00EB2329"/>
    <w:rsid w:val="00EB5DF5"/>
    <w:rsid w:val="00EB65F7"/>
    <w:rsid w:val="00EC42F5"/>
    <w:rsid w:val="00ED0F62"/>
    <w:rsid w:val="00EE482F"/>
    <w:rsid w:val="00EF36E7"/>
    <w:rsid w:val="00F06D09"/>
    <w:rsid w:val="00F101A2"/>
    <w:rsid w:val="00F11201"/>
    <w:rsid w:val="00F14D99"/>
    <w:rsid w:val="00F20EEA"/>
    <w:rsid w:val="00F31A8A"/>
    <w:rsid w:val="00F32CB9"/>
    <w:rsid w:val="00F33729"/>
    <w:rsid w:val="00F35CD7"/>
    <w:rsid w:val="00F3666E"/>
    <w:rsid w:val="00F51005"/>
    <w:rsid w:val="00F5492A"/>
    <w:rsid w:val="00F606E1"/>
    <w:rsid w:val="00F657C4"/>
    <w:rsid w:val="00F6739D"/>
    <w:rsid w:val="00F708CB"/>
    <w:rsid w:val="00F74317"/>
    <w:rsid w:val="00F80C36"/>
    <w:rsid w:val="00F83639"/>
    <w:rsid w:val="00F837D0"/>
    <w:rsid w:val="00F840C3"/>
    <w:rsid w:val="00F856F5"/>
    <w:rsid w:val="00F862A2"/>
    <w:rsid w:val="00F87F8F"/>
    <w:rsid w:val="00F956F5"/>
    <w:rsid w:val="00FA0833"/>
    <w:rsid w:val="00FA350D"/>
    <w:rsid w:val="00FB03C3"/>
    <w:rsid w:val="00FB5A65"/>
    <w:rsid w:val="00FC6FE0"/>
    <w:rsid w:val="00FD1448"/>
    <w:rsid w:val="00FD2869"/>
    <w:rsid w:val="00FD5EE5"/>
    <w:rsid w:val="00FD72A6"/>
    <w:rsid w:val="00FE065B"/>
    <w:rsid w:val="00FE09C9"/>
    <w:rsid w:val="01F27718"/>
    <w:rsid w:val="045C36F4"/>
    <w:rsid w:val="04C27A24"/>
    <w:rsid w:val="06732320"/>
    <w:rsid w:val="108219C2"/>
    <w:rsid w:val="13843BA2"/>
    <w:rsid w:val="16AA44E5"/>
    <w:rsid w:val="1C8B3011"/>
    <w:rsid w:val="1D762108"/>
    <w:rsid w:val="368C33FB"/>
    <w:rsid w:val="3EA25CDB"/>
    <w:rsid w:val="55F37153"/>
    <w:rsid w:val="5930168D"/>
    <w:rsid w:val="5EA12B9A"/>
    <w:rsid w:val="735A4F4E"/>
    <w:rsid w:val="751A167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四号 行距: 1.5 倍行距 首行缩进:  2 字符1 + 首行缩进:  2 字符"/>
    <w:basedOn w:val="1"/>
    <w:qFormat/>
    <w:uiPriority w:val="0"/>
    <w:pPr>
      <w:spacing w:line="360" w:lineRule="auto"/>
      <w:ind w:firstLine="480" w:firstLineChars="200"/>
    </w:pPr>
    <w:rPr>
      <w:kern w:val="0"/>
      <w:sz w:val="28"/>
      <w:szCs w:val="20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fontstyle01"/>
    <w:basedOn w:val="7"/>
    <w:qFormat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13">
    <w:name w:val="fontstyle21"/>
    <w:basedOn w:val="7"/>
    <w:qFormat/>
    <w:uiPriority w:val="0"/>
    <w:rPr>
      <w:rFonts w:hint="default" w:ascii="Times New Roman" w:hAnsi="Times New Roman" w:cs="Times New Roman"/>
      <w:color w:val="000000"/>
      <w:sz w:val="24"/>
      <w:szCs w:val="24"/>
    </w:rPr>
  </w:style>
  <w:style w:type="paragraph" w:customStyle="1" w:styleId="14">
    <w:name w:val="东方正文"/>
    <w:basedOn w:val="1"/>
    <w:qFormat/>
    <w:uiPriority w:val="0"/>
    <w:pPr>
      <w:spacing w:line="400" w:lineRule="exact"/>
      <w:ind w:left="284" w:right="284"/>
    </w:pPr>
    <w:rPr>
      <w:sz w:val="24"/>
    </w:rPr>
  </w:style>
  <w:style w:type="paragraph" w:customStyle="1" w:styleId="15">
    <w:name w:val="_Style 2"/>
    <w:basedOn w:val="1"/>
    <w:qFormat/>
    <w:uiPriority w:val="34"/>
    <w:pPr>
      <w:widowControl/>
      <w:ind w:firstLine="420" w:firstLineChars="200"/>
      <w:jc w:val="left"/>
    </w:pPr>
    <w:rPr>
      <w:kern w:val="0"/>
      <w:sz w:val="20"/>
      <w:lang w:eastAsia="en-US"/>
    </w:rPr>
  </w:style>
  <w:style w:type="paragraph" w:styleId="16">
    <w:name w:val="No Spacing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1295</Words>
  <Characters>7382</Characters>
  <Lines>61</Lines>
  <Paragraphs>17</Paragraphs>
  <TotalTime>1</TotalTime>
  <ScaleCrop>false</ScaleCrop>
  <LinksUpToDate>false</LinksUpToDate>
  <CharactersWithSpaces>8660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LIL</cp:lastModifiedBy>
  <dcterms:modified xsi:type="dcterms:W3CDTF">2020-11-10T14:31:41Z</dcterms:modified>
  <cp:revision>806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