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福建美尚智能家具制造有限公司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Q:23.01.01,23.01.02,23.01.04</w:t>
            </w:r>
          </w:p>
          <w:p>
            <w:pPr>
              <w:spacing w:line="240" w:lineRule="exact"/>
              <w:jc w:val="center"/>
              <w:rPr>
                <w:b/>
                <w:color w:val="000000" w:themeColor="text1"/>
                <w:sz w:val="20"/>
                <w:szCs w:val="20"/>
              </w:rPr>
            </w:pPr>
            <w:r>
              <w:rPr>
                <w:b/>
                <w:color w:val="000000" w:themeColor="text1"/>
                <w:sz w:val="20"/>
                <w:szCs w:val="20"/>
              </w:rPr>
              <w:t>E:23.01.01,23.01.02,23.01.04</w:t>
            </w:r>
          </w:p>
          <w:p>
            <w:pPr>
              <w:spacing w:line="240" w:lineRule="exact"/>
              <w:jc w:val="center"/>
              <w:rPr>
                <w:b/>
                <w:color w:val="000000" w:themeColor="text1"/>
                <w:sz w:val="20"/>
                <w:szCs w:val="20"/>
              </w:rPr>
            </w:pPr>
            <w:r>
              <w:rPr>
                <w:b/>
                <w:color w:val="000000" w:themeColor="text1"/>
                <w:sz w:val="20"/>
                <w:szCs w:val="20"/>
              </w:rPr>
              <w:t>O:23.01.01,23.01.02,23.01.04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Q:23.01.01,23.01.04</w:t>
            </w:r>
          </w:p>
          <w:p>
            <w:pPr>
              <w:spacing w:line="240" w:lineRule="exact"/>
              <w:jc w:val="center"/>
              <w:rPr>
                <w:b/>
                <w:color w:val="000000" w:themeColor="text1"/>
                <w:sz w:val="20"/>
                <w:szCs w:val="20"/>
              </w:rPr>
            </w:pPr>
            <w:r>
              <w:rPr>
                <w:b/>
                <w:color w:val="000000" w:themeColor="text1"/>
                <w:sz w:val="20"/>
                <w:szCs w:val="20"/>
              </w:rPr>
              <w:t>E:23.01.01,23.01.04</w:t>
            </w:r>
          </w:p>
          <w:p>
            <w:pPr>
              <w:spacing w:line="240" w:lineRule="exact"/>
              <w:jc w:val="center"/>
              <w:rPr>
                <w:b/>
                <w:color w:val="000000" w:themeColor="text1"/>
                <w:sz w:val="20"/>
                <w:szCs w:val="20"/>
              </w:rPr>
            </w:pPr>
            <w:r>
              <w:rPr>
                <w:b/>
                <w:color w:val="000000" w:themeColor="text1"/>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福建美尚智能家具制造有限公司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浦城县荣华山大道31号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353400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浦城县荣华山大道31号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353400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钟旭</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17359805666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auto"/>
                <w:sz w:val="20"/>
                <w:szCs w:val="20"/>
              </w:rPr>
            </w:pPr>
            <w:bookmarkStart w:id="14" w:name="法人"/>
            <w:r>
              <w:rPr>
                <w:rFonts w:ascii="宋体" w:hAnsi="宋体"/>
                <w:b/>
                <w:color w:val="auto"/>
                <w:sz w:val="20"/>
                <w:szCs w:val="20"/>
              </w:rPr>
              <w:t>钟旭</w:t>
            </w:r>
            <w:bookmarkEnd w:id="14"/>
          </w:p>
        </w:tc>
        <w:tc>
          <w:tcPr>
            <w:tcW w:w="1362" w:type="dxa"/>
            <w:gridSpan w:val="2"/>
            <w:vAlign w:val="center"/>
          </w:tcPr>
          <w:p>
            <w:pPr>
              <w:spacing w:line="320" w:lineRule="exact"/>
              <w:jc w:val="center"/>
              <w:rPr>
                <w:rFonts w:ascii="宋体" w:hAnsi="宋体"/>
                <w:b/>
                <w:color w:val="auto"/>
                <w:sz w:val="20"/>
                <w:szCs w:val="20"/>
              </w:rPr>
            </w:pPr>
            <w:r>
              <w:rPr>
                <w:rFonts w:hint="eastAsia" w:ascii="宋体" w:hAnsi="宋体"/>
                <w:b/>
                <w:color w:val="auto"/>
                <w:sz w:val="20"/>
                <w:szCs w:val="20"/>
              </w:rPr>
              <w:t>最高管理者</w:t>
            </w:r>
          </w:p>
        </w:tc>
        <w:tc>
          <w:tcPr>
            <w:tcW w:w="1518" w:type="dxa"/>
            <w:gridSpan w:val="2"/>
            <w:vAlign w:val="center"/>
          </w:tcPr>
          <w:p>
            <w:pPr>
              <w:spacing w:line="320" w:lineRule="exact"/>
              <w:rPr>
                <w:rFonts w:ascii="宋体" w:hAnsi="宋体"/>
                <w:b/>
                <w:color w:val="auto"/>
                <w:spacing w:val="-20"/>
                <w:sz w:val="20"/>
                <w:szCs w:val="20"/>
              </w:rPr>
            </w:pPr>
            <w:bookmarkStart w:id="15" w:name="最高管理者"/>
            <w:bookmarkEnd w:id="15"/>
            <w:r>
              <w:rPr>
                <w:rFonts w:ascii="宋体" w:hAnsi="宋体"/>
                <w:b/>
                <w:color w:val="auto"/>
                <w:sz w:val="20"/>
                <w:szCs w:val="20"/>
              </w:rPr>
              <w:t>钟旭</w:t>
            </w:r>
          </w:p>
        </w:tc>
        <w:tc>
          <w:tcPr>
            <w:tcW w:w="1440" w:type="dxa"/>
            <w:gridSpan w:val="5"/>
            <w:vAlign w:val="center"/>
          </w:tcPr>
          <w:p>
            <w:pPr>
              <w:spacing w:line="320" w:lineRule="exact"/>
              <w:rPr>
                <w:rFonts w:ascii="宋体" w:hAnsi="宋体"/>
                <w:b/>
                <w:color w:val="auto"/>
                <w:sz w:val="20"/>
                <w:szCs w:val="20"/>
              </w:rPr>
            </w:pPr>
            <w:r>
              <w:rPr>
                <w:rFonts w:hint="eastAsia" w:ascii="宋体" w:hAnsi="宋体"/>
                <w:b/>
                <w:color w:val="auto"/>
                <w:sz w:val="20"/>
                <w:szCs w:val="20"/>
              </w:rPr>
              <w:t>体系负责人</w:t>
            </w:r>
          </w:p>
        </w:tc>
        <w:tc>
          <w:tcPr>
            <w:tcW w:w="2017" w:type="dxa"/>
            <w:gridSpan w:val="4"/>
            <w:vAlign w:val="center"/>
          </w:tcPr>
          <w:p>
            <w:pPr>
              <w:spacing w:line="320" w:lineRule="exact"/>
              <w:jc w:val="center"/>
              <w:rPr>
                <w:rFonts w:ascii="宋体" w:hAnsi="宋体"/>
                <w:b/>
                <w:color w:val="auto"/>
                <w:sz w:val="20"/>
                <w:szCs w:val="20"/>
              </w:rPr>
            </w:pPr>
            <w:r>
              <w:rPr>
                <w:rFonts w:hint="eastAsia" w:ascii="宋体" w:hAnsi="宋体"/>
                <w:b/>
                <w:color w:val="auto"/>
                <w:spacing w:val="-20"/>
                <w:sz w:val="20"/>
                <w:szCs w:val="20"/>
                <w:lang w:val="en-US" w:eastAsia="zh-CN"/>
              </w:rPr>
              <w:t>周红萍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auto"/>
                <w:sz w:val="20"/>
                <w:szCs w:val="20"/>
                <w:u w:val="single"/>
              </w:rPr>
            </w:pPr>
            <w:bookmarkStart w:id="16" w:name="审核范围"/>
            <w:r>
              <w:rPr>
                <w:rFonts w:ascii="宋体" w:hAnsi="宋体"/>
                <w:b/>
                <w:color w:val="auto"/>
                <w:sz w:val="20"/>
                <w:szCs w:val="20"/>
              </w:rPr>
              <w:t>Q：木制家具的生产</w:t>
            </w:r>
          </w:p>
          <w:p>
            <w:pPr>
              <w:spacing w:line="320" w:lineRule="exact"/>
              <w:rPr>
                <w:rFonts w:ascii="宋体" w:hAnsi="宋体"/>
                <w:b/>
                <w:color w:val="auto"/>
                <w:sz w:val="20"/>
                <w:szCs w:val="20"/>
              </w:rPr>
            </w:pPr>
            <w:r>
              <w:rPr>
                <w:rFonts w:ascii="宋体" w:hAnsi="宋体"/>
                <w:b/>
                <w:color w:val="auto"/>
                <w:sz w:val="20"/>
                <w:szCs w:val="20"/>
              </w:rPr>
              <w:t>E：木制家具的生产及所涉及的相关环境管理活动。</w:t>
            </w:r>
          </w:p>
          <w:p>
            <w:pPr>
              <w:spacing w:line="320" w:lineRule="exact"/>
              <w:rPr>
                <w:rFonts w:ascii="宋体" w:hAnsi="宋体"/>
                <w:b/>
                <w:color w:val="auto"/>
                <w:sz w:val="20"/>
                <w:szCs w:val="20"/>
              </w:rPr>
            </w:pPr>
            <w:r>
              <w:rPr>
                <w:rFonts w:ascii="宋体" w:hAnsi="宋体"/>
                <w:b/>
                <w:color w:val="auto"/>
                <w:sz w:val="20"/>
                <w:szCs w:val="20"/>
              </w:rPr>
              <w:t>O：木制家具的生产及所涉及的相关职业健康安全管理活动。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Q：23.01.01;23.01.02;23.01.04</w:t>
            </w:r>
          </w:p>
          <w:p>
            <w:pPr>
              <w:spacing w:line="320" w:lineRule="exact"/>
              <w:rPr>
                <w:rFonts w:ascii="宋体" w:hAnsi="宋体"/>
                <w:b/>
                <w:color w:val="000000" w:themeColor="text1"/>
                <w:sz w:val="20"/>
                <w:szCs w:val="20"/>
              </w:rPr>
            </w:pPr>
            <w:r>
              <w:rPr>
                <w:rFonts w:ascii="宋体" w:hAnsi="宋体"/>
                <w:b/>
                <w:color w:val="000000" w:themeColor="text1"/>
                <w:sz w:val="20"/>
                <w:szCs w:val="20"/>
              </w:rPr>
              <w:t>E：23.01.01;23.01.02;23.01.04</w:t>
            </w:r>
          </w:p>
          <w:p>
            <w:pPr>
              <w:spacing w:line="320" w:lineRule="exact"/>
              <w:rPr>
                <w:rFonts w:ascii="宋体" w:hAnsi="宋体"/>
                <w:b/>
                <w:color w:val="000000" w:themeColor="text1"/>
                <w:sz w:val="20"/>
                <w:szCs w:val="20"/>
              </w:rPr>
            </w:pPr>
            <w:r>
              <w:rPr>
                <w:rFonts w:ascii="宋体" w:hAnsi="宋体"/>
                <w:b/>
                <w:color w:val="000000" w:themeColor="text1"/>
                <w:sz w:val="20"/>
                <w:szCs w:val="20"/>
              </w:rPr>
              <w:t>O：23.01.01;23.01.02;23.01.04</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b/>
                <w:color w:val="0000FF"/>
                <w:spacing w:val="-10"/>
                <w:szCs w:val="21"/>
                <w:lang w:val="en-US" w:eastAsia="zh-CN"/>
              </w:rPr>
              <w:t>2020年5月5日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p>
      <w:pPr>
        <w:rPr>
          <w:b/>
          <w:color w:val="000000" w:themeColor="text1"/>
          <w:szCs w:val="21"/>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高管层</w:t>
            </w:r>
          </w:p>
        </w:tc>
        <w:tc>
          <w:tcPr>
            <w:tcW w:w="6804" w:type="dxa"/>
            <w:vAlign w:val="top"/>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与管理层有关的质量、环境、安全职业健康安全管理活动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员工代表</w:t>
            </w:r>
          </w:p>
        </w:tc>
        <w:tc>
          <w:tcPr>
            <w:tcW w:w="6804" w:type="dxa"/>
            <w:vAlign w:val="top"/>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行政部</w:t>
            </w:r>
          </w:p>
        </w:tc>
        <w:tc>
          <w:tcPr>
            <w:tcW w:w="6804" w:type="dxa"/>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采购部、业务部</w:t>
            </w:r>
          </w:p>
        </w:tc>
        <w:tc>
          <w:tcPr>
            <w:tcW w:w="6804" w:type="dxa"/>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与供方提供材料和服务、与客户有关的策划、实施、放行、交付等质量、环境、安全职业健康安全管理活动安全运行控制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生产部</w:t>
            </w:r>
          </w:p>
        </w:tc>
        <w:tc>
          <w:tcPr>
            <w:tcW w:w="6804" w:type="dxa"/>
          </w:tcPr>
          <w:p>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生产实现的策划、产品实现、基础设备、产品检测与放行，不合格的控制，统计与改进等，质量、环境、安全职业健康安全管理活动运行控制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00" w:lineRule="exact"/>
              <w:jc w:val="center"/>
              <w:rPr>
                <w:rFonts w:ascii="宋体" w:hAnsi="宋体"/>
                <w:b/>
                <w:color w:val="auto"/>
                <w:szCs w:val="21"/>
              </w:rPr>
            </w:pPr>
            <w:r>
              <w:rPr>
                <w:rFonts w:hint="eastAsia" w:asciiTheme="minorEastAsia" w:hAnsiTheme="minorEastAsia" w:eastAsiaTheme="minorEastAsia" w:cstheme="minorEastAsia"/>
                <w:bCs w:val="0"/>
                <w:color w:val="auto"/>
                <w:spacing w:val="0"/>
                <w:kern w:val="2"/>
                <w:sz w:val="21"/>
                <w:szCs w:val="21"/>
                <w:lang w:val="en-US" w:eastAsia="zh-CN" w:bidi="ar-SA"/>
              </w:rPr>
              <w:t>财务部</w:t>
            </w:r>
          </w:p>
        </w:tc>
        <w:tc>
          <w:tcPr>
            <w:tcW w:w="6804" w:type="dxa"/>
          </w:tcPr>
          <w:p>
            <w:pPr>
              <w:jc w:val="left"/>
              <w:rPr>
                <w:rFonts w:hint="eastAsia" w:ascii="宋体" w:hAnsi="宋体" w:eastAsia="宋体"/>
                <w:b/>
                <w:color w:val="auto"/>
                <w:spacing w:val="-20"/>
                <w:szCs w:val="21"/>
                <w:u w:val="single"/>
                <w:lang w:val="en-US" w:eastAsia="zh-CN"/>
              </w:rPr>
            </w:pPr>
            <w:r>
              <w:rPr>
                <w:rFonts w:hint="eastAsia" w:ascii="宋体" w:hAnsi="宋体" w:eastAsia="宋体" w:cs="Times New Roman"/>
                <w:color w:val="auto"/>
                <w:sz w:val="21"/>
                <w:szCs w:val="21"/>
                <w:lang w:val="en-US" w:eastAsia="zh-CN"/>
              </w:rPr>
              <w:t>与财务相关活动</w:t>
            </w:r>
          </w:p>
        </w:tc>
      </w:tr>
    </w:tbl>
    <w:p>
      <w:pPr>
        <w:ind w:left="-137" w:leftChars="-337" w:hanging="571" w:hangingChars="271"/>
        <w:rPr>
          <w:b/>
          <w:color w:val="000000" w:themeColor="text1"/>
          <w:szCs w:val="21"/>
        </w:rPr>
      </w:pPr>
    </w:p>
    <w:p>
      <w:pPr>
        <w:ind w:left="-137" w:leftChars="-337" w:hanging="571" w:hangingChars="271"/>
        <w:rPr>
          <w:b/>
          <w:color w:val="000000" w:themeColor="text1"/>
          <w:szCs w:val="21"/>
        </w:rPr>
      </w:pPr>
    </w:p>
    <w:p>
      <w:pPr>
        <w:ind w:left="-137" w:leftChars="-337" w:hanging="571" w:hangingChars="271"/>
        <w:rPr>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p>
    <w:tbl>
      <w:tblPr>
        <w:tblStyle w:val="10"/>
        <w:tblW w:w="98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7"/>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717"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18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17" w:type="dxa"/>
          </w:tcPr>
          <w:p>
            <w:pPr>
              <w:rPr>
                <w:rFonts w:hint="default" w:eastAsia="宋体"/>
                <w:lang w:val="en-US" w:eastAsia="zh-CN"/>
              </w:rPr>
            </w:pPr>
            <w:r>
              <w:rPr>
                <w:rFonts w:hint="eastAsia"/>
                <w:lang w:val="en-US" w:eastAsia="zh-CN"/>
              </w:rPr>
              <w:t>木制家具生产</w:t>
            </w:r>
          </w:p>
          <w:p>
            <w:pPr>
              <w:pStyle w:val="2"/>
            </w:pPr>
          </w:p>
        </w:tc>
        <w:tc>
          <w:tcPr>
            <w:tcW w:w="6182" w:type="dxa"/>
          </w:tcPr>
          <w:p>
            <w:pPr>
              <w:rPr>
                <w:rFonts w:hint="eastAsia"/>
              </w:rPr>
            </w:pPr>
            <w:r>
              <w:rPr>
                <w:rFonts w:hint="eastAsia"/>
              </w:rPr>
              <w:t>木家具通用技术条件GB/T 3324-2017</w:t>
            </w:r>
          </w:p>
          <w:p>
            <w:pPr>
              <w:rPr>
                <w:rFonts w:hint="default" w:eastAsia="宋体"/>
                <w:lang w:val="en-US" w:eastAsia="zh-CN"/>
              </w:rPr>
            </w:pPr>
            <w:r>
              <w:rPr>
                <w:rFonts w:hint="eastAsia"/>
                <w:lang w:eastAsia="zh-CN"/>
              </w:rPr>
              <w:t>、</w:t>
            </w:r>
            <w:r>
              <w:rPr>
                <w:rFonts w:hint="eastAsia"/>
                <w:lang w:val="en-US" w:eastAsia="zh-CN"/>
              </w:rPr>
              <w:t>客户合同、客户图纸要求等、</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合同法等</w:t>
            </w:r>
          </w:p>
        </w:tc>
      </w:tr>
    </w:tbl>
    <w:p>
      <w:pPr>
        <w:spacing w:line="360" w:lineRule="auto"/>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2020年5月5日</w:t>
      </w:r>
      <w:r>
        <w:rPr>
          <w:rFonts w:hint="eastAsia"/>
          <w:b/>
          <w:color w:val="000000" w:themeColor="text1"/>
          <w:spacing w:val="-10"/>
          <w:szCs w:val="21"/>
        </w:rPr>
        <w:t>至</w:t>
      </w:r>
      <w:r>
        <w:rPr>
          <w:rFonts w:hint="eastAsia"/>
          <w:b/>
          <w:color w:val="000000" w:themeColor="text1"/>
          <w:spacing w:val="-10"/>
          <w:szCs w:val="21"/>
          <w:lang w:val="en-US" w:eastAsia="zh-CN"/>
        </w:rPr>
        <w:t>2020年11月3日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福建美尚智能家具制造有限公司</w:t>
            </w:r>
            <w:r>
              <w:rPr>
                <w:rFonts w:hint="eastAsia" w:asciiTheme="minorEastAsia" w:hAnsiTheme="minorEastAsia" w:eastAsiaTheme="minorEastAsia" w:cstheme="minorEastAsia"/>
                <w:color w:val="auto"/>
                <w:sz w:val="21"/>
                <w:szCs w:val="21"/>
              </w:rPr>
              <w:t>办公室地址位于浦城县荣华山大道31号，于20</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04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日在南平市浦城县市场监督管理局注册成立，注册资本为</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万人民币，在公司发展壮大的</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年里，我们始终为客户提供好的产品和技术支持、健全的售后服务，我公司主要经营家具生产、加工及销售。我们有好的产品和专业的销售和技术团队，如果您对我公司的产品服务有兴趣，期待您在线留言或者来电咨询</w:t>
            </w:r>
            <w:r>
              <w:rPr>
                <w:rFonts w:hint="eastAsia" w:asciiTheme="minorEastAsia" w:hAnsiTheme="minorEastAsia" w:eastAsiaTheme="minorEastAsia" w:cstheme="minorEastAsia"/>
                <w:color w:val="auto"/>
                <w:sz w:val="21"/>
                <w:szCs w:val="21"/>
                <w:lang w:eastAsia="zh-CN"/>
              </w:rPr>
              <w:t>。</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pStyle w:val="2"/>
            </w:pPr>
            <w:r>
              <w:rPr>
                <w:rFonts w:hint="eastAsia" w:asciiTheme="minorEastAsia" w:hAnsiTheme="minorEastAsia" w:eastAsiaTheme="minorEastAsia" w:cstheme="minorEastAsia"/>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pStyle w:val="4"/>
              <w:spacing w:line="4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公司运营过程中充分考虑相关方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pPr>
            <w:r>
              <w:rPr>
                <w:rFonts w:hint="eastAsia" w:asciiTheme="minorEastAsia" w:hAnsiTheme="minorEastAsia" w:eastAsiaTheme="minorEastAsia" w:cstheme="minorEastAsia"/>
                <w:sz w:val="21"/>
                <w:szCs w:val="21"/>
              </w:rPr>
              <w:t>与公司高管交流，内外部相关方需求分析到位。口头交流。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color w:val="auto"/>
                <w:sz w:val="21"/>
                <w:szCs w:val="21"/>
                <w:lang w:eastAsia="zh-CN"/>
              </w:rPr>
              <w:t>质量第一</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eastAsia="zh-CN"/>
              </w:rPr>
              <w:t>顾客至上；合法经营</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eastAsia="zh-CN"/>
              </w:rPr>
              <w:t>安全环保；持续改进</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eastAsia="zh-CN"/>
              </w:rPr>
              <w:t>永攀高峰</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pStyle w:val="3"/>
              <w:spacing w:line="410" w:lineRule="exact"/>
            </w:pPr>
            <w:r>
              <w:rPr>
                <w:rFonts w:hint="eastAsia" w:asciiTheme="minorEastAsia" w:hAnsiTheme="minorEastAsia" w:eastAsiaTheme="minorEastAsia" w:cstheme="minorEastAsia"/>
                <w:sz w:val="21"/>
                <w:szCs w:val="21"/>
              </w:rPr>
              <w:t>经查，质量、环境、职业健康安全管理方针没有变化。</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0"/>
              </w:numPr>
              <w:spacing w:line="240" w:lineRule="exact"/>
              <w:ind w:leftChars="0"/>
              <w:rPr>
                <w:rFonts w:hint="eastAsia"/>
              </w:rPr>
            </w:pPr>
            <w:r>
              <w:rPr>
                <w:rFonts w:hint="eastAsia"/>
                <w:lang w:val="en-US" w:eastAsia="zh-CN"/>
              </w:rPr>
              <w:t xml:space="preserve">4 </w:t>
            </w:r>
            <w:r>
              <w:rPr>
                <w:rFonts w:hint="eastAsia"/>
              </w:rPr>
              <w:t>风险识别与控制策划</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公司制定管</w:t>
            </w:r>
            <w:r>
              <w:rPr>
                <w:rFonts w:hint="eastAsia" w:asciiTheme="minorEastAsia" w:hAnsiTheme="minorEastAsia" w:eastAsiaTheme="minorEastAsia" w:cstheme="minorEastAsia"/>
                <w:color w:val="auto"/>
                <w:sz w:val="21"/>
                <w:szCs w:val="21"/>
              </w:rPr>
              <w:t>理手册中，明确风险和机遇事件的识别方法/途径、风险和机遇事件的评估方式、制定主要风险和机遇事件的应对措施的要求、评价这些措施有效性的方法。</w:t>
            </w:r>
          </w:p>
          <w:p>
            <w:pPr>
              <w:ind w:firstLine="420" w:firstLineChars="200"/>
              <w:rPr>
                <w:b/>
                <w:color w:val="000000" w:themeColor="text1"/>
              </w:rPr>
            </w:pPr>
            <w:r>
              <w:rPr>
                <w:rFonts w:hint="eastAsia" w:asciiTheme="minorEastAsia" w:hAnsiTheme="minorEastAsia" w:eastAsiaTheme="minorEastAsia" w:cstheme="minorEastAsia"/>
                <w:color w:val="auto"/>
                <w:sz w:val="21"/>
                <w:szCs w:val="21"/>
              </w:rPr>
              <w:t>制定了</w:t>
            </w:r>
            <w:r>
              <w:rPr>
                <w:rFonts w:hint="eastAsia" w:asciiTheme="minorEastAsia" w:hAnsiTheme="minorEastAsia" w:eastAsiaTheme="minorEastAsia" w:cstheme="minorEastAsia"/>
                <w:color w:val="auto"/>
                <w:sz w:val="21"/>
                <w:szCs w:val="21"/>
                <w:lang w:eastAsia="zh-CN"/>
              </w:rPr>
              <w:t>风险和机遇的应对文件</w:t>
            </w:r>
            <w:r>
              <w:rPr>
                <w:rFonts w:hint="eastAsia" w:asciiTheme="minorEastAsia" w:hAnsiTheme="minorEastAsia" w:eastAsiaTheme="minorEastAsia" w:cstheme="minorEastAsia"/>
                <w:color w:val="auto"/>
                <w:sz w:val="21"/>
                <w:szCs w:val="21"/>
              </w:rPr>
              <w:t>，提供“风险和机遇识别与控制表”，按照生产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销售、采购、支持过程/部门对风险和机遇进行了评价识别，并制定应对措施。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木制</w:t>
            </w:r>
            <w:r>
              <w:rPr>
                <w:rFonts w:hint="eastAsia" w:asciiTheme="minorEastAsia" w:hAnsiTheme="minorEastAsia" w:eastAsiaTheme="minorEastAsia" w:cstheme="minorEastAsia"/>
                <w:sz w:val="21"/>
                <w:szCs w:val="21"/>
              </w:rPr>
              <w:t>家具：饰面人造板→下料→排孔→封边→组装→成品</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特殊过程：封边</w:t>
            </w:r>
            <w:r>
              <w:rPr>
                <w:rFonts w:hint="eastAsia" w:asciiTheme="minorEastAsia" w:hAnsiTheme="minorEastAsia" w:eastAsiaTheme="minorEastAsia" w:cstheme="minorEastAsia"/>
                <w:sz w:val="21"/>
                <w:szCs w:val="21"/>
                <w:lang w:val="en-US" w:eastAsia="zh-CN"/>
              </w:rPr>
              <w:t xml:space="preserve">   管控措施：见特殊过程确认记录，见生产工艺文件</w:t>
            </w:r>
          </w:p>
          <w:p>
            <w:pPr>
              <w:pStyle w:val="2"/>
              <w:rPr>
                <w:rFonts w:hint="eastAsia" w:ascii="宋体" w:hAnsi="宋体"/>
                <w:b/>
                <w:color w:val="000000" w:themeColor="text1"/>
                <w:sz w:val="20"/>
                <w:szCs w:val="20"/>
              </w:rPr>
            </w:pPr>
            <w:r>
              <w:rPr>
                <w:rFonts w:hint="eastAsia" w:asciiTheme="minorEastAsia" w:hAnsiTheme="minorEastAsia" w:eastAsiaTheme="minorEastAsia" w:cstheme="minorEastAsia"/>
                <w:sz w:val="21"/>
                <w:szCs w:val="21"/>
                <w:lang w:eastAsia="zh-CN"/>
              </w:rPr>
              <w:t>关键过程：封边</w:t>
            </w:r>
            <w:r>
              <w:rPr>
                <w:rFonts w:hint="eastAsia" w:asciiTheme="minorEastAsia" w:hAnsiTheme="minorEastAsia" w:eastAsiaTheme="minorEastAsia" w:cstheme="minorEastAsia"/>
                <w:sz w:val="21"/>
                <w:szCs w:val="21"/>
                <w:lang w:val="en-US" w:eastAsia="zh-CN"/>
              </w:rPr>
              <w:t xml:space="preserve">         管控措施：见生产工艺文件</w:t>
            </w:r>
          </w:p>
          <w:p>
            <w:pPr>
              <w:tabs>
                <w:tab w:val="left" w:pos="540"/>
              </w:tabs>
              <w:spacing w:line="300" w:lineRule="exact"/>
              <w:ind w:left="201" w:leftChars="0" w:hanging="201" w:hangingChars="100"/>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745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rFonts w:hint="eastAsia"/>
                <w:b/>
                <w:color w:val="000000" w:themeColor="text1"/>
                <w:spacing w:val="-10"/>
                <w:sz w:val="20"/>
                <w:szCs w:val="20"/>
                <w:lang w:val="en-US" w:eastAsia="zh-CN"/>
              </w:rPr>
              <w:t>环境因素和</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numPr>
                <w:ilvl w:val="0"/>
                <w:numId w:val="0"/>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提供《环境因素识别与评价程序》，用以指导进行环境因素的识别、登记评价，以确定重要环境因素以及对环境因素的定期更新，环境因素的识别和确定考虑生命周期观点。</w:t>
            </w:r>
          </w:p>
          <w:p>
            <w:pPr>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参加环境因素辨识和评价人员：编制：</w:t>
            </w:r>
            <w:r>
              <w:rPr>
                <w:rFonts w:hint="eastAsia" w:asciiTheme="minorEastAsia" w:hAnsiTheme="minorEastAsia" w:eastAsiaTheme="minorEastAsia" w:cstheme="minorEastAsia"/>
                <w:color w:val="auto"/>
                <w:sz w:val="21"/>
                <w:szCs w:val="21"/>
                <w:lang w:val="en-US" w:eastAsia="zh-CN"/>
              </w:rPr>
              <w:t>周红萍</w:t>
            </w:r>
            <w:r>
              <w:rPr>
                <w:rFonts w:hint="eastAsia" w:asciiTheme="minorEastAsia" w:hAnsiTheme="minorEastAsia" w:eastAsiaTheme="minorEastAsia" w:cstheme="minorEastAsia"/>
                <w:color w:val="auto"/>
                <w:sz w:val="21"/>
                <w:szCs w:val="21"/>
              </w:rPr>
              <w:t xml:space="preserve">  审核：</w:t>
            </w:r>
            <w:r>
              <w:rPr>
                <w:rFonts w:hint="eastAsia" w:asciiTheme="minorEastAsia" w:hAnsiTheme="minorEastAsia" w:eastAsiaTheme="minorEastAsia" w:cstheme="minorEastAsia"/>
                <w:color w:val="auto"/>
                <w:sz w:val="21"/>
                <w:szCs w:val="21"/>
                <w:lang w:eastAsia="zh-CN"/>
              </w:rPr>
              <w:t>钟旭</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2020.5.5</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重要环境因素采用经验/直接判断法，由各部门有管理经验的人员共同讨论、采用直接判断的方法确定重要环境因素，提供了“重要环境因素清单”：本部门的重要环境因素：潜在火灾事故发生，固体废弃物处理；提供了针对重要环境因素，编制的环境目标、指标及管理方案，内容包括：目标、指标、管理措施、完成时间、资金投入等。   </w:t>
            </w:r>
          </w:p>
          <w:p>
            <w:pPr>
              <w:ind w:firstLine="315" w:firstLineChars="15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编制：</w:t>
            </w:r>
            <w:r>
              <w:rPr>
                <w:rFonts w:hint="eastAsia" w:asciiTheme="minorEastAsia" w:hAnsiTheme="minorEastAsia" w:eastAsiaTheme="minorEastAsia" w:cstheme="minorEastAsia"/>
                <w:color w:val="auto"/>
                <w:sz w:val="21"/>
                <w:szCs w:val="21"/>
                <w:lang w:val="en-US" w:eastAsia="zh-CN"/>
              </w:rPr>
              <w:t>周红萍</w:t>
            </w:r>
            <w:r>
              <w:rPr>
                <w:rFonts w:hint="eastAsia" w:asciiTheme="minorEastAsia" w:hAnsiTheme="minorEastAsia" w:eastAsiaTheme="minorEastAsia" w:cstheme="minorEastAsia"/>
                <w:color w:val="auto"/>
                <w:sz w:val="21"/>
                <w:szCs w:val="21"/>
              </w:rPr>
              <w:t xml:space="preserve">  审核：</w:t>
            </w:r>
            <w:r>
              <w:rPr>
                <w:rFonts w:hint="eastAsia" w:asciiTheme="minorEastAsia" w:hAnsiTheme="minorEastAsia" w:eastAsiaTheme="minorEastAsia" w:cstheme="minorEastAsia"/>
                <w:color w:val="auto"/>
                <w:sz w:val="21"/>
                <w:szCs w:val="21"/>
                <w:lang w:eastAsia="zh-CN"/>
              </w:rPr>
              <w:t>钟旭</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2020.5.5</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公司制定的《危险源辨识、风险评价和风险控制程序》，确保公司在所有管理活动或服务过程中能最大限度、充分地进行危险源辨识与风险性评价，确定不可接受风险并及时更新，实现对危险源与不可接受风险的有效控制。</w:t>
            </w:r>
          </w:p>
          <w:p>
            <w:pPr>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 编制：</w:t>
            </w:r>
            <w:r>
              <w:rPr>
                <w:rFonts w:hint="eastAsia" w:asciiTheme="minorEastAsia" w:hAnsiTheme="minorEastAsia" w:eastAsiaTheme="minorEastAsia" w:cstheme="minorEastAsia"/>
                <w:color w:val="auto"/>
                <w:sz w:val="21"/>
                <w:szCs w:val="21"/>
                <w:lang w:val="en-US" w:eastAsia="zh-CN"/>
              </w:rPr>
              <w:t>周红萍</w:t>
            </w:r>
            <w:r>
              <w:rPr>
                <w:rFonts w:hint="eastAsia" w:asciiTheme="minorEastAsia" w:hAnsiTheme="minorEastAsia" w:eastAsiaTheme="minorEastAsia" w:cstheme="minorEastAsia"/>
                <w:color w:val="auto"/>
                <w:sz w:val="21"/>
                <w:szCs w:val="21"/>
              </w:rPr>
              <w:t xml:space="preserve">  审核：</w:t>
            </w:r>
            <w:r>
              <w:rPr>
                <w:rFonts w:hint="eastAsia" w:asciiTheme="minorEastAsia" w:hAnsiTheme="minorEastAsia" w:eastAsiaTheme="minorEastAsia" w:cstheme="minorEastAsia"/>
                <w:color w:val="auto"/>
                <w:sz w:val="21"/>
                <w:szCs w:val="21"/>
                <w:lang w:eastAsia="zh-CN"/>
              </w:rPr>
              <w:t>钟旭</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2020.5.5</w:t>
            </w:r>
          </w:p>
          <w:p>
            <w:pPr>
              <w:spacing w:line="360" w:lineRule="auto"/>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由各部门有管理经验的人员共同讨论、采用直接判断的方法确定不可接受风险。提供了《重大危险源清单》涉及本部门的不可接受风险有：火灾，触电；针对不可接受风险编制了职业健康安全目标、指标及管理方案，内容包括：目标、指标、管理措施、完成时间、资金投入等；编制：</w:t>
            </w:r>
            <w:r>
              <w:rPr>
                <w:rFonts w:hint="eastAsia" w:asciiTheme="minorEastAsia" w:hAnsiTheme="minorEastAsia" w:eastAsiaTheme="minorEastAsia" w:cstheme="minorEastAsia"/>
                <w:color w:val="auto"/>
                <w:sz w:val="21"/>
                <w:szCs w:val="21"/>
                <w:lang w:val="en-US" w:eastAsia="zh-CN"/>
              </w:rPr>
              <w:t>周红萍</w:t>
            </w:r>
            <w:r>
              <w:rPr>
                <w:rFonts w:hint="eastAsia" w:asciiTheme="minorEastAsia" w:hAnsiTheme="minorEastAsia" w:eastAsiaTheme="minorEastAsia" w:cstheme="minorEastAsia"/>
                <w:color w:val="auto"/>
                <w:sz w:val="21"/>
                <w:szCs w:val="21"/>
              </w:rPr>
              <w:t xml:space="preserve">  审核：</w:t>
            </w:r>
            <w:r>
              <w:rPr>
                <w:rFonts w:hint="eastAsia" w:asciiTheme="minorEastAsia" w:hAnsiTheme="minorEastAsia" w:eastAsiaTheme="minorEastAsia" w:cstheme="minorEastAsia"/>
                <w:color w:val="auto"/>
                <w:sz w:val="21"/>
                <w:szCs w:val="21"/>
                <w:lang w:eastAsia="zh-CN"/>
              </w:rPr>
              <w:t>钟旭</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2020.5.5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3"/>
              <w:numPr>
                <w:ilvl w:val="0"/>
                <w:numId w:val="4"/>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overflowPunct w:val="0"/>
              <w:autoSpaceDE w:val="0"/>
              <w:autoSpaceDN w:val="0"/>
              <w:adjustRightIn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公司质量目标是：                                     </w:t>
            </w:r>
          </w:p>
          <w:p>
            <w:pPr>
              <w:numPr>
                <w:ilvl w:val="0"/>
                <w:numId w:val="5"/>
              </w:numPr>
              <w:spacing w:line="41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bCs/>
                <w:sz w:val="21"/>
                <w:szCs w:val="21"/>
              </w:rPr>
              <w:t>质量目标：</w:t>
            </w:r>
            <w:r>
              <w:rPr>
                <w:rFonts w:hint="eastAsia" w:asciiTheme="minorEastAsia" w:hAnsiTheme="minorEastAsia" w:eastAsiaTheme="minorEastAsia" w:cstheme="minorEastAsia"/>
                <w:color w:val="auto"/>
                <w:sz w:val="21"/>
                <w:szCs w:val="21"/>
              </w:rPr>
              <w:t>顾客满意度≥</w:t>
            </w:r>
            <w:r>
              <w:rPr>
                <w:rFonts w:hint="eastAsia" w:asciiTheme="minorEastAsia" w:hAnsiTheme="minorEastAsia" w:eastAsiaTheme="minorEastAsia" w:cstheme="minorEastAsia"/>
                <w:color w:val="auto"/>
                <w:sz w:val="21"/>
                <w:szCs w:val="21"/>
                <w:lang w:val="en-US" w:eastAsia="zh-CN"/>
              </w:rPr>
              <w:t>85</w:t>
            </w:r>
            <w:r>
              <w:rPr>
                <w:rFonts w:hint="eastAsia" w:asciiTheme="minorEastAsia" w:hAnsiTheme="minorEastAsia" w:eastAsiaTheme="minorEastAsia" w:cstheme="minorEastAsia"/>
                <w:color w:val="auto"/>
                <w:sz w:val="21"/>
                <w:szCs w:val="21"/>
              </w:rPr>
              <w:t>分；</w:t>
            </w:r>
          </w:p>
          <w:p>
            <w:pPr>
              <w:numPr>
                <w:ilvl w:val="0"/>
                <w:numId w:val="5"/>
              </w:numPr>
              <w:spacing w:line="41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产品一次交检合格率≥</w:t>
            </w:r>
            <w:r>
              <w:rPr>
                <w:rFonts w:hint="eastAsia" w:asciiTheme="minorEastAsia" w:hAnsiTheme="minorEastAsia" w:eastAsiaTheme="minorEastAsia" w:cstheme="minorEastAsia"/>
                <w:color w:val="auto"/>
                <w:sz w:val="21"/>
                <w:szCs w:val="21"/>
                <w:lang w:val="en-US" w:eastAsia="zh-CN"/>
              </w:rPr>
              <w:t>95%</w:t>
            </w:r>
          </w:p>
          <w:p>
            <w:pPr>
              <w:numPr>
                <w:ilvl w:val="0"/>
                <w:numId w:val="5"/>
              </w:numPr>
              <w:spacing w:line="41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生产计划达成率≥98%</w:t>
            </w:r>
          </w:p>
          <w:p>
            <w:pPr>
              <w:spacing w:line="41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z w:val="21"/>
                <w:szCs w:val="21"/>
              </w:rPr>
              <w:t>环境目标：</w:t>
            </w:r>
            <w:r>
              <w:rPr>
                <w:rFonts w:hint="eastAsia" w:asciiTheme="minorEastAsia" w:hAnsiTheme="minorEastAsia" w:eastAsiaTheme="minorEastAsia" w:cstheme="minorEastAsia"/>
                <w:color w:val="auto"/>
                <w:sz w:val="21"/>
                <w:szCs w:val="21"/>
              </w:rPr>
              <w:t>1.固体废弃物分类管理，处置率100%；</w:t>
            </w:r>
          </w:p>
          <w:p>
            <w:pPr>
              <w:spacing w:line="410" w:lineRule="exact"/>
              <w:ind w:firstLine="1050" w:firstLineChars="5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2.杜绝火灾事故。</w:t>
            </w:r>
          </w:p>
          <w:p>
            <w:pPr>
              <w:spacing w:line="41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职业健康安全目标:</w:t>
            </w:r>
            <w:r>
              <w:rPr>
                <w:rFonts w:hint="eastAsia" w:asciiTheme="minorEastAsia" w:hAnsiTheme="minorEastAsia" w:eastAsiaTheme="minorEastAsia" w:cstheme="minorEastAsia"/>
                <w:sz w:val="21"/>
                <w:szCs w:val="21"/>
              </w:rPr>
              <w:t>1、火灾发生次数为0次/每年</w:t>
            </w:r>
          </w:p>
          <w:p>
            <w:pPr>
              <w:spacing w:line="410" w:lineRule="exact"/>
              <w:ind w:firstLine="1890" w:firstLineChars="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2、操作工人意外损伤控制在0次/每年</w:t>
            </w:r>
          </w:p>
          <w:p>
            <w:pPr>
              <w:spacing w:line="410" w:lineRule="exact"/>
              <w:ind w:firstLine="1890" w:firstLineChars="9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3、触电发生次数为0次/每年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提供《目标指标和管理方案》《目标指标和管理方案考核表》</w:t>
            </w:r>
          </w:p>
          <w:p>
            <w:pPr>
              <w:spacing w:line="240" w:lineRule="exact"/>
              <w:rPr>
                <w:rFonts w:ascii="宋体" w:hAnsi="宋体"/>
                <w:b/>
                <w:color w:val="000000" w:themeColor="text1"/>
              </w:rPr>
            </w:pPr>
            <w:r>
              <w:rPr>
                <w:rFonts w:hint="eastAsia" w:asciiTheme="minorEastAsia" w:hAnsiTheme="minorEastAsia" w:eastAsiaTheme="minorEastAsia" w:cstheme="minorEastAsia"/>
                <w:sz w:val="21"/>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质量/职业健康安全管理程序；</w:t>
            </w:r>
            <w:r>
              <w:rPr>
                <w:rFonts w:hint="eastAsia" w:asciiTheme="minorEastAsia" w:hAnsiTheme="minorEastAsia" w:eastAsiaTheme="minorEastAsia" w:cstheme="minorEastAsia"/>
                <w:color w:val="auto"/>
                <w:sz w:val="21"/>
                <w:szCs w:val="21"/>
              </w:rPr>
              <w:t>文件架构：手册一本、程序文件、三层次文件（作业指导书、规章制度等）、记录表格目前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纸质文件和电子版；自编文件：《受控文件清单》；</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有《记录清单》；记录保存期基本是三年；</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；由办公室统一保存。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1、组织配置了适宜的人员：如管理人员、业务人员、技术员、财务等；人员配置基本满足日常管理体系运行要求；</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2、现场查看，该受审核方未涉及到特殊作业，以及特种作业人员。</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3、组织通过</w:t>
            </w:r>
            <w:r>
              <w:rPr>
                <w:rFonts w:hint="eastAsia" w:asciiTheme="minorEastAsia" w:hAnsiTheme="minorEastAsia" w:eastAsiaTheme="minorEastAsia" w:cstheme="minorEastAsia"/>
                <w:color w:val="auto"/>
                <w:sz w:val="21"/>
                <w:szCs w:val="21"/>
                <w:lang w:eastAsia="zh-CN"/>
              </w:rPr>
              <w:t>业务部</w:t>
            </w:r>
            <w:r>
              <w:rPr>
                <w:rFonts w:hint="eastAsia" w:asciiTheme="minorEastAsia" w:hAnsiTheme="minorEastAsia" w:eastAsiaTheme="minorEastAsia" w:cstheme="minorEastAsia"/>
                <w:color w:val="auto"/>
                <w:sz w:val="21"/>
                <w:szCs w:val="21"/>
              </w:rPr>
              <w:t>、办公室、技术部对供应商的人员和设备等进行了评价，经过评价确定，供应商配备了具备有能保持稳定提供产品的能力。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ind w:firstLine="420" w:firstLineChars="200"/>
              <w:rPr>
                <w:rFonts w:hint="eastAsia"/>
                <w:color w:val="auto"/>
                <w:u w:val="none"/>
                <w:lang w:val="en-US" w:eastAsia="zh-CN"/>
              </w:rPr>
            </w:pPr>
            <w:r>
              <w:rPr>
                <w:rFonts w:hint="eastAsia"/>
              </w:rPr>
              <w:t>查《生产设备台帐》，主要生产设备有</w:t>
            </w:r>
            <w:r>
              <w:rPr>
                <w:rFonts w:hint="eastAsia"/>
                <w:lang w:val="en-US" w:eastAsia="zh-CN"/>
              </w:rPr>
              <w:t>电子开料锯、雕刻机、推台锯封边机、排孔机、铰链排孔机、立式双轴木工铣床、立式单轴木工铣床、立带窜动式磨光机、变频液压式冷压机、液压机、45°封边机、缝纫机、超大型吸尘器</w:t>
            </w:r>
            <w:r>
              <w:rPr>
                <w:rFonts w:hint="eastAsia"/>
                <w:color w:val="auto"/>
                <w:u w:val="none"/>
                <w:lang w:val="en-US" w:eastAsia="zh-CN"/>
              </w:rPr>
              <w:t>等。</w:t>
            </w:r>
          </w:p>
          <w:p>
            <w:pPr>
              <w:pStyle w:val="2"/>
              <w:ind w:firstLine="460" w:firstLineChars="200"/>
              <w:rPr>
                <w:rFonts w:hint="eastAsia"/>
                <w:color w:val="auto"/>
                <w:u w:val="none"/>
                <w:lang w:val="en-US" w:eastAsia="zh-CN"/>
              </w:rPr>
            </w:pPr>
            <w:r>
              <w:rPr>
                <w:rFonts w:hint="eastAsia"/>
                <w:color w:val="auto"/>
                <w:u w:val="none"/>
                <w:lang w:val="en-US" w:eastAsia="zh-CN"/>
              </w:rPr>
              <w:t>打磨房（未使用）和油漆生产线（未使用），油漆产品外包处理，见外包协议</w:t>
            </w:r>
          </w:p>
          <w:p>
            <w:pPr>
              <w:pStyle w:val="2"/>
              <w:rPr>
                <w:rFonts w:hint="default"/>
                <w:lang w:val="en-US" w:eastAsia="zh-CN"/>
              </w:rPr>
            </w:pPr>
            <w:r>
              <w:rPr>
                <w:rFonts w:hint="eastAsia"/>
                <w:lang w:val="en-US" w:eastAsia="zh-CN"/>
              </w:rPr>
              <w:t>特种设备： 龙工叉车一台，见设备操作人员证书</w:t>
            </w:r>
            <w:r>
              <w:rPr>
                <w:rFonts w:hint="eastAsia"/>
                <w:b/>
                <w:bCs w:val="0"/>
                <w:color w:val="FF0000"/>
                <w:u w:val="single"/>
                <w:lang w:val="en-US" w:eastAsia="zh-CN"/>
              </w:rPr>
              <w:t>，未见叉车年检证明N</w:t>
            </w:r>
          </w:p>
          <w:p>
            <w:pPr>
              <w:rPr>
                <w:rFonts w:hint="eastAsia"/>
              </w:rPr>
            </w:pPr>
            <w:r>
              <w:rPr>
                <w:rFonts w:hint="eastAsia"/>
                <w:lang w:val="en-US" w:eastAsia="zh-CN"/>
              </w:rPr>
              <w:t>环保设备：螺杆式空气压缩机、冷冻式空气干燥机、中央除尘系统、灭火器等，</w:t>
            </w:r>
          </w:p>
          <w:p>
            <w:pPr>
              <w:rPr>
                <w:rFonts w:hint="eastAsia"/>
              </w:rPr>
            </w:pPr>
            <w:r>
              <w:rPr>
                <w:rFonts w:hint="eastAsia"/>
              </w:rPr>
              <w:t>均可满足生产</w:t>
            </w:r>
            <w:r>
              <w:rPr>
                <w:rFonts w:hint="eastAsia"/>
                <w:lang w:val="en-US" w:eastAsia="zh-CN"/>
              </w:rPr>
              <w:t>及环保</w:t>
            </w:r>
            <w:r>
              <w:rPr>
                <w:rFonts w:hint="eastAsia"/>
              </w:rPr>
              <w:t>需要。</w:t>
            </w:r>
          </w:p>
          <w:p>
            <w:pPr>
              <w:rPr>
                <w:rFonts w:hint="eastAsia"/>
              </w:rPr>
            </w:pPr>
            <w:r>
              <w:rPr>
                <w:rFonts w:hint="eastAsia"/>
              </w:rPr>
              <w:t>查看生产检测设备完好，维护保养基本得当，能够满足生产符合要求产品的需要。</w:t>
            </w:r>
          </w:p>
          <w:p>
            <w:pPr>
              <w:rPr>
                <w:rFonts w:hint="eastAsia"/>
              </w:rPr>
            </w:pPr>
            <w:r>
              <w:rPr>
                <w:rFonts w:hint="eastAsia"/>
              </w:rPr>
              <w:t>抽生产设备保养、检修情况：推台锯</w:t>
            </w:r>
            <w:r>
              <w:rPr>
                <w:rFonts w:hint="eastAsia"/>
                <w:lang w:eastAsia="zh-CN"/>
              </w:rPr>
              <w:t>、</w:t>
            </w:r>
            <w:r>
              <w:rPr>
                <w:rFonts w:hint="eastAsia"/>
              </w:rPr>
              <w:t>排钻机</w:t>
            </w:r>
            <w:r>
              <w:rPr>
                <w:rFonts w:hint="eastAsia"/>
                <w:lang w:eastAsia="zh-CN"/>
              </w:rPr>
              <w:t>、</w:t>
            </w:r>
            <w:r>
              <w:rPr>
                <w:rFonts w:hint="eastAsia"/>
              </w:rPr>
              <w:t>木工砂光机</w:t>
            </w:r>
            <w:r>
              <w:rPr>
                <w:rFonts w:hint="eastAsia"/>
                <w:lang w:eastAsia="zh-CN"/>
              </w:rPr>
              <w:t>、</w:t>
            </w:r>
            <w:r>
              <w:rPr>
                <w:rFonts w:hint="eastAsia"/>
              </w:rPr>
              <w:t>封边机</w:t>
            </w:r>
            <w:r>
              <w:rPr>
                <w:rFonts w:hint="eastAsia"/>
                <w:lang w:eastAsia="zh-CN"/>
              </w:rPr>
              <w:t>、</w:t>
            </w:r>
            <w:r>
              <w:rPr>
                <w:rFonts w:hint="eastAsia"/>
              </w:rPr>
              <w:t>修边机等设备“设施日常保养项目表”，其显示了设备名称、保养项目、保养时间、保养人等。</w:t>
            </w:r>
          </w:p>
          <w:p>
            <w:pPr>
              <w:rPr>
                <w:rFonts w:ascii="宋体" w:hAnsi="宋体"/>
                <w:b/>
                <w:color w:val="000000" w:themeColor="text1"/>
                <w:sz w:val="20"/>
                <w:szCs w:val="20"/>
              </w:rPr>
            </w:pPr>
            <w:r>
              <w:rPr>
                <w:rFonts w:hint="eastAsia"/>
              </w:rPr>
              <w:t>制定有“生产设备检修计划”，内容有设备名称、检修时间、检修人，提供了设备检修记录，记录清晰，写明了维修内容、维修人等内容，满足策划要求。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生产车间</w:t>
            </w:r>
            <w:r>
              <w:rPr>
                <w:rFonts w:hint="eastAsia" w:asciiTheme="minorEastAsia" w:hAnsiTheme="minorEastAsia" w:eastAsiaTheme="minorEastAsia" w:cstheme="minorEastAsia"/>
                <w:color w:val="auto"/>
                <w:sz w:val="21"/>
                <w:szCs w:val="21"/>
              </w:rPr>
              <w:t>工序布局合理，场所卫生干净整洁，配有通风设施，工作环境良好</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车间有灭火器，并在有效期内。</w:t>
            </w:r>
            <w:r>
              <w:rPr>
                <w:rFonts w:hint="eastAsia" w:asciiTheme="minorEastAsia" w:hAnsiTheme="minorEastAsia" w:eastAsiaTheme="minorEastAsia" w:cstheme="minorEastAsia"/>
                <w:sz w:val="21"/>
                <w:szCs w:val="21"/>
                <w:lang w:val="en-US" w:eastAsia="zh-CN"/>
              </w:rPr>
              <w:t>其他环保设备运转正常。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车间工人在工作前及工作结束后能够及时清理环境及设备。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工人每日工作前，仔细检查设备防护情况。</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 w:val="21"/>
                <w:szCs w:val="21"/>
              </w:rPr>
              <w:t>工作环境得到良好的控制。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rPr>
            </w:pPr>
            <w:r>
              <w:rPr>
                <w:rFonts w:hint="eastAsia"/>
              </w:rPr>
              <w:t>监视和测量资源</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提供了《监视和测量设备登记及送检计划》内容包括监视设备名称、规格、检定周期等。</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检测设备：</w:t>
            </w:r>
            <w:r>
              <w:rPr>
                <w:rFonts w:hint="eastAsia" w:asciiTheme="minorEastAsia" w:hAnsiTheme="minorEastAsia" w:eastAsiaTheme="minorEastAsia" w:cstheme="minorEastAsia"/>
                <w:color w:val="auto"/>
                <w:sz w:val="21"/>
                <w:szCs w:val="21"/>
                <w:lang w:val="en-US" w:eastAsia="zh-CN"/>
              </w:rPr>
              <w:t>游标卡尺、钢卷尺等，提供有效期内的检定/校准证书。</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目前尚没有计算机软件用于规定要求的监视和测量情况。</w:t>
            </w:r>
          </w:p>
          <w:p>
            <w:pPr>
              <w:pStyle w:val="2"/>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经询问，没有自校检测设备，未发生在用的监视和测量设备</w:t>
            </w:r>
            <w:r>
              <w:rPr>
                <w:rFonts w:hint="eastAsia" w:asciiTheme="minorEastAsia" w:hAnsiTheme="minorEastAsia" w:eastAsiaTheme="minorEastAsia" w:cstheme="minorEastAsia"/>
                <w:color w:val="auto"/>
                <w:sz w:val="21"/>
                <w:szCs w:val="21"/>
                <w:lang w:eastAsia="zh-CN"/>
              </w:rPr>
              <w:t>有</w:t>
            </w:r>
            <w:r>
              <w:rPr>
                <w:rFonts w:hint="eastAsia" w:asciiTheme="minorEastAsia" w:hAnsiTheme="minorEastAsia" w:eastAsiaTheme="minorEastAsia" w:cstheme="minorEastAsia"/>
                <w:color w:val="auto"/>
                <w:sz w:val="21"/>
                <w:szCs w:val="21"/>
              </w:rPr>
              <w:t>异常现象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80" w:lineRule="exact"/>
              <w:rPr>
                <w:rFonts w:hint="eastAsia" w:asciiTheme="minorEastAsia" w:hAnsiTheme="minorEastAsia" w:eastAsiaTheme="minorEastAsia" w:cstheme="minorEastAsia"/>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现场看到组织各部门层次基本有相应的管理制度、岗位职责、工作要求等组织内部知识。此外还通过文件发放、会议传达、专题培训等方式进行内部知识的获得、交流和更新等。</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Cs w:val="21"/>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lang w:val="en-US" w:eastAsia="zh-CN"/>
              </w:rPr>
              <w:t>中央集尘器、</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编制《生产与服务提供控制程序》，对生产过程进行控制。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本公司的产品为：办公家具</w:t>
            </w:r>
          </w:p>
          <w:p>
            <w:pPr>
              <w:numPr>
                <w:ilvl w:val="0"/>
                <w:numId w:val="6"/>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工艺流程：</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原材料检验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雕刻机排孔切割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自动化封边机封边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红外线激光排孔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产品组装</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产品检测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产品包装</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产品入库或外售</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特殊过程：封边</w:t>
            </w:r>
            <w:r>
              <w:rPr>
                <w:rFonts w:hint="eastAsia" w:asciiTheme="minorEastAsia" w:hAnsiTheme="minorEastAsia" w:eastAsiaTheme="minorEastAsia" w:cstheme="minorEastAsia"/>
                <w:sz w:val="21"/>
                <w:szCs w:val="21"/>
                <w:lang w:val="en-US" w:eastAsia="zh-CN"/>
              </w:rPr>
              <w:t xml:space="preserve">    管控措施：见特殊过程确认记录，见生产工艺文件</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关键过程：封边</w:t>
            </w:r>
            <w:r>
              <w:rPr>
                <w:rFonts w:hint="eastAsia" w:asciiTheme="minorEastAsia" w:hAnsiTheme="minorEastAsia" w:eastAsiaTheme="minorEastAsia" w:cstheme="minorEastAsia"/>
                <w:sz w:val="21"/>
                <w:szCs w:val="21"/>
                <w:lang w:val="en-US" w:eastAsia="zh-CN"/>
              </w:rPr>
              <w:t xml:space="preserve">         管控措施：见木制家具生产工艺文件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3、生产设备基本满足要求。</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4、检测仪器：钢直尺、游标卡尺、钢卷尺等，基本满足检测要求。</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5、编制了</w:t>
            </w:r>
            <w:r>
              <w:rPr>
                <w:rFonts w:hint="eastAsia" w:asciiTheme="minorEastAsia" w:hAnsiTheme="minorEastAsia" w:eastAsiaTheme="minorEastAsia" w:cstheme="minorEastAsia"/>
                <w:color w:val="auto"/>
                <w:sz w:val="21"/>
                <w:szCs w:val="21"/>
                <w:lang w:val="en-US" w:eastAsia="zh-CN"/>
              </w:rPr>
              <w:t>检验规范》、设备管理制度、安全支持性文件、环境支持性文件、消防作业指导书、</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WI-RS-01规章制度、WI-RS-02岗位任职要求、WI-RS-03进货和出货流程、WI-RS-04供应商的选择与评价标准、WI-RS-05仓库管理规定、</w:t>
            </w:r>
            <w:r>
              <w:rPr>
                <w:rFonts w:hint="eastAsia" w:asciiTheme="minorEastAsia" w:hAnsiTheme="minorEastAsia" w:eastAsiaTheme="minorEastAsia" w:cstheme="minorEastAsia"/>
                <w:sz w:val="21"/>
                <w:szCs w:val="21"/>
                <w:lang w:val="en-US" w:eastAsia="zh-CN"/>
              </w:rPr>
              <w:t>相关法律法规要求《安全生产法》、《产品质量法》、《合同法》、《计量法》等</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lang w:val="en-US" w:eastAsia="zh-CN"/>
              </w:rPr>
              <w:t>7、产品执行标准：</w:t>
            </w:r>
            <w:r>
              <w:rPr>
                <w:rFonts w:hint="eastAsia" w:asciiTheme="minorEastAsia" w:hAnsiTheme="minorEastAsia" w:eastAsiaTheme="minorEastAsia" w:cstheme="minorEastAsia"/>
                <w:sz w:val="21"/>
                <w:szCs w:val="21"/>
                <w:lang w:eastAsia="zh-CN"/>
              </w:rPr>
              <w:t>GB/T 3324-2017《木家具通用技术条件》、</w:t>
            </w:r>
            <w:r>
              <w:rPr>
                <w:rFonts w:hint="eastAsia" w:asciiTheme="minorEastAsia" w:hAnsiTheme="minorEastAsia" w:eastAsiaTheme="minorEastAsia" w:cstheme="minorEastAsia"/>
                <w:sz w:val="21"/>
                <w:szCs w:val="21"/>
                <w:lang w:val="en-US" w:eastAsia="zh-CN"/>
              </w:rPr>
              <w:t>客户图纸、合同要求等；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经查编制了产品检验规程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规定了原材料及成品的具体检验方式。检验主要依据</w:t>
            </w:r>
            <w:r>
              <w:rPr>
                <w:rFonts w:hint="eastAsia" w:asciiTheme="minorEastAsia" w:hAnsiTheme="minorEastAsia" w:eastAsiaTheme="minorEastAsia" w:cstheme="minorEastAsia"/>
                <w:color w:val="auto"/>
                <w:sz w:val="21"/>
                <w:szCs w:val="21"/>
                <w:lang w:val="en-US" w:eastAsia="zh-CN"/>
              </w:rPr>
              <w:t>客户要求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图纸、工艺文件、</w:t>
            </w:r>
            <w:r>
              <w:rPr>
                <w:rFonts w:hint="eastAsia" w:asciiTheme="minorEastAsia" w:hAnsiTheme="minorEastAsia" w:eastAsiaTheme="minorEastAsia" w:cstheme="minorEastAsia"/>
                <w:color w:val="auto"/>
                <w:sz w:val="21"/>
                <w:szCs w:val="21"/>
                <w:lang w:eastAsia="zh-CN"/>
              </w:rPr>
              <w:t>GB/T 3324-2017《木家具通用技术条件》等</w:t>
            </w:r>
            <w:r>
              <w:rPr>
                <w:rFonts w:hint="eastAsia" w:asciiTheme="minorEastAsia" w:hAnsiTheme="minorEastAsia" w:eastAsiaTheme="minorEastAsia" w:cstheme="minorEastAsia"/>
                <w:color w:val="auto"/>
                <w:sz w:val="21"/>
                <w:szCs w:val="21"/>
              </w:rPr>
              <w:t>国家标准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技术要求等。</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原材料</w:t>
            </w:r>
            <w:r>
              <w:rPr>
                <w:rFonts w:hint="eastAsia" w:asciiTheme="minorEastAsia" w:hAnsiTheme="minorEastAsia" w:eastAsiaTheme="minorEastAsia" w:cstheme="minorEastAsia"/>
                <w:color w:val="auto"/>
                <w:sz w:val="21"/>
                <w:szCs w:val="21"/>
                <w:lang w:val="en-US" w:eastAsia="zh-CN"/>
              </w:rPr>
              <w:t>/采购产品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热熔胶、面板、封边条等；</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原材料检验</w:t>
            </w:r>
          </w:p>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见采购主要面板为福建福人家居科技有限公司提供的环保板材</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drawing>
                <wp:inline distT="0" distB="0" distL="114300" distR="114300">
                  <wp:extent cx="1767205" cy="2355850"/>
                  <wp:effectExtent l="0" t="0" r="4445" b="6350"/>
                  <wp:docPr id="14" name="图片 14" descr="4b74260587b9491c9e78809a5a707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b74260587b9491c9e78809a5a707a3"/>
                          <pic:cNvPicPr>
                            <a:picLocks noChangeAspect="1"/>
                          </pic:cNvPicPr>
                        </pic:nvPicPr>
                        <pic:blipFill>
                          <a:blip r:embed="rId6"/>
                          <a:stretch>
                            <a:fillRect/>
                          </a:stretch>
                        </pic:blipFill>
                        <pic:spPr>
                          <a:xfrm>
                            <a:off x="0" y="0"/>
                            <a:ext cx="1767205" cy="235585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t xml:space="preserve"> </w:t>
            </w:r>
            <w:r>
              <w:drawing>
                <wp:inline distT="0" distB="0" distL="114300" distR="114300">
                  <wp:extent cx="3111500" cy="2177415"/>
                  <wp:effectExtent l="0" t="0" r="12700" b="1333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7"/>
                          <a:stretch>
                            <a:fillRect/>
                          </a:stretch>
                        </pic:blipFill>
                        <pic:spPr>
                          <a:xfrm>
                            <a:off x="0" y="0"/>
                            <a:ext cx="3111500" cy="2177415"/>
                          </a:xfrm>
                          <a:prstGeom prst="rect">
                            <a:avLst/>
                          </a:prstGeom>
                          <a:noFill/>
                          <a:ln>
                            <a:noFill/>
                          </a:ln>
                        </pic:spPr>
                      </pic:pic>
                    </a:graphicData>
                  </a:graphic>
                </wp:inline>
              </w:drawing>
            </w:r>
          </w:p>
          <w:p>
            <w:pPr>
              <w:spacing w:line="240" w:lineRule="auto"/>
              <w:rPr>
                <w:rFonts w:hint="eastAsia" w:asciiTheme="minorEastAsia" w:hAnsiTheme="minorEastAsia" w:eastAsiaTheme="minorEastAsia" w:cstheme="minorEastAsia"/>
                <w:color w:val="auto"/>
                <w:sz w:val="21"/>
                <w:szCs w:val="21"/>
                <w:highlight w:val="green"/>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highlight w:val="none"/>
                <w:lang w:val="en-US" w:eastAsia="zh-CN"/>
              </w:rPr>
              <w:t>查半成品（工序）的检验情况</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查成品检验记录</w:t>
            </w:r>
          </w:p>
          <w:p>
            <w:pPr>
              <w:spacing w:line="240" w:lineRule="exact"/>
              <w:ind w:firstLine="210" w:firstLineChars="100"/>
              <w:rPr>
                <w:b/>
                <w:color w:val="000000" w:themeColor="text1"/>
                <w:sz w:val="20"/>
                <w:szCs w:val="20"/>
              </w:rPr>
            </w:pPr>
            <w:r>
              <w:rPr>
                <w:rFonts w:hint="eastAsia" w:asciiTheme="minorEastAsia" w:hAnsiTheme="minorEastAsia" w:eastAsiaTheme="minorEastAsia" w:cstheme="minorEastAsia"/>
                <w:color w:val="auto"/>
                <w:sz w:val="21"/>
                <w:szCs w:val="21"/>
              </w:rPr>
              <w:t>暂无授权人员批准或顾客批准放行产品和交付服务的情况。</w:t>
            </w:r>
          </w:p>
          <w:p>
            <w:pPr>
              <w:spacing w:line="240" w:lineRule="auto"/>
              <w:rPr>
                <w:rFonts w:hint="default"/>
                <w:lang w:val="en-US"/>
              </w:rPr>
            </w:pPr>
            <w:r>
              <w:rPr>
                <w:rFonts w:hint="eastAsia" w:asciiTheme="minorEastAsia" w:hAnsiTheme="minorEastAsia" w:eastAsiaTheme="minorEastAsia" w:cstheme="minorEastAsia"/>
                <w:color w:val="FF0000"/>
                <w:sz w:val="21"/>
                <w:szCs w:val="21"/>
                <w:u w:val="single"/>
                <w:lang w:val="en-US" w:eastAsia="zh-CN"/>
              </w:rPr>
              <w:t>——未</w:t>
            </w:r>
            <w:r>
              <w:rPr>
                <w:rFonts w:hint="eastAsia" w:asciiTheme="minorEastAsia" w:hAnsiTheme="minorEastAsia" w:eastAsiaTheme="minorEastAsia" w:cstheme="minorEastAsia"/>
                <w:color w:val="FF0000"/>
                <w:sz w:val="21"/>
                <w:szCs w:val="21"/>
                <w:highlight w:val="none"/>
                <w:u w:val="single"/>
                <w:lang w:val="en-US" w:eastAsia="zh-CN"/>
              </w:rPr>
              <w:t>提供</w:t>
            </w:r>
            <w:r>
              <w:rPr>
                <w:rFonts w:hint="eastAsia" w:asciiTheme="minorEastAsia" w:hAnsiTheme="minorEastAsia" w:eastAsiaTheme="minorEastAsia" w:cstheme="minorEastAsia"/>
                <w:b/>
                <w:bCs/>
                <w:color w:val="FF0000"/>
                <w:sz w:val="21"/>
                <w:szCs w:val="21"/>
                <w:highlight w:val="none"/>
                <w:u w:val="single"/>
                <w:lang w:val="en-US" w:eastAsia="zh-CN"/>
              </w:rPr>
              <w:t>木制家具</w:t>
            </w:r>
            <w:r>
              <w:rPr>
                <w:rFonts w:hint="eastAsia" w:asciiTheme="minorEastAsia" w:hAnsiTheme="minorEastAsia" w:eastAsiaTheme="minorEastAsia" w:cstheme="minorEastAsia"/>
                <w:color w:val="FF0000"/>
                <w:sz w:val="21"/>
                <w:szCs w:val="21"/>
                <w:highlight w:val="none"/>
                <w:u w:val="single"/>
                <w:lang w:val="en-US" w:eastAsia="zh-CN"/>
              </w:rPr>
              <w:t>第三方检验报告；不符合N</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1、公司制定有不合格品控制程序，以实施对生产全过程不合格品处置的控制。生产过程中未发现不合格，倘若发生，执行不合格品控制程序。</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采购材料发现不合格时，通知采购人员，对不合格的采购材料进行隔离，一般情况下进行退货处理，未发生过让步使用的情况。</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经了解，未发生让步接收的情况。</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3、经了解，目前尚未发生交付后或使用后才发现的产品不合格情况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7. EMS组织对重要环境因素实施控制的结果</w:t>
            </w:r>
          </w:p>
          <w:p>
            <w:pPr>
              <w:spacing w:line="240" w:lineRule="exact"/>
            </w:pPr>
            <w:r>
              <w:rPr>
                <w:rFonts w:hint="eastAsia"/>
              </w:rPr>
              <w:t>（EMS对重要环境因素控制，重大环境因素对周边环境产生的影响及控制;对相关方施加影响）</w:t>
            </w:r>
          </w:p>
          <w:p>
            <w:pPr>
              <w:numPr>
                <w:ilvl w:val="0"/>
                <w:numId w:val="7"/>
              </w:numPr>
              <w:spacing w:line="240" w:lineRule="exact"/>
              <w:rPr>
                <w:rFonts w:hint="eastAsia"/>
              </w:rPr>
            </w:pPr>
            <w:r>
              <w:rPr>
                <w:rFonts w:hint="eastAsia"/>
              </w:rPr>
              <w:t>OHSMS组织对不可接受风险实施控制的结果</w:t>
            </w:r>
          </w:p>
          <w:p>
            <w:pPr>
              <w:pStyle w:val="2"/>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见环评批复、环评验收报告，具体见附件。</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运行控制情况：</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生产过程中使用设备有</w:t>
            </w:r>
            <w:r>
              <w:rPr>
                <w:rFonts w:hint="eastAsia" w:asciiTheme="minorEastAsia" w:hAnsiTheme="minorEastAsia" w:eastAsiaTheme="minorEastAsia" w:cstheme="minorEastAsia"/>
                <w:color w:val="auto"/>
                <w:sz w:val="21"/>
                <w:szCs w:val="21"/>
                <w:highlight w:val="none"/>
                <w:lang w:val="en-US" w:eastAsia="zh-CN"/>
              </w:rPr>
              <w:t>排钻机、封边机、修边机等，</w:t>
            </w:r>
            <w:r>
              <w:rPr>
                <w:rFonts w:hint="eastAsia" w:asciiTheme="minorEastAsia" w:hAnsiTheme="minorEastAsia" w:eastAsiaTheme="minorEastAsia" w:cstheme="minorEastAsia"/>
                <w:color w:val="auto"/>
                <w:sz w:val="21"/>
                <w:szCs w:val="21"/>
                <w:highlight w:val="none"/>
                <w:lang w:eastAsia="zh-CN"/>
              </w:rPr>
              <w:t>环保设施有消防器材等</w:t>
            </w:r>
            <w:r>
              <w:rPr>
                <w:rFonts w:hint="eastAsia" w:asciiTheme="minorEastAsia" w:hAnsiTheme="minorEastAsia" w:eastAsiaTheme="minorEastAsia" w:cstheme="minorEastAsia"/>
                <w:color w:val="auto"/>
                <w:sz w:val="21"/>
                <w:szCs w:val="21"/>
                <w:highlight w:val="none"/>
              </w:rPr>
              <w:t>，进行日常维护保养，定期检查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目前使用情况良好。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生产噪声的排放控制：主要噪声有</w:t>
            </w:r>
            <w:r>
              <w:rPr>
                <w:rFonts w:hint="eastAsia" w:asciiTheme="minorEastAsia" w:hAnsiTheme="minorEastAsia" w:eastAsiaTheme="minorEastAsia" w:cstheme="minorEastAsia"/>
                <w:color w:val="auto"/>
                <w:sz w:val="21"/>
                <w:szCs w:val="21"/>
                <w:highlight w:val="none"/>
                <w:lang w:val="en-US" w:eastAsia="zh-CN"/>
              </w:rPr>
              <w:t>排钻机、封边机</w:t>
            </w:r>
            <w:r>
              <w:rPr>
                <w:rFonts w:hint="eastAsia" w:asciiTheme="minorEastAsia" w:hAnsiTheme="minorEastAsia" w:eastAsiaTheme="minorEastAsia" w:cstheme="minorEastAsia"/>
                <w:color w:val="auto"/>
                <w:sz w:val="21"/>
                <w:szCs w:val="21"/>
                <w:highlight w:val="none"/>
              </w:rPr>
              <w:t>等设备运行过程中产生的机械性噪声，在购置设备时选用低噪声设备，采取厂房屏蔽，安装消声器等措施后，尽可能减小设备噪声。</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生产和生活固废分类统一处理：生产过程中固废包括废原料/废原材料包装袋/废机油/废棉纱等，进行了分类存放，按可回收和不可回收分别放置，设置分类标识。</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生产过程中的废包装袋，定期按照可回收垃圾处理；</w:t>
            </w:r>
          </w:p>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生产过程中的危险固废：废机油/废棉纱/活性炭等，单独分类存放，集中收集到一定数量时交有资质的单位处置。</w:t>
            </w:r>
            <w:r>
              <w:rPr>
                <w:rFonts w:hint="eastAsia" w:asciiTheme="minorEastAsia" w:hAnsiTheme="minorEastAsia" w:eastAsiaTheme="minorEastAsia" w:cstheme="minorEastAsia"/>
                <w:color w:val="auto"/>
                <w:sz w:val="21"/>
                <w:szCs w:val="21"/>
                <w:highlight w:val="none"/>
                <w:lang w:val="en-US" w:eastAsia="zh-CN"/>
              </w:rPr>
              <w:t>提供了危险固废处置协议。</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杜绝重大火灾事故：每月对消防器材进行一次全面检查--</w:t>
            </w:r>
            <w:r>
              <w:rPr>
                <w:rFonts w:hint="eastAsia" w:asciiTheme="minorEastAsia" w:hAnsiTheme="minorEastAsia" w:eastAsiaTheme="minorEastAsia" w:cstheme="minorEastAsia"/>
                <w:color w:val="auto"/>
                <w:sz w:val="21"/>
                <w:szCs w:val="21"/>
                <w:highlight w:val="none"/>
                <w:lang w:eastAsia="zh-CN"/>
              </w:rPr>
              <w:t>抽查</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20年5月</w:t>
            </w:r>
            <w:r>
              <w:rPr>
                <w:rFonts w:hint="eastAsia" w:asciiTheme="minorEastAsia" w:hAnsiTheme="minorEastAsia" w:eastAsiaTheme="minorEastAsia" w:cstheme="minorEastAsia"/>
                <w:color w:val="auto"/>
                <w:sz w:val="21"/>
                <w:szCs w:val="21"/>
                <w:highlight w:val="none"/>
              </w:rPr>
              <w:t>消防器材检查记录，经查记录尚可。</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废气排放控制：废气主要来源于</w:t>
            </w:r>
            <w:r>
              <w:rPr>
                <w:rFonts w:hint="eastAsia" w:asciiTheme="minorEastAsia" w:hAnsiTheme="minorEastAsia" w:eastAsiaTheme="minorEastAsia" w:cstheme="minorEastAsia"/>
                <w:color w:val="auto"/>
                <w:sz w:val="21"/>
                <w:szCs w:val="21"/>
                <w:highlight w:val="none"/>
                <w:lang w:val="en-US" w:eastAsia="zh-CN"/>
              </w:rPr>
              <w:t>排孔、打磨产生的粉尘</w:t>
            </w:r>
            <w:r>
              <w:rPr>
                <w:rFonts w:hint="eastAsia" w:asciiTheme="minorEastAsia" w:hAnsiTheme="minorEastAsia" w:eastAsiaTheme="minorEastAsia" w:cstheme="minorEastAsia"/>
                <w:color w:val="auto"/>
                <w:sz w:val="21"/>
                <w:szCs w:val="21"/>
                <w:highlight w:val="none"/>
              </w:rPr>
              <w:t>，通过集气罩、布袋除尘器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排气筒进行处理，排放浓度达标；</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杜绝重大机械伤害控制情况：现场有必要安全标识、工人均佩戴劳动防护用品、公司对车间每月进行一次安全生产大检查，查见20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月的检查记录，检查结果：合格。检查人：</w:t>
            </w:r>
            <w:r>
              <w:rPr>
                <w:rFonts w:hint="eastAsia" w:asciiTheme="minorEastAsia" w:hAnsiTheme="minorEastAsia" w:eastAsiaTheme="minorEastAsia" w:cstheme="minorEastAsia"/>
                <w:color w:val="auto"/>
                <w:sz w:val="21"/>
                <w:szCs w:val="21"/>
                <w:highlight w:val="none"/>
                <w:lang w:val="en-US" w:eastAsia="zh-CN"/>
              </w:rPr>
              <w:t>易嗣友</w:t>
            </w:r>
            <w:r>
              <w:rPr>
                <w:rFonts w:hint="eastAsia" w:asciiTheme="minorEastAsia" w:hAnsiTheme="minorEastAsia" w:eastAsiaTheme="minorEastAsia" w:cstheme="minorEastAsia"/>
                <w:color w:val="auto"/>
                <w:sz w:val="21"/>
                <w:szCs w:val="21"/>
                <w:highlight w:val="none"/>
              </w:rPr>
              <w:t>。查见对工人进行三级安全培训的培训记录，制定了相应的应急预案。近一年内未出现过工伤事故。</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触电情况：现场工人劳保用品配备和设备电源开关管理等基本符合要求；电工定期对现场设备接地情况定期进行检查，确保设备接地良好。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仓库：★原材料库存放的原材料/成品库房存放少量成品，其分类存放，有标识，现场观察基本符合要求。</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★货物装卸过程要求进出车辆要求进入公司附近开始不鸣喇叭；装卸过程注意协调指挥，互相防护，避免跌落、砸伤、车辆伤害等。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★员工按要求佩戴了手套、工作服。</w:t>
            </w:r>
          </w:p>
          <w:p>
            <w:r>
              <w:rPr>
                <w:rFonts w:hint="eastAsia" w:asciiTheme="minorEastAsia" w:hAnsiTheme="minorEastAsia" w:eastAsiaTheme="minorEastAsia" w:cstheme="minorEastAsia"/>
                <w:color w:val="auto"/>
                <w:sz w:val="21"/>
                <w:szCs w:val="21"/>
                <w:highlight w:val="none"/>
              </w:rPr>
              <w:t>★仓库搬运工人配备了劳保服、手套等劳保用品，现场操作人员佩戴齐全。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参加了由行政部组织的在</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日进行《火灾应急救援预案》</w:t>
            </w:r>
            <w:r>
              <w:rPr>
                <w:rFonts w:hint="eastAsia" w:asciiTheme="minorEastAsia" w:hAnsiTheme="minorEastAsia" w:eastAsiaTheme="minorEastAsia" w:cstheme="minorEastAsia"/>
                <w:color w:val="auto"/>
                <w:sz w:val="21"/>
                <w:szCs w:val="21"/>
                <w:lang w:val="en-GB"/>
              </w:rPr>
              <w:t>演习，演练内容，触电发生时，消防器材的使用，初期触电应急处理能力，在</w:t>
            </w:r>
            <w:r>
              <w:rPr>
                <w:rFonts w:hint="eastAsia" w:asciiTheme="minorEastAsia" w:hAnsiTheme="minorEastAsia" w:eastAsiaTheme="minorEastAsia" w:cstheme="minorEastAsia"/>
                <w:color w:val="auto"/>
                <w:sz w:val="21"/>
                <w:szCs w:val="21"/>
              </w:rPr>
              <w:t>生产车间成品库</w:t>
            </w:r>
            <w:r>
              <w:rPr>
                <w:rFonts w:hint="eastAsia" w:asciiTheme="minorEastAsia" w:hAnsiTheme="minorEastAsia" w:eastAsiaTheme="minorEastAsia" w:cstheme="minorEastAsia"/>
                <w:color w:val="auto"/>
                <w:sz w:val="21"/>
                <w:szCs w:val="21"/>
                <w:lang w:val="en-GB"/>
              </w:rPr>
              <w:t>进行。</w:t>
            </w:r>
          </w:p>
          <w:p>
            <w:pPr>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pPr>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240" w:lineRule="exact"/>
              <w:rPr>
                <w:b/>
                <w:color w:val="000000" w:themeColor="text1"/>
                <w:spacing w:val="-4"/>
                <w:sz w:val="20"/>
                <w:szCs w:val="20"/>
              </w:rPr>
            </w:pPr>
            <w:r>
              <w:rPr>
                <w:rFonts w:hint="eastAsia" w:asciiTheme="minorEastAsia" w:hAnsiTheme="minorEastAsia" w:eastAsiaTheme="minorEastAsia" w:cstheme="minorEastAsia"/>
                <w:color w:val="auto"/>
                <w:sz w:val="21"/>
                <w:szCs w:val="21"/>
                <w:lang w:val="en-GB"/>
              </w:rPr>
              <w:t xml:space="preserve">应急演练后对应急预案进行了评审，应急预案不重要修订。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7"/>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对特种设备的维护，检定; </w:t>
            </w:r>
          </w:p>
          <w:p>
            <w:pPr>
              <w:numPr>
                <w:ilvl w:val="0"/>
                <w:numId w:val="0"/>
              </w:numPr>
              <w:spacing w:line="240" w:lineRule="exact"/>
              <w:ind w:leftChars="0"/>
              <w:rPr>
                <w:b/>
                <w:color w:val="000000" w:themeColor="text1"/>
                <w:sz w:val="20"/>
                <w:szCs w:val="20"/>
              </w:rPr>
            </w:pPr>
            <w:r>
              <w:rPr>
                <w:rFonts w:hint="eastAsia"/>
                <w:b/>
                <w:color w:val="FF0000"/>
                <w:sz w:val="20"/>
                <w:szCs w:val="20"/>
                <w:lang w:val="en-US" w:eastAsia="zh-CN"/>
              </w:rPr>
              <w:t>叉车未进行年检 N</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ind w:firstLine="200" w:firstLineChars="100"/>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见危废处置协议、危废处置间，现场检查，无不符合。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查到《质量手册》，规定了有关数据分析评价的内容，符合标准要求。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对数据分析评价的方法和内容进行规定。常用数据分析方法主要有直方图、因果分析、鱼刺图、排列图、对策表等法。所收集信息包括材料供方、顾客满意率、产品质量等。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对产品的质量情况、顾客满意度情况、体系的绩效和有效性、措施的有效性、外部供方的绩效、改进需求等进行数据总结，采用直方图、因果分析、鱼刺图、排列图、对策表等方法进行分析。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查到目标指标的完成情况，形成了相关的材料证实，并输入到了管理评审中。</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sz w:val="21"/>
                <w:szCs w:val="21"/>
              </w:rPr>
              <w:t xml:space="preserve">    以上统计技术的应用和数据分析的实施情况证实，基本符合标准要求，均实施了有效性的评价，通过数据分析，为质量管理体系有关过程的改进提供机会。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8"/>
              </w:numPr>
              <w:spacing w:line="240" w:lineRule="exact"/>
              <w:ind w:left="100" w:hanging="105" w:hangingChars="50"/>
              <w:rPr>
                <w:rFonts w:hint="eastAsia"/>
              </w:rPr>
            </w:pPr>
            <w:r>
              <w:rPr>
                <w:rFonts w:hint="eastAsia"/>
              </w:rPr>
              <w:t>顾客满意</w:t>
            </w:r>
          </w:p>
          <w:p>
            <w:pPr>
              <w:rPr>
                <w:b/>
                <w:color w:val="000000" w:themeColor="text1"/>
                <w:sz w:val="20"/>
                <w:szCs w:val="20"/>
              </w:rPr>
            </w:pPr>
            <w:r>
              <w:rPr>
                <w:rFonts w:hint="eastAsia" w:cs="宋体"/>
                <w:lang w:val="zh-CN"/>
              </w:rPr>
              <w:t>公司通过电话，走访等形式，接受顾客反馈，了解顾客顾客满意度信息，发放调查表对顾客满意度进行定量测量。提供“顾客满意程度调查表”，调查主要内容：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公司制定《内部审核控制程序》，对内部审核方案策划规定：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1.频次：内审每年进行一次，两次内部审核的时间间隔不超过12个月。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2.方法：按部门/过程审核。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3.职责：体系负责人组织内部审核活动。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4.策划要求：范围、准则、工作分配等。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5.报告：体系负责人在内部审核结束及纠正措施完成后应向总经理报告审核结果。</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6.提供了《20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年内部审核实施计划》，发布了内部管理体系审核通知，计划内容有：目的、范围、审核准则、审核时间</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日。编制：行政部，日期：20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查阅2019年度内部审核有关记录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提供了审核组名单： 审核组长：</w:t>
            </w:r>
            <w:r>
              <w:rPr>
                <w:rFonts w:hint="eastAsia" w:asciiTheme="minorEastAsia" w:hAnsiTheme="minorEastAsia" w:eastAsiaTheme="minorEastAsia" w:cstheme="minorEastAsia"/>
                <w:color w:val="0D0D0D"/>
                <w:sz w:val="21"/>
                <w:szCs w:val="21"/>
                <w:lang w:val="en-US" w:eastAsia="zh-CN"/>
              </w:rPr>
              <w:t>周红萍</w:t>
            </w:r>
            <w:r>
              <w:rPr>
                <w:rFonts w:hint="eastAsia" w:asciiTheme="minorEastAsia" w:hAnsiTheme="minorEastAsia" w:eastAsiaTheme="minorEastAsia" w:cstheme="minorEastAsia"/>
                <w:color w:val="0D0D0D"/>
                <w:sz w:val="21"/>
                <w:szCs w:val="21"/>
              </w:rPr>
              <w:t>(A)</w:t>
            </w:r>
            <w:r>
              <w:rPr>
                <w:rFonts w:hint="eastAsia" w:asciiTheme="minorEastAsia" w:hAnsiTheme="minorEastAsia" w:eastAsiaTheme="minorEastAsia" w:cstheme="minorEastAsia"/>
                <w:sz w:val="21"/>
                <w:szCs w:val="21"/>
              </w:rPr>
              <w:t>)， 审核组成员：</w:t>
            </w:r>
            <w:r>
              <w:rPr>
                <w:rFonts w:hint="eastAsia" w:asciiTheme="minorEastAsia" w:hAnsiTheme="minorEastAsia" w:eastAsiaTheme="minorEastAsia" w:cstheme="minorEastAsia"/>
                <w:sz w:val="21"/>
                <w:szCs w:val="21"/>
                <w:lang w:eastAsia="zh-CN"/>
              </w:rPr>
              <w:t>易嗣友</w:t>
            </w:r>
            <w:r>
              <w:rPr>
                <w:rFonts w:hint="eastAsia" w:asciiTheme="minorEastAsia" w:hAnsiTheme="minorEastAsia" w:eastAsiaTheme="minorEastAsia" w:cstheme="minorEastAsia"/>
                <w:color w:val="0D0D0D"/>
                <w:sz w:val="21"/>
                <w:szCs w:val="21"/>
              </w:rPr>
              <w:t>(B)</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审核范围：公司领导层、各部门。查全条款覆盖。</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3.审核准则：ISO9001:2015《质量管理体系 要求》、ISO14001：2015《环境管理体系 要求及使用指南》、GB/T</w:t>
            </w:r>
            <w:r>
              <w:rPr>
                <w:rFonts w:hint="eastAsia" w:asciiTheme="minorEastAsia" w:hAnsiTheme="minorEastAsia" w:eastAsiaTheme="minorEastAsia" w:cstheme="minorEastAsia"/>
                <w:sz w:val="21"/>
                <w:szCs w:val="21"/>
                <w:lang w:val="en-US" w:eastAsia="zh-CN"/>
              </w:rPr>
              <w:t>45001-2020</w:t>
            </w:r>
            <w:r>
              <w:rPr>
                <w:rFonts w:hint="eastAsia" w:asciiTheme="minorEastAsia" w:hAnsiTheme="minorEastAsia" w:eastAsiaTheme="minorEastAsia" w:cstheme="minorEastAsia"/>
                <w:sz w:val="21"/>
                <w:szCs w:val="21"/>
              </w:rPr>
              <w:t>《职业健康安全管理体系 要求》、公司管理体系文件、适用的法律法规、产品标准等。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4.提供了《内审首次会议签到表》，参加人有各部门负责人等。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5.提供了《内审检查表》，经查阅对照，受审核部门涉及条款与公司管理体系职责分配相一致。审核记录基本满足要求。</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6.提供了《内审不合格报告》</w:t>
            </w:r>
          </w:p>
          <w:p>
            <w:pPr>
              <w:spacing w:line="360"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不符合事实描述：生产车间生产现场一堆半成品未有任何标识,类似问题还有数处。不符合标准条款：不符合ISO 19001标准条款：</w:t>
            </w:r>
            <w:r>
              <w:rPr>
                <w:rFonts w:hint="eastAsia" w:asciiTheme="minorEastAsia" w:hAnsiTheme="minorEastAsia" w:eastAsiaTheme="minorEastAsia" w:cstheme="minorEastAsia"/>
                <w:sz w:val="21"/>
                <w:szCs w:val="21"/>
                <w:u w:val="single"/>
                <w:lang w:val="en-US" w:eastAsia="zh-CN"/>
              </w:rPr>
              <w:t>7.1.5</w:t>
            </w:r>
            <w:r>
              <w:rPr>
                <w:rFonts w:hint="eastAsia" w:asciiTheme="minorEastAsia" w:hAnsiTheme="minorEastAsia" w:eastAsiaTheme="minorEastAsia" w:cstheme="minorEastAsia"/>
                <w:sz w:val="21"/>
                <w:szCs w:val="21"/>
                <w:u w:val="single"/>
              </w:rPr>
              <w:t>（Q）也</w:t>
            </w:r>
            <w:r>
              <w:rPr>
                <w:rFonts w:hint="eastAsia" w:asciiTheme="minorEastAsia" w:hAnsiTheme="minorEastAsia" w:eastAsiaTheme="minorEastAsia" w:cstheme="minorEastAsia"/>
                <w:sz w:val="21"/>
                <w:szCs w:val="21"/>
              </w:rPr>
              <w:t>不符合本公司程序文件</w:t>
            </w:r>
            <w:r>
              <w:rPr>
                <w:rFonts w:hint="eastAsia" w:asciiTheme="minorEastAsia" w:hAnsiTheme="minorEastAsia" w:eastAsiaTheme="minorEastAsia" w:cstheme="minorEastAsia"/>
                <w:kern w:val="0"/>
                <w:sz w:val="21"/>
                <w:szCs w:val="21"/>
                <w:u w:val="single"/>
              </w:rPr>
              <w:t>的要求</w:t>
            </w:r>
            <w:r>
              <w:rPr>
                <w:rFonts w:hint="eastAsia" w:asciiTheme="minorEastAsia" w:hAnsiTheme="minorEastAsia" w:eastAsiaTheme="minorEastAsia" w:cstheme="minorEastAsia"/>
                <w:sz w:val="21"/>
                <w:szCs w:val="21"/>
              </w:rPr>
              <w:t>。对于涉及不符合项的部门，进行了原因分析并制定纠正措施计划，经过审核组验证，纠正措施有效。</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30日内整改完毕，由管代组织相关内审员对整改后的情况进行跟踪验证，确认纠正及纠正措施有效，体系的建立、运行符合质量管理体系要求。</w:t>
            </w:r>
          </w:p>
          <w:p>
            <w:pPr>
              <w:spacing w:line="360" w:lineRule="auto"/>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审核结论：</w:t>
            </w:r>
            <w:r>
              <w:rPr>
                <w:rFonts w:hint="eastAsia" w:asciiTheme="minorEastAsia" w:hAnsiTheme="minorEastAsia" w:eastAsiaTheme="minorEastAsia" w:cstheme="minorEastAsia"/>
                <w:color w:val="000000"/>
                <w:sz w:val="21"/>
                <w:szCs w:val="21"/>
              </w:rPr>
              <w:t>本公司管理体系是符合</w:t>
            </w:r>
            <w:r>
              <w:rPr>
                <w:rFonts w:hint="eastAsia" w:asciiTheme="minorEastAsia" w:hAnsiTheme="minorEastAsia" w:eastAsiaTheme="minorEastAsia" w:cstheme="minorEastAsia"/>
                <w:sz w:val="21"/>
                <w:szCs w:val="21"/>
              </w:rPr>
              <w:t>GB/T19001-2016/ISO 9001：2015《质量管理体系  要求》、</w:t>
            </w:r>
            <w:r>
              <w:rPr>
                <w:rFonts w:hint="eastAsia" w:asciiTheme="minorEastAsia" w:hAnsiTheme="minorEastAsia" w:eastAsiaTheme="minorEastAsia" w:cstheme="minorEastAsia"/>
                <w:color w:val="000000"/>
                <w:sz w:val="21"/>
                <w:szCs w:val="21"/>
              </w:rPr>
              <w:t>GB／T</w:t>
            </w:r>
            <w:r>
              <w:rPr>
                <w:rFonts w:hint="eastAsia" w:asciiTheme="minorEastAsia" w:hAnsiTheme="minorEastAsia" w:eastAsiaTheme="minorEastAsia" w:cstheme="minorEastAsia"/>
                <w:color w:val="000000"/>
                <w:sz w:val="21"/>
                <w:szCs w:val="21"/>
                <w:lang w:val="en-US" w:eastAsia="zh-CN"/>
              </w:rPr>
              <w:t>45</w:t>
            </w:r>
            <w:r>
              <w:rPr>
                <w:rFonts w:hint="eastAsia" w:asciiTheme="minorEastAsia" w:hAnsiTheme="minorEastAsia" w:eastAsiaTheme="minorEastAsia" w:cstheme="minorEastAsia"/>
                <w:color w:val="000000"/>
                <w:sz w:val="21"/>
                <w:szCs w:val="21"/>
              </w:rPr>
              <w:t>001-2011《职业健康安全管理体系——要求》和GB/T24001-2016/ISO 14001：2015《环境管理体系——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编制：行政部 批准：</w:t>
            </w:r>
            <w:r>
              <w:rPr>
                <w:rFonts w:hint="eastAsia" w:asciiTheme="minorEastAsia" w:hAnsiTheme="minorEastAsia" w:eastAsiaTheme="minorEastAsia" w:cstheme="minorEastAsia"/>
                <w:sz w:val="21"/>
                <w:szCs w:val="21"/>
                <w:lang w:val="en-US" w:eastAsia="zh-CN"/>
              </w:rPr>
              <w:t>钟旭</w:t>
            </w: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color w:val="auto"/>
                <w:sz w:val="21"/>
                <w:szCs w:val="21"/>
                <w:lang w:val="en-US" w:eastAsia="zh-CN"/>
              </w:rPr>
              <w:t>2020.9.10</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公司依据：GB/T19001-2016\GB/T24001-2016\GB/T</w:t>
            </w:r>
            <w:r>
              <w:rPr>
                <w:rFonts w:hint="eastAsia" w:asciiTheme="minorEastAsia" w:hAnsiTheme="minorEastAsia" w:eastAsiaTheme="minorEastAsia" w:cstheme="minorEastAsia"/>
                <w:sz w:val="21"/>
                <w:szCs w:val="21"/>
                <w:lang w:val="en-US" w:eastAsia="zh-CN"/>
              </w:rPr>
              <w:t>45</w:t>
            </w:r>
            <w:r>
              <w:rPr>
                <w:rFonts w:hint="eastAsia" w:asciiTheme="minorEastAsia" w:hAnsiTheme="minorEastAsia" w:eastAsiaTheme="minorEastAsia" w:cstheme="minorEastAsia"/>
                <w:sz w:val="21"/>
                <w:szCs w:val="21"/>
              </w:rPr>
              <w:t>001-20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标准进行管理评审。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目前按标准要求平稳运行，至今暂无变更情况发生。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查阅公司管理评审资料：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一、管理评审计划，由</w:t>
            </w:r>
            <w:r>
              <w:rPr>
                <w:rFonts w:hint="eastAsia" w:asciiTheme="minorEastAsia" w:hAnsiTheme="minorEastAsia" w:eastAsiaTheme="minorEastAsia" w:cstheme="minorEastAsia"/>
                <w:sz w:val="21"/>
                <w:szCs w:val="21"/>
                <w:lang w:val="en-US" w:eastAsia="zh-CN"/>
              </w:rPr>
              <w:t>行政</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5日提出，评审时间：20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sz w:val="21"/>
                <w:szCs w:val="21"/>
              </w:rPr>
              <w:t>评审方式：会议评审</w:t>
            </w:r>
          </w:p>
          <w:p>
            <w:pPr>
              <w:tabs>
                <w:tab w:val="right" w:leader="dot" w:pos="8190"/>
              </w:tabs>
              <w:adjustRightInd w:val="0"/>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参加人员：总经理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管理者代表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安全事务代表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行政部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采购部主任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生产部主任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业务</w:t>
            </w:r>
            <w:r>
              <w:rPr>
                <w:rFonts w:hint="eastAsia" w:asciiTheme="minorEastAsia" w:hAnsiTheme="minorEastAsia" w:eastAsiaTheme="minorEastAsia" w:cstheme="minorEastAsia"/>
                <w:sz w:val="21"/>
                <w:szCs w:val="21"/>
              </w:rPr>
              <w:t>部主任</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二、管理评审输入：</w:t>
            </w:r>
          </w:p>
          <w:p>
            <w:pPr>
              <w:spacing w:line="360" w:lineRule="auto"/>
              <w:ind w:left="48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组织环境、相关方需求、风险和机遇、公司的管理方针、管理目标、指标的执行和完成情况；产品质量和顾客满意情况；</w:t>
            </w:r>
          </w:p>
          <w:p>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资源的配备；纠正和预防措施情况；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以上内容通过会上工作总结、汇报等形式体现。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三、查看“管理评审报告”，报告中对本次管理评审做了总结，评价了公司建立、运行管理体系的效果。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四、管理评审输出/评审结论：</w:t>
            </w:r>
          </w:p>
          <w:p>
            <w:pPr>
              <w:spacing w:line="400" w:lineRule="exact"/>
              <w:ind w:firstLine="210" w:firstLineChars="100"/>
              <w:rPr>
                <w:b/>
                <w:color w:val="000000" w:themeColor="text1"/>
                <w:sz w:val="20"/>
                <w:szCs w:val="20"/>
              </w:rPr>
            </w:pPr>
            <w:r>
              <w:rPr>
                <w:rFonts w:hint="eastAsia" w:asciiTheme="minorEastAsia" w:hAnsiTheme="minorEastAsia" w:eastAsiaTheme="minorEastAsia" w:cstheme="minorEastAsia"/>
                <w:sz w:val="21"/>
                <w:szCs w:val="21"/>
              </w:rPr>
              <w:t>自体系建立以来，公司的质量管理体系运行全面展开，通过新版的运行，收到良好的效果，经评审认为本公司的质量管理体系的建立和运行是充分的、适宜的、有效的。已具备了认证审核的条件。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r>
              <w:rPr>
                <w:rFonts w:hint="eastAsia"/>
                <w:b/>
                <w:color w:val="000000" w:themeColor="text1"/>
                <w:sz w:val="20"/>
                <w:szCs w:val="20"/>
                <w:lang w:eastAsia="zh-CN"/>
              </w:rPr>
              <w:t>：</w:t>
            </w:r>
            <w:r>
              <w:rPr>
                <w:rFonts w:hint="eastAsia"/>
                <w:b/>
                <w:color w:val="000000" w:themeColor="text1"/>
                <w:sz w:val="20"/>
                <w:szCs w:val="20"/>
                <w:lang w:val="en-US" w:eastAsia="zh-CN"/>
              </w:rPr>
              <w:t>有，见</w:t>
            </w:r>
            <w:r>
              <w:rPr>
                <w:rFonts w:hint="eastAsia" w:asciiTheme="minorEastAsia" w:hAnsiTheme="minorEastAsia" w:eastAsiaTheme="minorEastAsia" w:cstheme="minorEastAsia"/>
                <w:color w:val="auto"/>
                <w:sz w:val="21"/>
                <w:szCs w:val="21"/>
                <w:highlight w:val="none"/>
                <w:lang w:val="en-US" w:eastAsia="zh-CN"/>
              </w:rPr>
              <w:t>环评批复、环评验收报告，具体见附件。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9"/>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w:t>
            </w:r>
          </w:p>
          <w:p>
            <w:pPr>
              <w:widowControl/>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管理和员工健康得到重视或关注。通过班前会、安全技术</w:t>
            </w:r>
            <w:r>
              <w:rPr>
                <w:rFonts w:hint="eastAsia" w:asciiTheme="minorEastAsia" w:hAnsiTheme="minorEastAsia" w:eastAsiaTheme="minorEastAsia" w:cstheme="minorEastAsia"/>
                <w:color w:val="auto"/>
                <w:sz w:val="21"/>
                <w:szCs w:val="21"/>
                <w:lang w:eastAsia="zh-CN"/>
              </w:rPr>
              <w:t>培训</w:t>
            </w:r>
            <w:r>
              <w:rPr>
                <w:rFonts w:hint="eastAsia" w:asciiTheme="minorEastAsia" w:hAnsiTheme="minorEastAsia" w:eastAsiaTheme="minorEastAsia" w:cstheme="minorEastAsia"/>
                <w:color w:val="auto"/>
                <w:sz w:val="21"/>
                <w:szCs w:val="21"/>
              </w:rPr>
              <w:t>活动</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形式贯彻实施预防措施，实施的效果比较好。</w:t>
            </w:r>
          </w:p>
          <w:p>
            <w:pPr>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查到不符合纠正措施控制程序，见程序文件确定的纠正/预防措施的控制的职责和相关的管理要求，覆盖标准要求，体系建立以来未发生更改变化，基本符合。</w:t>
            </w:r>
          </w:p>
          <w:p>
            <w:pPr>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提供了</w:t>
            </w:r>
            <w:r>
              <w:rPr>
                <w:rFonts w:hint="eastAsia" w:asciiTheme="minorEastAsia" w:hAnsiTheme="minorEastAsia" w:eastAsiaTheme="minorEastAsia" w:cstheme="minorEastAsia"/>
                <w:color w:val="auto"/>
                <w:sz w:val="21"/>
                <w:szCs w:val="21"/>
              </w:rPr>
              <w:t>安全检查记录，检查内容包括加工/生活/办公区域卫生情况,是否清理干净;危废收集处理情况;操作工配戴劳动防护用品情况；操作工是否按设备操作规程作业。电工持证上岗情况；生产安全用电情况；用电是否有乱搭线现象;接地保护是否完好；消防设施是否完好;消防通道是否畅通。</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经了解，所有措施没有引发在策划期间确定的风险和机遇的更新，也没有引发质量管理体系的变更，实施情况基本符合标准的要求。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rPr>
                <w:b/>
                <w:color w:val="000000" w:themeColor="text1"/>
                <w:sz w:val="20"/>
                <w:szCs w:val="20"/>
              </w:rPr>
            </w:pPr>
            <w:r>
              <w:rPr>
                <w:rFonts w:hint="eastAsia"/>
                <w:b/>
                <w:color w:val="000000" w:themeColor="text1"/>
                <w:spacing w:val="-20"/>
                <w:sz w:val="20"/>
                <w:szCs w:val="20"/>
              </w:rPr>
              <w:t>2（近一年）重大事故、顾客/相关方投诉：</w:t>
            </w:r>
            <w:r>
              <w:rPr>
                <w:rFonts w:hint="eastAsia" w:ascii="宋体" w:hAnsi="宋体"/>
              </w:rPr>
              <w:t>在体系运行期间未发生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r>
              <w:rPr>
                <w:rFonts w:hint="eastAsia"/>
                <w:b w:val="0"/>
                <w:bCs/>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10"/>
              </w:numPr>
              <w:spacing w:line="240" w:lineRule="exact"/>
              <w:rPr>
                <w:rFonts w:hint="eastAsia"/>
              </w:rPr>
            </w:pPr>
            <w:r>
              <w:rPr>
                <w:rFonts w:hint="eastAsia"/>
              </w:rPr>
              <w:t>创新情况</w:t>
            </w:r>
          </w:p>
          <w:p>
            <w:pPr>
              <w:pStyle w:val="2"/>
              <w:numPr>
                <w:ilvl w:val="0"/>
                <w:numId w:val="0"/>
              </w:numPr>
              <w:ind w:left="0" w:leftChars="0" w:firstLine="0" w:firstLineChars="0"/>
              <w:rPr>
                <w:b/>
                <w:color w:val="000000" w:themeColor="text1"/>
                <w:sz w:val="20"/>
                <w:szCs w:val="2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8"/>
                <w:szCs w:val="28"/>
              </w:rPr>
            </w:pPr>
            <w:r>
              <w:rPr>
                <w:rFonts w:hint="eastAsia"/>
                <w:b/>
                <w:color w:val="000000" w:themeColor="text1"/>
                <w:sz w:val="22"/>
                <w:szCs w:val="22"/>
                <w:lang w:val="en-US" w:eastAsia="zh-CN"/>
              </w:rPr>
              <w:t xml:space="preserve">  </w:t>
            </w:r>
            <w:r>
              <w:rPr>
                <w:rFonts w:hint="eastAsia" w:ascii="Times New Roman" w:hAnsi="Times New Roman" w:eastAsia="宋体" w:cs="Times New Roman"/>
                <w:b w:val="0"/>
                <w:bCs/>
                <w:color w:val="000000" w:themeColor="text1"/>
                <w:sz w:val="22"/>
                <w:szCs w:val="22"/>
                <w:lang w:val="en-US" w:eastAsia="zh-CN"/>
              </w:rPr>
              <w:t>该企业</w:t>
            </w:r>
            <w:r>
              <w:rPr>
                <w:rFonts w:hint="eastAsia" w:ascii="Times New Roman" w:hAnsi="Times New Roman" w:eastAsia="宋体" w:cs="Times New Roman"/>
                <w:b w:val="0"/>
                <w:bCs/>
                <w:color w:val="000000" w:themeColor="text1"/>
                <w:sz w:val="22"/>
                <w:szCs w:val="22"/>
              </w:rPr>
              <w:t>实施“过程控制”，满足标准要求和目标，向顾客提供稳定、合格产品，满足适用的质量/环境/职业健康安全法规要求，防止</w:t>
            </w:r>
            <w:r>
              <w:rPr>
                <w:rFonts w:hint="eastAsia"/>
                <w:b w:val="0"/>
                <w:bCs/>
                <w:color w:val="000000" w:themeColor="text1"/>
                <w:sz w:val="22"/>
                <w:szCs w:val="22"/>
              </w:rPr>
              <w:t>污染、重大事故和持续改进的情况以及对周边环境产生的影响，措施的有效性</w:t>
            </w:r>
            <w:r>
              <w:rPr>
                <w:rFonts w:hint="eastAsia"/>
                <w:b w:val="0"/>
                <w:bCs/>
                <w:color w:val="000000" w:themeColor="text1"/>
                <w:sz w:val="22"/>
                <w:szCs w:val="22"/>
                <w:lang w:eastAsia="zh-CN"/>
              </w:rPr>
              <w:t>，</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QMS  </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EMS  </w:t>
            </w:r>
            <w:r>
              <w:rPr>
                <w:rFonts w:hint="eastAsia"/>
                <w:b w:val="0"/>
                <w:bCs/>
                <w:color w:val="000000" w:themeColor="text1"/>
                <w:spacing w:val="-10"/>
                <w:szCs w:val="21"/>
              </w:rPr>
              <w:sym w:font="Wingdings 2" w:char="0052"/>
            </w:r>
            <w:r>
              <w:rPr>
                <w:rFonts w:hint="eastAsia"/>
                <w:b w:val="0"/>
                <w:bCs/>
                <w:color w:val="000000" w:themeColor="text1"/>
                <w:sz w:val="22"/>
                <w:szCs w:val="22"/>
              </w:rPr>
              <w:t>OHSMS持续的符合性及运行的有效性，以及与认证范围的持续相关性和适宜性及自我完善机制等</w:t>
            </w:r>
            <w:r>
              <w:rPr>
                <w:rFonts w:hint="eastAsia"/>
                <w:b w:val="0"/>
                <w:bCs/>
                <w:color w:val="000000" w:themeColor="text1"/>
                <w:sz w:val="22"/>
                <w:szCs w:val="22"/>
                <w:lang w:eastAsia="zh-CN"/>
              </w:rPr>
              <w:t>方面评定，推荐该组织认证。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8360" cy="463550"/>
            <wp:effectExtent l="0" t="0" r="8890"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48360" cy="46355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685800" cy="680720"/>
            <wp:effectExtent l="0" t="0" r="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685800" cy="680720"/>
                    </a:xfrm>
                    <a:prstGeom prst="rect">
                      <a:avLst/>
                    </a:prstGeom>
                    <a:noFill/>
                    <a:ln>
                      <a:noFill/>
                    </a:ln>
                  </pic:spPr>
                </pic:pic>
              </a:graphicData>
            </a:graphic>
          </wp:inline>
        </w:drawing>
      </w: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2020年11月3日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bookmarkStart w:id="19" w:name="_GoBack"/>
      <w:bookmarkEnd w:id="19"/>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 xml:space="preserve">组长签字:  </w:t>
      </w:r>
      <w:r>
        <w:drawing>
          <wp:inline distT="0" distB="0" distL="114300" distR="114300">
            <wp:extent cx="848360" cy="463550"/>
            <wp:effectExtent l="0" t="0" r="8890"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848360" cy="46355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2020年 12月16日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11"/>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11"/>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18"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18"/>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70288"/>
    <w:multiLevelType w:val="singleLevel"/>
    <w:tmpl w:val="BAA70288"/>
    <w:lvl w:ilvl="0" w:tentative="0">
      <w:start w:val="9"/>
      <w:numFmt w:val="decimal"/>
      <w:suff w:val="space"/>
      <w:lvlText w:val="%1."/>
      <w:lvlJc w:val="left"/>
    </w:lvl>
  </w:abstractNum>
  <w:abstractNum w:abstractNumId="1">
    <w:nsid w:val="D9422A83"/>
    <w:multiLevelType w:val="singleLevel"/>
    <w:tmpl w:val="D9422A83"/>
    <w:lvl w:ilvl="0" w:tentative="0">
      <w:start w:val="4"/>
      <w:numFmt w:val="decimal"/>
      <w:lvlText w:val="%1."/>
      <w:lvlJc w:val="left"/>
      <w:pPr>
        <w:tabs>
          <w:tab w:val="left" w:pos="312"/>
        </w:tabs>
      </w:pPr>
    </w:lvl>
  </w:abstractNum>
  <w:abstractNum w:abstractNumId="2">
    <w:nsid w:val="E07DD50E"/>
    <w:multiLevelType w:val="singleLevel"/>
    <w:tmpl w:val="E07DD50E"/>
    <w:lvl w:ilvl="0" w:tentative="0">
      <w:start w:val="8"/>
      <w:numFmt w:val="decimal"/>
      <w:suff w:val="space"/>
      <w:lvlText w:val="%1."/>
      <w:lvlJc w:val="left"/>
    </w:lvl>
  </w:abstractNum>
  <w:abstractNum w:abstractNumId="3">
    <w:nsid w:val="0B939833"/>
    <w:multiLevelType w:val="singleLevel"/>
    <w:tmpl w:val="0B939833"/>
    <w:lvl w:ilvl="0" w:tentative="0">
      <w:start w:val="1"/>
      <w:numFmt w:val="decimal"/>
      <w:lvlText w:val="%1."/>
      <w:lvlJc w:val="left"/>
      <w:pPr>
        <w:tabs>
          <w:tab w:val="left" w:pos="312"/>
        </w:tabs>
      </w:pPr>
    </w:lvl>
  </w:abstractNum>
  <w:abstractNum w:abstractNumId="4">
    <w:nsid w:val="295BA63B"/>
    <w:multiLevelType w:val="singleLevel"/>
    <w:tmpl w:val="295BA63B"/>
    <w:lvl w:ilvl="0" w:tentative="0">
      <w:start w:val="2"/>
      <w:numFmt w:val="decimal"/>
      <w:suff w:val="nothing"/>
      <w:lvlText w:val="%1、"/>
      <w:lvlJc w:val="left"/>
    </w:lvl>
  </w:abstractNum>
  <w:abstractNum w:abstractNumId="5">
    <w:nsid w:val="2F91A036"/>
    <w:multiLevelType w:val="singleLevel"/>
    <w:tmpl w:val="2F91A036"/>
    <w:lvl w:ilvl="0" w:tentative="0">
      <w:start w:val="3"/>
      <w:numFmt w:val="decimal"/>
      <w:lvlText w:val="%1."/>
      <w:lvlJc w:val="left"/>
      <w:pPr>
        <w:tabs>
          <w:tab w:val="left" w:pos="312"/>
        </w:tabs>
      </w:pPr>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9C77F9"/>
    <w:multiLevelType w:val="singleLevel"/>
    <w:tmpl w:val="5C9C77F9"/>
    <w:lvl w:ilvl="0" w:tentative="0">
      <w:start w:val="2"/>
      <w:numFmt w:val="decimal"/>
      <w:lvlText w:val="%1."/>
      <w:lvlJc w:val="left"/>
      <w:pPr>
        <w:tabs>
          <w:tab w:val="left" w:pos="312"/>
        </w:tabs>
      </w:pPr>
    </w:lvl>
  </w:abstractNum>
  <w:abstractNum w:abstractNumId="9">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0">
    <w:nsid w:val="69D0764F"/>
    <w:multiLevelType w:val="singleLevel"/>
    <w:tmpl w:val="69D0764F"/>
    <w:lvl w:ilvl="0" w:tentative="0">
      <w:start w:val="2"/>
      <w:numFmt w:val="decimal"/>
      <w:suff w:val="nothing"/>
      <w:lvlText w:val="%1、"/>
      <w:lvlJc w:val="left"/>
    </w:lvl>
  </w:abstractNum>
  <w:num w:numId="1">
    <w:abstractNumId w:val="6"/>
  </w:num>
  <w:num w:numId="2">
    <w:abstractNumId w:val="10"/>
  </w:num>
  <w:num w:numId="3">
    <w:abstractNumId w:val="5"/>
  </w:num>
  <w:num w:numId="4">
    <w:abstractNumId w:val="7"/>
  </w:num>
  <w:num w:numId="5">
    <w:abstractNumId w:val="3"/>
  </w:num>
  <w:num w:numId="6">
    <w:abstractNumId w:val="4"/>
  </w:num>
  <w:num w:numId="7">
    <w:abstractNumId w:val="2"/>
  </w:num>
  <w:num w:numId="8">
    <w:abstractNumId w:val="8"/>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F006E"/>
    <w:rsid w:val="02AC4A36"/>
    <w:rsid w:val="073038CB"/>
    <w:rsid w:val="0972568A"/>
    <w:rsid w:val="09E95C16"/>
    <w:rsid w:val="0B461C14"/>
    <w:rsid w:val="11FD6910"/>
    <w:rsid w:val="13BB145B"/>
    <w:rsid w:val="13E9004F"/>
    <w:rsid w:val="15117D3B"/>
    <w:rsid w:val="161324BB"/>
    <w:rsid w:val="1AF101F3"/>
    <w:rsid w:val="1E0D6DF4"/>
    <w:rsid w:val="20BA210D"/>
    <w:rsid w:val="25264A4F"/>
    <w:rsid w:val="25830F0E"/>
    <w:rsid w:val="289A1F5A"/>
    <w:rsid w:val="28F14F49"/>
    <w:rsid w:val="292905FD"/>
    <w:rsid w:val="2A164445"/>
    <w:rsid w:val="2B393DDA"/>
    <w:rsid w:val="2D204066"/>
    <w:rsid w:val="2E9B1375"/>
    <w:rsid w:val="2F244798"/>
    <w:rsid w:val="30235484"/>
    <w:rsid w:val="34E25BF8"/>
    <w:rsid w:val="35760F99"/>
    <w:rsid w:val="362C6CE9"/>
    <w:rsid w:val="36554665"/>
    <w:rsid w:val="37692004"/>
    <w:rsid w:val="38552C1F"/>
    <w:rsid w:val="3A2B72C2"/>
    <w:rsid w:val="3A4B5246"/>
    <w:rsid w:val="3B4703BB"/>
    <w:rsid w:val="3BCD03B4"/>
    <w:rsid w:val="3C6A1B12"/>
    <w:rsid w:val="3DE45AF4"/>
    <w:rsid w:val="3E186E0E"/>
    <w:rsid w:val="40984B7E"/>
    <w:rsid w:val="417F0243"/>
    <w:rsid w:val="4232024D"/>
    <w:rsid w:val="42F10E0E"/>
    <w:rsid w:val="448127C9"/>
    <w:rsid w:val="48596B2B"/>
    <w:rsid w:val="490B2011"/>
    <w:rsid w:val="49C87C4D"/>
    <w:rsid w:val="4AE21A84"/>
    <w:rsid w:val="4B020521"/>
    <w:rsid w:val="4C9F486E"/>
    <w:rsid w:val="4E255E9E"/>
    <w:rsid w:val="4E761760"/>
    <w:rsid w:val="4F295BA7"/>
    <w:rsid w:val="512C4E46"/>
    <w:rsid w:val="51E07CAE"/>
    <w:rsid w:val="521E42DF"/>
    <w:rsid w:val="525D0894"/>
    <w:rsid w:val="541D71D5"/>
    <w:rsid w:val="549474C6"/>
    <w:rsid w:val="551C3C8B"/>
    <w:rsid w:val="58FD266B"/>
    <w:rsid w:val="593A1174"/>
    <w:rsid w:val="593E252B"/>
    <w:rsid w:val="5BFA33C4"/>
    <w:rsid w:val="5C7331C3"/>
    <w:rsid w:val="5F076B8E"/>
    <w:rsid w:val="5FAC6A2A"/>
    <w:rsid w:val="66B13766"/>
    <w:rsid w:val="66ED2133"/>
    <w:rsid w:val="67F35B6B"/>
    <w:rsid w:val="6AAF15F5"/>
    <w:rsid w:val="6C3152C0"/>
    <w:rsid w:val="6D032091"/>
    <w:rsid w:val="6D697936"/>
    <w:rsid w:val="6E235AE4"/>
    <w:rsid w:val="6E55474C"/>
    <w:rsid w:val="6E6046AC"/>
    <w:rsid w:val="701C348C"/>
    <w:rsid w:val="719479D6"/>
    <w:rsid w:val="728B3247"/>
    <w:rsid w:val="729F4DBE"/>
    <w:rsid w:val="787731FB"/>
    <w:rsid w:val="7BB61363"/>
    <w:rsid w:val="7E716B8D"/>
    <w:rsid w:val="7FAE72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Plain Text"/>
    <w:basedOn w:val="1"/>
    <w:qFormat/>
    <w:uiPriority w:val="99"/>
    <w:rPr>
      <w:rFonts w:ascii="宋体" w:hAnsi="Courier New"/>
      <w:szCs w:val="21"/>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2020-12-17T12:53:20Z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