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15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150" w:type="dxa"/>
            <w:vAlign w:val="center"/>
          </w:tcPr>
          <w:p>
            <w:pPr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运营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部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主管领导：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刘永清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陪同人员：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缪碧云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150" w:type="dxa"/>
            <w:vAlign w:val="center"/>
          </w:tcPr>
          <w:p>
            <w:pPr>
              <w:spacing w:before="120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审核员：伍光华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审核时间：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2020.11.5</w:t>
            </w:r>
          </w:p>
        </w:tc>
        <w:tc>
          <w:tcPr>
            <w:tcW w:w="1439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150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439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 xml:space="preserve"> 5.3</w:t>
            </w:r>
          </w:p>
        </w:tc>
        <w:tc>
          <w:tcPr>
            <w:tcW w:w="10150" w:type="dxa"/>
          </w:tcPr>
          <w:p>
            <w:pPr>
              <w:pStyle w:val="2"/>
              <w:numPr>
                <w:ilvl w:val="0"/>
                <w:numId w:val="0"/>
              </w:numPr>
              <w:spacing w:line="41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现场审核过程了解到部门主要负责：</w:t>
            </w:r>
          </w:p>
          <w:p>
            <w:pPr>
              <w:pStyle w:val="2"/>
              <w:numPr>
                <w:ilvl w:val="0"/>
                <w:numId w:val="1"/>
              </w:numPr>
              <w:spacing w:line="41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负责与顾客沟通，收集、处理有关信息，负责</w:t>
            </w:r>
            <w:r>
              <w:rPr>
                <w:rFonts w:hint="eastAsia"/>
                <w:sz w:val="21"/>
                <w:szCs w:val="21"/>
              </w:rPr>
              <w:t>组织</w:t>
            </w:r>
            <w:r>
              <w:rPr>
                <w:sz w:val="21"/>
                <w:szCs w:val="21"/>
              </w:rPr>
              <w:t>与产品有关</w:t>
            </w:r>
            <w:r>
              <w:rPr>
                <w:rFonts w:hint="eastAsia"/>
                <w:sz w:val="21"/>
                <w:szCs w:val="21"/>
              </w:rPr>
              <w:t>环保</w:t>
            </w:r>
            <w:r>
              <w:rPr>
                <w:sz w:val="21"/>
                <w:szCs w:val="21"/>
              </w:rPr>
              <w:t xml:space="preserve">要求的评审； </w:t>
            </w:r>
          </w:p>
          <w:p>
            <w:pPr>
              <w:pStyle w:val="2"/>
              <w:numPr>
                <w:ilvl w:val="0"/>
                <w:numId w:val="1"/>
              </w:numPr>
              <w:spacing w:line="4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</w:t>
            </w:r>
            <w:r>
              <w:rPr>
                <w:sz w:val="21"/>
                <w:szCs w:val="21"/>
              </w:rPr>
              <w:t>公司产品的宣传、推广、销售</w:t>
            </w:r>
            <w:r>
              <w:rPr>
                <w:rFonts w:hint="eastAsia"/>
                <w:sz w:val="21"/>
                <w:szCs w:val="21"/>
              </w:rPr>
              <w:t>、回款</w:t>
            </w:r>
            <w:r>
              <w:rPr>
                <w:sz w:val="21"/>
                <w:szCs w:val="21"/>
              </w:rPr>
              <w:t>以及公司的形象宣传</w:t>
            </w:r>
            <w:r>
              <w:rPr>
                <w:rFonts w:hint="eastAsia"/>
                <w:sz w:val="21"/>
                <w:szCs w:val="21"/>
              </w:rPr>
              <w:t>等所有销售活动管理。</w:t>
            </w:r>
          </w:p>
          <w:p>
            <w:pPr>
              <w:pStyle w:val="2"/>
              <w:numPr>
                <w:ilvl w:val="0"/>
                <w:numId w:val="1"/>
              </w:numPr>
              <w:spacing w:line="410" w:lineRule="exact"/>
              <w:ind w:left="826" w:hanging="34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负责保持与顾客进行有关的</w:t>
            </w:r>
            <w:r>
              <w:rPr>
                <w:rFonts w:hint="eastAsia"/>
                <w:sz w:val="21"/>
                <w:szCs w:val="21"/>
              </w:rPr>
              <w:t>环境</w:t>
            </w:r>
            <w:r>
              <w:rPr>
                <w:sz w:val="21"/>
                <w:szCs w:val="21"/>
              </w:rPr>
              <w:t>信息交流，并将管理信息传递给有关人员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pStyle w:val="2"/>
              <w:numPr>
                <w:ilvl w:val="0"/>
                <w:numId w:val="2"/>
              </w:numPr>
              <w:spacing w:line="41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负责环保用品采购流程的管理与供应商管理，要求供应商提供相关资料；</w:t>
            </w:r>
            <w:r>
              <w:rPr>
                <w:sz w:val="21"/>
                <w:szCs w:val="21"/>
              </w:rPr>
              <w:t xml:space="preserve">                                                                     </w:t>
            </w:r>
          </w:p>
          <w:p>
            <w:pPr>
              <w:pStyle w:val="2"/>
              <w:numPr>
                <w:ilvl w:val="0"/>
                <w:numId w:val="2"/>
              </w:numPr>
              <w:spacing w:line="410" w:lineRule="exact"/>
              <w:ind w:left="826" w:hanging="3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寻找合适的供应商，询价并议价，确定最终的采购价格。</w:t>
            </w:r>
          </w:p>
          <w:p>
            <w:pPr>
              <w:pStyle w:val="2"/>
              <w:numPr>
                <w:ilvl w:val="0"/>
                <w:numId w:val="2"/>
              </w:numPr>
              <w:spacing w:line="410" w:lineRule="exact"/>
              <w:ind w:left="826" w:hanging="3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对供应商进行评估、选择及管理，确保供应商和相关材料符合环保的要求。</w:t>
            </w:r>
          </w:p>
          <w:p>
            <w:pPr>
              <w:pStyle w:val="2"/>
              <w:numPr>
                <w:ilvl w:val="0"/>
                <w:numId w:val="2"/>
              </w:numPr>
              <w:spacing w:line="410" w:lineRule="exact"/>
              <w:ind w:left="826" w:hanging="3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负责公司采购环保用品用品的保管。</w:t>
            </w:r>
          </w:p>
          <w:p>
            <w:pPr>
              <w:pStyle w:val="2"/>
              <w:numPr>
                <w:ilvl w:val="0"/>
                <w:numId w:val="2"/>
              </w:numPr>
              <w:spacing w:line="410" w:lineRule="exact"/>
              <w:ind w:left="826" w:hanging="3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负责向供方传达公司有关与的环境</w:t>
            </w:r>
            <w:r>
              <w:rPr>
                <w:sz w:val="21"/>
                <w:szCs w:val="21"/>
              </w:rPr>
              <w:t>管理要求</w:t>
            </w:r>
            <w:r>
              <w:rPr>
                <w:rFonts w:hint="eastAsia"/>
                <w:sz w:val="21"/>
                <w:szCs w:val="21"/>
              </w:rPr>
              <w:t>和信息，</w:t>
            </w:r>
            <w:r>
              <w:rPr>
                <w:sz w:val="21"/>
                <w:szCs w:val="21"/>
              </w:rPr>
              <w:t>对供方实施评价，实施</w:t>
            </w:r>
            <w:r>
              <w:rPr>
                <w:rFonts w:hint="eastAsia"/>
                <w:sz w:val="21"/>
                <w:szCs w:val="21"/>
              </w:rPr>
              <w:t>环境</w:t>
            </w:r>
            <w:r>
              <w:rPr>
                <w:sz w:val="21"/>
                <w:szCs w:val="21"/>
              </w:rPr>
              <w:t>影响，有需要时对供方进行现场实施的验证活动；对外部供方的业绩进行控制和监视，</w:t>
            </w:r>
            <w:r>
              <w:rPr>
                <w:rFonts w:hint="eastAsia"/>
                <w:sz w:val="21"/>
                <w:szCs w:val="21"/>
              </w:rPr>
              <w:t>促进供方改进与绩效提升。</w:t>
            </w:r>
          </w:p>
          <w:p>
            <w:pPr>
              <w:pStyle w:val="2"/>
              <w:numPr>
                <w:ilvl w:val="0"/>
                <w:numId w:val="2"/>
              </w:numPr>
              <w:spacing w:line="410" w:lineRule="exact"/>
              <w:ind w:left="826" w:hanging="346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完成领导交办的其它工作。</w:t>
            </w:r>
          </w:p>
          <w:p>
            <w:pPr>
              <w:spacing w:line="360" w:lineRule="auto"/>
              <w:ind w:firstLine="420" w:firstLineChars="200"/>
              <w:rPr>
                <w:rFonts w:ascii="宋体" w:cs="宋体"/>
                <w:szCs w:val="21"/>
              </w:rPr>
            </w:pP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439" w:type="dxa"/>
          </w:tcPr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目标</w:t>
            </w:r>
            <w:r>
              <w:rPr>
                <w:rFonts w:ascii="宋体" w:hAnsi="宋体" w:cs="Arial"/>
                <w:szCs w:val="21"/>
              </w:rPr>
              <w:t xml:space="preserve">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E:6.2</w:t>
            </w:r>
          </w:p>
        </w:tc>
        <w:tc>
          <w:tcPr>
            <w:tcW w:w="10150" w:type="dxa"/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部门目标：</w:t>
            </w:r>
          </w:p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pict>
                <v:shape id="_x0000_i1025" o:spt="75" type="#_x0000_t75" style="height:68.35pt;width:496.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20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20.6-9月</w:t>
            </w:r>
            <w:r>
              <w:rPr>
                <w:rFonts w:hint="eastAsia" w:ascii="宋体" w:hAnsi="宋体" w:cs="Arial"/>
                <w:szCs w:val="21"/>
              </w:rPr>
              <w:t>考核情况：经查已完成。</w:t>
            </w:r>
          </w:p>
        </w:tc>
        <w:tc>
          <w:tcPr>
            <w:tcW w:w="143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环境因素辨识与评价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>6.1.2</w:t>
            </w:r>
          </w:p>
        </w:tc>
        <w:tc>
          <w:tcPr>
            <w:tcW w:w="10150" w:type="dxa"/>
          </w:tcPr>
          <w:p>
            <w:pPr>
              <w:snapToGrid w:val="0"/>
              <w:spacing w:line="360" w:lineRule="auto"/>
              <w:ind w:firstLine="48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查有：《</w:t>
            </w:r>
            <w:r>
              <w:rPr>
                <w:rFonts w:hint="eastAsia" w:ascii="宋体" w:hAnsi="宋体"/>
                <w:szCs w:val="21"/>
              </w:rPr>
              <w:t>环境因素和危险源识别评价与控制程序</w:t>
            </w:r>
            <w:r>
              <w:rPr>
                <w:rFonts w:hint="eastAsia" w:ascii="宋体" w:hAnsi="宋体" w:cs="楷体"/>
                <w:szCs w:val="21"/>
              </w:rPr>
              <w:t>》。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部的“环境因素识别评价汇总表”，识别了本部门在办公、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、相关方等各有关过程的环境因素，包括电脑使用用电消耗、办公纸张消耗、车辆尾气排放、废包装物排放等环境因素，识别时能考虑产品生命周期观点。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查《重要环境因素清单》，涉及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楷体"/>
                <w:szCs w:val="21"/>
              </w:rPr>
              <w:t>部有</w:t>
            </w:r>
            <w:r>
              <w:rPr>
                <w:rFonts w:ascii="宋体" w:hAnsi="宋体" w:cs="楷体"/>
                <w:szCs w:val="21"/>
              </w:rPr>
              <w:t>2</w:t>
            </w:r>
            <w:r>
              <w:rPr>
                <w:rFonts w:hint="eastAsia" w:ascii="宋体" w:hAnsi="宋体" w:cs="楷体"/>
                <w:szCs w:val="21"/>
              </w:rPr>
              <w:t>项重要环境因素，包括：火灾、固体废弃物的排放。</w:t>
            </w:r>
          </w:p>
          <w:p>
            <w:pPr>
              <w:spacing w:line="360" w:lineRule="auto"/>
              <w:ind w:firstLine="420" w:firstLineChars="20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控制措施：固废分类存放、垃圾等由办公室负责按规定处置，包装物分类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收集按规定处置</w:t>
            </w:r>
            <w:r>
              <w:rPr>
                <w:rFonts w:hint="eastAsia" w:ascii="宋体" w:hAnsi="宋体" w:cs="楷体"/>
                <w:szCs w:val="21"/>
              </w:rPr>
              <w:t>，日常检查、培训教育，配备有消防器材、制定应急预案等措施。</w:t>
            </w:r>
          </w:p>
          <w:p>
            <w:pPr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部门识别和评价基本充分，符合规定要求。</w:t>
            </w:r>
          </w:p>
        </w:tc>
        <w:tc>
          <w:tcPr>
            <w:tcW w:w="143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运行策划和控制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 xml:space="preserve"> 8.1</w:t>
            </w:r>
          </w:p>
        </w:tc>
        <w:tc>
          <w:tcPr>
            <w:tcW w:w="10150" w:type="dxa"/>
          </w:tcPr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>1.</w:t>
            </w:r>
            <w:r>
              <w:rPr>
                <w:rFonts w:hint="eastAsia" w:ascii="宋体" w:hAnsi="宋体" w:cs="楷体"/>
                <w:szCs w:val="21"/>
              </w:rPr>
              <w:t>编制并实施了环境控制程序和管理制度。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ascii="宋体" w:hAnsi="宋体" w:cs="楷体"/>
                <w:szCs w:val="21"/>
              </w:rPr>
              <w:t>2.</w:t>
            </w:r>
            <w:r>
              <w:rPr>
                <w:rFonts w:hint="eastAsia" w:ascii="宋体" w:hAnsi="宋体" w:cs="楷体"/>
                <w:szCs w:val="21"/>
              </w:rPr>
              <w:t>公司目前销售的主要产品有</w:t>
            </w:r>
            <w:r>
              <w:rPr>
                <w:rFonts w:hint="eastAsia" w:ascii="宋体" w:hAnsi="宋体" w:cs="楷体"/>
                <w:bCs/>
                <w:szCs w:val="21"/>
              </w:rPr>
              <w:t>：</w:t>
            </w:r>
            <w:bookmarkStart w:id="0" w:name="审核范围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热固性粉末涂料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 w:themeColor="text1"/>
                <w:sz w:val="21"/>
                <w:szCs w:val="21"/>
              </w:rPr>
              <w:t>。</w:t>
            </w:r>
            <w:bookmarkEnd w:id="0"/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3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对可回收的固体废弃物，一部分由厂家回收，厂家不回收的公司统一回收再利用或由物资回收公司处理，不可回收的废弃物由公司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楷体"/>
                <w:szCs w:val="21"/>
              </w:rPr>
              <w:t>统一处理，部门不单独处理。</w:t>
            </w:r>
          </w:p>
          <w:p>
            <w:pPr>
              <w:snapToGrid w:val="0"/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4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办公室和仓库内主要是电的使用，电器有漏电保护器，经常对电路、电源进行检查，没有露电现象发生，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5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在产品装车时，要求装运人员必须穿戴劳动防护用品，合理使用搬运工具。</w:t>
            </w:r>
          </w:p>
          <w:p>
            <w:pPr>
              <w:spacing w:line="360" w:lineRule="auto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6</w:t>
            </w:r>
            <w:r>
              <w:rPr>
                <w:rFonts w:asci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对外招投标和业务洽谈时明确承诺公司产品环保、无毒无害。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7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公司通过各部门申报采购计划批准后进行采购，流程是申报计划→评审→总经理批准→签订合同→采购。</w:t>
            </w:r>
          </w:p>
          <w:p>
            <w:pPr>
              <w:spacing w:line="360" w:lineRule="auto"/>
              <w:rPr>
                <w:rFonts w:hint="eastAsia" w:ascii="宋体" w:hAnsi="宋体" w:cs="楷体"/>
                <w:bCs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8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</w:rPr>
              <w:t>公司目前采购的主要原材料有</w:t>
            </w:r>
            <w:r>
              <w:rPr>
                <w:rFonts w:hint="eastAsia" w:ascii="宋体" w:hAnsi="宋体" w:cs="楷体"/>
                <w:bCs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环氧树脂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固化剂、流平剂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颜料、仿电镀助剂、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纸箱、包材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楷体"/>
                <w:bCs/>
                <w:szCs w:val="21"/>
              </w:rPr>
              <w:t>产品全部由厂家提供，均有合格证和使用说明以及检验报告。</w:t>
            </w:r>
          </w:p>
          <w:p>
            <w:pPr>
              <w:spacing w:line="360" w:lineRule="auto"/>
              <w:rPr>
                <w:rFonts w:hint="eastAsia" w:ascii="宋体" w:hAnsi="宋体" w:cs="楷体"/>
                <w:bCs/>
                <w:szCs w:val="21"/>
              </w:rPr>
            </w:pPr>
            <w:r>
              <w:pict>
                <v:shape id="_x0000_i1026" o:spt="75" type="#_x0000_t75" style="height:208.15pt;width:169.15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r>
              <w:pict>
                <v:shape id="_x0000_i1027" o:spt="75" type="#_x0000_t75" style="height:208.7pt;width:162.15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r>
              <w:pict>
                <v:shape id="_x0000_i1028" o:spt="75" type="#_x0000_t75" style="height:209.4pt;width:165.3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360" w:lineRule="auto"/>
              <w:rPr>
                <w:rFonts w:hint="eastAsia" w:ascii="宋体" w:hAnsi="宋体" w:cs="楷体"/>
                <w:bCs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楷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楷体"/>
                <w:bCs/>
                <w:szCs w:val="21"/>
                <w:lang w:val="en-US" w:eastAsia="zh-CN"/>
              </w:rPr>
              <w:t>提供了10家合格供应商名录：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安徽善孚新材料科技股份有限公司</w:t>
            </w:r>
            <w:r>
              <w:rPr>
                <w:rFonts w:hint="eastAsia" w:ascii="宋体" w:hAnsi="宋体" w:cs="楷体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广东韩创新材料科技有限公司</w:t>
            </w:r>
            <w:r>
              <w:rPr>
                <w:rFonts w:hint="eastAsia" w:ascii="宋体" w:hAnsi="宋体" w:cs="楷体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濮阳市宏大圣导新材料有限公司</w:t>
            </w:r>
            <w:r>
              <w:rPr>
                <w:rFonts w:hint="eastAsia" w:ascii="宋体" w:hAnsi="宋体" w:cs="楷体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上海正飞新材料有限公司</w:t>
            </w:r>
            <w:r>
              <w:rPr>
                <w:rFonts w:hint="eastAsia" w:ascii="宋体" w:hAnsi="宋体" w:cs="楷体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福安市新环宇纸业有限公司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Arial" w:hAnsi="Arial" w:cs="Arial"/>
                <w:color w:val="auto"/>
                <w:sz w:val="21"/>
                <w:szCs w:val="21"/>
                <w:lang w:val="en-US" w:eastAsia="zh-CN"/>
              </w:rPr>
              <w:t>黄山佳杰新材料科技有限公司、金华市坤达新材料科技有限公司、广州润物环保科技有限公司、广州惠用高分子材料科技有限公司、中钛集团洛阳市裕星化工有限公司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  <w:lang w:val="en-US" w:eastAsia="zh-CN"/>
              </w:rPr>
              <w:t>9</w:t>
            </w:r>
            <w:r>
              <w:rPr>
                <w:rFonts w:ascii="宋体" w:hAnsi="宋体" w:cs="楷体"/>
                <w:szCs w:val="21"/>
              </w:rPr>
              <w:t>.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2020.5.26运营</w:t>
            </w:r>
            <w:r>
              <w:rPr>
                <w:rFonts w:hint="eastAsia" w:ascii="宋体" w:hAnsi="宋体" w:cs="楷体"/>
                <w:szCs w:val="21"/>
              </w:rPr>
              <w:t>部向供应商发放《相关方告之书》，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告之书</w:t>
            </w:r>
            <w:r>
              <w:rPr>
                <w:rFonts w:hint="eastAsia" w:ascii="宋体" w:hAnsi="宋体" w:cs="楷体"/>
                <w:szCs w:val="21"/>
              </w:rPr>
              <w:t>的内容中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楷体"/>
                <w:szCs w:val="21"/>
              </w:rPr>
              <w:t>包括本公司采购产品的理化性能造成的环境影响或可能造成的影响，对使用该种物料的员工的要求，供应商在运输这些物料所使用的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 w:cs="楷体"/>
                <w:szCs w:val="21"/>
              </w:rPr>
              <w:t>、运输方式对环境和职业健康的影响，到本公司减速慢行、运输路上每</w:t>
            </w:r>
            <w:r>
              <w:rPr>
                <w:rFonts w:ascii="宋体" w:hAnsi="宋体" w:cs="楷体"/>
                <w:szCs w:val="21"/>
              </w:rPr>
              <w:t>4</w:t>
            </w:r>
            <w:r>
              <w:rPr>
                <w:rFonts w:hint="eastAsia" w:ascii="宋体" w:hAnsi="宋体" w:cs="楷体"/>
                <w:szCs w:val="21"/>
              </w:rPr>
              <w:t>个小时休息</w:t>
            </w:r>
            <w:r>
              <w:rPr>
                <w:rFonts w:ascii="宋体" w:hAnsi="宋体" w:cs="楷体"/>
                <w:szCs w:val="21"/>
              </w:rPr>
              <w:t>1</w:t>
            </w:r>
            <w:r>
              <w:rPr>
                <w:rFonts w:hint="eastAsia" w:ascii="宋体" w:hAnsi="宋体" w:cs="楷体"/>
                <w:szCs w:val="21"/>
              </w:rPr>
              <w:t>次等。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对供应商施加影响还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cs="楷体"/>
                <w:szCs w:val="21"/>
              </w:rPr>
              <w:t>包括在评定供应商时，获取质量、环境、职业健康安全管理体系证书则优先，产品必须用环保无毒无害材料、无尖角毛刺等措施。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仓库的面积在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平米左右，配置了灭火器，通风、照明情况良好。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销售的产品按规格摆放，墙上张帖产品MSDS，进出有采购和销售单，基本符合要求。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="宋体" w:hAnsi="宋体" w:eastAsia="宋体" w:cs="楷体"/>
                <w:szCs w:val="21"/>
                <w:lang w:eastAsia="zh-CN"/>
              </w:rPr>
            </w:pPr>
            <w:r>
              <w:rPr>
                <w:rFonts w:hint="eastAsia" w:ascii="宋体" w:hAnsi="宋体" w:eastAsia="宋体" w:cs="楷体"/>
                <w:szCs w:val="21"/>
                <w:lang w:eastAsia="zh-CN"/>
              </w:rPr>
              <w:pict>
                <v:shape id="_x0000_i1029" o:spt="75" alt="b4b2cfe95766982ca16649602d7768e" type="#_x0000_t75" style="height:150.5pt;width:200.65pt;" filled="f" o:preferrelative="t" stroked="f" coordsize="21600,21600">
                  <v:path/>
                  <v:fill on="f" focussize="0,0"/>
                  <v:stroke on="f"/>
                  <v:imagedata r:id="rId10" o:title="b4b2cfe95766982ca16649602d7768e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eastAsia="宋体" w:cs="楷体"/>
                <w:szCs w:val="21"/>
                <w:lang w:eastAsia="zh-CN"/>
              </w:rPr>
              <w:pict>
                <v:shape id="_x0000_i1031" o:spt="75" alt="317fc1e806ea9df579fcd2e4c74f444" type="#_x0000_t75" style="height:150.2pt;width:266.9pt;" filled="f" o:preferrelative="t" stroked="f" coordsize="21600,21600">
                  <v:path/>
                  <v:fill on="f" focussize="0,0"/>
                  <v:stroke on="f"/>
                  <v:imagedata r:id="rId11" o:title="317fc1e806ea9df579fcd2e4c74f444"/>
                  <o:lock v:ext="edit" aspectratio="t"/>
                  <w10:wrap type="none"/>
                  <w10:anchorlock/>
                </v:shape>
              </w:pic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部门运行控制能结合产品生命周期方法，基本符合策划要求。</w:t>
            </w:r>
          </w:p>
        </w:tc>
        <w:tc>
          <w:tcPr>
            <w:tcW w:w="143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符合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ascii="宋体" w:hAnsi="宋体" w:cs="Arial"/>
                <w:szCs w:val="21"/>
              </w:rPr>
              <w:t>8.2</w:t>
            </w:r>
          </w:p>
        </w:tc>
        <w:tc>
          <w:tcPr>
            <w:tcW w:w="10150" w:type="dxa"/>
          </w:tcPr>
          <w:p>
            <w:pPr>
              <w:spacing w:line="360" w:lineRule="auto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制定实施了《应急准备和响应控制程序》，制定了火灾等应急预案。内容包括：目的、适用范围、职责、应急处理细则、演习、必备资料等。</w:t>
            </w:r>
          </w:p>
          <w:p>
            <w:pPr>
              <w:spacing w:line="360" w:lineRule="auto"/>
              <w:ind w:firstLine="315" w:firstLineChars="15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参加了由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楷体"/>
                <w:szCs w:val="21"/>
              </w:rPr>
              <w:t>组织的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szCs w:val="21"/>
              </w:rPr>
              <w:t>应急救援演练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spacing w:line="360" w:lineRule="auto"/>
              <w:ind w:firstLine="315" w:firstLineChars="150"/>
              <w:rPr>
                <w:rFonts w:ascii="宋体" w:cs="楷体"/>
                <w:szCs w:val="21"/>
              </w:rPr>
            </w:pPr>
            <w:r>
              <w:rPr>
                <w:rFonts w:hint="eastAsia" w:ascii="宋体" w:hAnsi="宋体" w:cs="楷体"/>
                <w:szCs w:val="21"/>
              </w:rPr>
              <w:t>现场巡视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原材料和</w:t>
            </w:r>
            <w:r>
              <w:rPr>
                <w:rFonts w:hint="eastAsia" w:ascii="宋体" w:hAnsi="宋体" w:cs="楷体"/>
                <w:szCs w:val="21"/>
              </w:rPr>
              <w:t>产品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仓库，均</w:t>
            </w:r>
            <w:r>
              <w:rPr>
                <w:rFonts w:hint="eastAsia" w:ascii="宋体" w:hAnsi="宋体" w:cs="楷体"/>
                <w:szCs w:val="21"/>
              </w:rPr>
              <w:t>按规格堆放，</w:t>
            </w:r>
            <w:r>
              <w:rPr>
                <w:rFonts w:hint="eastAsia" w:ascii="宋体" w:hAnsi="宋体" w:cs="楷体"/>
                <w:szCs w:val="21"/>
                <w:lang w:val="en-US" w:eastAsia="zh-CN"/>
              </w:rPr>
              <w:t>并贴有标识，符合要求</w:t>
            </w:r>
            <w:r>
              <w:rPr>
                <w:rFonts w:hint="eastAsia" w:ascii="宋体" w:hAnsi="宋体" w:cs="楷体"/>
                <w:szCs w:val="21"/>
              </w:rPr>
              <w:t>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/>
                <w:szCs w:val="21"/>
              </w:rPr>
            </w:pPr>
          </w:p>
        </w:tc>
        <w:tc>
          <w:tcPr>
            <w:tcW w:w="1439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符合</w:t>
            </w:r>
            <w:bookmarkStart w:id="1" w:name="_GoBack"/>
            <w:bookmarkEnd w:id="1"/>
          </w:p>
        </w:tc>
      </w:tr>
    </w:tbl>
    <w:p>
      <w:pPr>
        <w:jc w:val="center"/>
        <w:rPr>
          <w:rFonts w:ascii="楷体" w:hAnsi="楷体" w:eastAsia="楷体"/>
        </w:rPr>
      </w:pPr>
    </w:p>
    <w:p>
      <w:pPr>
        <w:jc w:val="center"/>
        <w:rPr>
          <w:rFonts w:ascii="楷体" w:hAnsi="楷体" w:eastAsia="楷体"/>
        </w:rPr>
      </w:pPr>
    </w:p>
    <w:p>
      <w:pPr>
        <w:pStyle w:val="4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</w:t>
      </w:r>
      <w:r>
        <w:rPr>
          <w:rFonts w:ascii="楷体" w:hAnsi="楷体" w:eastAsia="楷体"/>
        </w:rPr>
        <w:t>N</w:t>
      </w:r>
    </w:p>
    <w:p>
      <w:pPr>
        <w:pStyle w:val="4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6</w:t>
    </w:r>
    <w:r>
      <w:rPr>
        <w:b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eastAsia"/>
      </w:rPr>
      <w:t>北京国标联合认证有限公司</w:t>
    </w:r>
    <w:r>
      <w:rPr>
        <w:rStyle w:val="11"/>
      </w:rPr>
      <w:tab/>
    </w:r>
    <w:r>
      <w:rPr>
        <w:rStyle w:val="11"/>
      </w:rPr>
      <w:tab/>
    </w:r>
    <w:r>
      <w:rPr>
        <w:rStyle w:val="11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554.75pt;margin-top:2.2pt;height:20.2pt;width:172pt;z-index:1024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>
                <w:r>
                  <w:t>ISC-B-I</w:t>
                </w:r>
                <w:r>
                  <w:rPr>
                    <w:sz w:val="18"/>
                    <w:szCs w:val="18"/>
                  </w:rPr>
                  <w:t>I-10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1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884C1"/>
    <w:multiLevelType w:val="singleLevel"/>
    <w:tmpl w:val="3A3884C1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F56EF4"/>
    <w:multiLevelType w:val="multilevel"/>
    <w:tmpl w:val="55F56EF4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0" w:hanging="420"/>
      </w:pPr>
    </w:lvl>
  </w:abstractNum>
  <w:abstractNum w:abstractNumId="2">
    <w:nsid w:val="5CB26811"/>
    <w:multiLevelType w:val="multilevel"/>
    <w:tmpl w:val="5CB26811"/>
    <w:lvl w:ilvl="0" w:tentative="0">
      <w:start w:val="1"/>
      <w:numFmt w:val="lowerLetter"/>
      <w:lvlText w:val="%1)"/>
      <w:lvlJc w:val="left"/>
      <w:pPr>
        <w:tabs>
          <w:tab w:val="left" w:pos="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214B6"/>
    <w:rsid w:val="0002531E"/>
    <w:rsid w:val="0003373A"/>
    <w:rsid w:val="000412F6"/>
    <w:rsid w:val="0005199E"/>
    <w:rsid w:val="00053861"/>
    <w:rsid w:val="00054863"/>
    <w:rsid w:val="0005697E"/>
    <w:rsid w:val="000579CF"/>
    <w:rsid w:val="000602FA"/>
    <w:rsid w:val="0007023B"/>
    <w:rsid w:val="000803D0"/>
    <w:rsid w:val="00082216"/>
    <w:rsid w:val="00082398"/>
    <w:rsid w:val="00082817"/>
    <w:rsid w:val="000849D2"/>
    <w:rsid w:val="00086F5D"/>
    <w:rsid w:val="00095FE1"/>
    <w:rsid w:val="000A5E44"/>
    <w:rsid w:val="000B1394"/>
    <w:rsid w:val="000B40BD"/>
    <w:rsid w:val="000B51BD"/>
    <w:rsid w:val="000C0F8E"/>
    <w:rsid w:val="000C123B"/>
    <w:rsid w:val="000C6B55"/>
    <w:rsid w:val="000D5401"/>
    <w:rsid w:val="000D697A"/>
    <w:rsid w:val="000E2B69"/>
    <w:rsid w:val="000E7EF7"/>
    <w:rsid w:val="000F35F1"/>
    <w:rsid w:val="000F7D53"/>
    <w:rsid w:val="001022F1"/>
    <w:rsid w:val="0010278D"/>
    <w:rsid w:val="001037D5"/>
    <w:rsid w:val="001149C9"/>
    <w:rsid w:val="00121EA6"/>
    <w:rsid w:val="00142A5B"/>
    <w:rsid w:val="0014561D"/>
    <w:rsid w:val="00145688"/>
    <w:rsid w:val="001677C1"/>
    <w:rsid w:val="001918ED"/>
    <w:rsid w:val="00192A7F"/>
    <w:rsid w:val="00194706"/>
    <w:rsid w:val="00197C93"/>
    <w:rsid w:val="001A2D7F"/>
    <w:rsid w:val="001A3DF8"/>
    <w:rsid w:val="001A572D"/>
    <w:rsid w:val="001B5FE9"/>
    <w:rsid w:val="001D4AD8"/>
    <w:rsid w:val="001D54FF"/>
    <w:rsid w:val="001E1974"/>
    <w:rsid w:val="001E4FED"/>
    <w:rsid w:val="00202BC2"/>
    <w:rsid w:val="00207191"/>
    <w:rsid w:val="00214113"/>
    <w:rsid w:val="00215081"/>
    <w:rsid w:val="00217F1D"/>
    <w:rsid w:val="00222532"/>
    <w:rsid w:val="00237445"/>
    <w:rsid w:val="00257930"/>
    <w:rsid w:val="002651A6"/>
    <w:rsid w:val="00272C8B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D38C3"/>
    <w:rsid w:val="002D41FB"/>
    <w:rsid w:val="002E0587"/>
    <w:rsid w:val="002E1E1D"/>
    <w:rsid w:val="002E7E5D"/>
    <w:rsid w:val="002F77F9"/>
    <w:rsid w:val="003023CC"/>
    <w:rsid w:val="00317401"/>
    <w:rsid w:val="00326FC1"/>
    <w:rsid w:val="00337922"/>
    <w:rsid w:val="00340867"/>
    <w:rsid w:val="00341208"/>
    <w:rsid w:val="00342857"/>
    <w:rsid w:val="00343857"/>
    <w:rsid w:val="00347CB2"/>
    <w:rsid w:val="003608CB"/>
    <w:rsid w:val="003627B6"/>
    <w:rsid w:val="003634F1"/>
    <w:rsid w:val="00366FA6"/>
    <w:rsid w:val="003708D5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C0FC6"/>
    <w:rsid w:val="003D0F55"/>
    <w:rsid w:val="003D6BE3"/>
    <w:rsid w:val="003E0E52"/>
    <w:rsid w:val="003F20A5"/>
    <w:rsid w:val="003F5AFC"/>
    <w:rsid w:val="00400B96"/>
    <w:rsid w:val="00405D5F"/>
    <w:rsid w:val="00410914"/>
    <w:rsid w:val="00414A26"/>
    <w:rsid w:val="00415AA3"/>
    <w:rsid w:val="00420C60"/>
    <w:rsid w:val="00422783"/>
    <w:rsid w:val="00430432"/>
    <w:rsid w:val="00433759"/>
    <w:rsid w:val="0043494E"/>
    <w:rsid w:val="004414A5"/>
    <w:rsid w:val="00456697"/>
    <w:rsid w:val="0046133E"/>
    <w:rsid w:val="00465FE1"/>
    <w:rsid w:val="00475491"/>
    <w:rsid w:val="004869FB"/>
    <w:rsid w:val="00491735"/>
    <w:rsid w:val="00494A46"/>
    <w:rsid w:val="00494F89"/>
    <w:rsid w:val="004A2955"/>
    <w:rsid w:val="004B217F"/>
    <w:rsid w:val="004B3E7F"/>
    <w:rsid w:val="004B549E"/>
    <w:rsid w:val="004C07FE"/>
    <w:rsid w:val="004C2A19"/>
    <w:rsid w:val="004C6045"/>
    <w:rsid w:val="004D22E0"/>
    <w:rsid w:val="004D391C"/>
    <w:rsid w:val="004D3E4C"/>
    <w:rsid w:val="004D41EE"/>
    <w:rsid w:val="004D7519"/>
    <w:rsid w:val="004E27B4"/>
    <w:rsid w:val="004F185D"/>
    <w:rsid w:val="004F3F59"/>
    <w:rsid w:val="005056ED"/>
    <w:rsid w:val="00511BA6"/>
    <w:rsid w:val="00517E4C"/>
    <w:rsid w:val="0052007E"/>
    <w:rsid w:val="00521CF0"/>
    <w:rsid w:val="005247CE"/>
    <w:rsid w:val="0053208B"/>
    <w:rsid w:val="005331FF"/>
    <w:rsid w:val="00534814"/>
    <w:rsid w:val="00536930"/>
    <w:rsid w:val="00551AE7"/>
    <w:rsid w:val="00560A2A"/>
    <w:rsid w:val="00564E53"/>
    <w:rsid w:val="00583277"/>
    <w:rsid w:val="00592C3E"/>
    <w:rsid w:val="005A000F"/>
    <w:rsid w:val="005B173D"/>
    <w:rsid w:val="005B6888"/>
    <w:rsid w:val="005D2643"/>
    <w:rsid w:val="005D7FAE"/>
    <w:rsid w:val="005E28A0"/>
    <w:rsid w:val="005F6C65"/>
    <w:rsid w:val="00600F02"/>
    <w:rsid w:val="0060444D"/>
    <w:rsid w:val="00622EE3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C24BF"/>
    <w:rsid w:val="006C40B9"/>
    <w:rsid w:val="006D08DD"/>
    <w:rsid w:val="006E678B"/>
    <w:rsid w:val="0070367F"/>
    <w:rsid w:val="00712F3C"/>
    <w:rsid w:val="0071390C"/>
    <w:rsid w:val="007170AA"/>
    <w:rsid w:val="00732B6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A47FB"/>
    <w:rsid w:val="007B106B"/>
    <w:rsid w:val="007B275D"/>
    <w:rsid w:val="007B768F"/>
    <w:rsid w:val="007E6AEB"/>
    <w:rsid w:val="007E77A0"/>
    <w:rsid w:val="007F01EC"/>
    <w:rsid w:val="007F7DF2"/>
    <w:rsid w:val="007F7DF4"/>
    <w:rsid w:val="008079FA"/>
    <w:rsid w:val="00810D58"/>
    <w:rsid w:val="008150B9"/>
    <w:rsid w:val="00835B31"/>
    <w:rsid w:val="00847F60"/>
    <w:rsid w:val="00853BC9"/>
    <w:rsid w:val="008646DE"/>
    <w:rsid w:val="00864902"/>
    <w:rsid w:val="00864BE7"/>
    <w:rsid w:val="00865200"/>
    <w:rsid w:val="00871695"/>
    <w:rsid w:val="00891C25"/>
    <w:rsid w:val="008973EE"/>
    <w:rsid w:val="00897B67"/>
    <w:rsid w:val="008B6F0D"/>
    <w:rsid w:val="008C0A5A"/>
    <w:rsid w:val="008D089D"/>
    <w:rsid w:val="008E24A5"/>
    <w:rsid w:val="008F0B04"/>
    <w:rsid w:val="008F4ED3"/>
    <w:rsid w:val="008F63B8"/>
    <w:rsid w:val="008F7C55"/>
    <w:rsid w:val="00924567"/>
    <w:rsid w:val="00926BFD"/>
    <w:rsid w:val="00930694"/>
    <w:rsid w:val="0093521F"/>
    <w:rsid w:val="00945677"/>
    <w:rsid w:val="00955B84"/>
    <w:rsid w:val="00962F78"/>
    <w:rsid w:val="00965C9D"/>
    <w:rsid w:val="0096609F"/>
    <w:rsid w:val="00971600"/>
    <w:rsid w:val="00984342"/>
    <w:rsid w:val="009973B4"/>
    <w:rsid w:val="009A1B11"/>
    <w:rsid w:val="009A3AF9"/>
    <w:rsid w:val="009A4A41"/>
    <w:rsid w:val="009B7EB8"/>
    <w:rsid w:val="009E2444"/>
    <w:rsid w:val="009E30DA"/>
    <w:rsid w:val="009E6193"/>
    <w:rsid w:val="009E7DD1"/>
    <w:rsid w:val="009F7EED"/>
    <w:rsid w:val="00A138EC"/>
    <w:rsid w:val="00A3649D"/>
    <w:rsid w:val="00A36D0F"/>
    <w:rsid w:val="00A411EF"/>
    <w:rsid w:val="00A619FC"/>
    <w:rsid w:val="00A66648"/>
    <w:rsid w:val="00A801DE"/>
    <w:rsid w:val="00A90A22"/>
    <w:rsid w:val="00A97734"/>
    <w:rsid w:val="00AA7F40"/>
    <w:rsid w:val="00AB05B9"/>
    <w:rsid w:val="00AB41FC"/>
    <w:rsid w:val="00AB7D2F"/>
    <w:rsid w:val="00AD6F34"/>
    <w:rsid w:val="00AF0AAB"/>
    <w:rsid w:val="00AF156F"/>
    <w:rsid w:val="00AF616B"/>
    <w:rsid w:val="00B0685B"/>
    <w:rsid w:val="00B22D22"/>
    <w:rsid w:val="00B23030"/>
    <w:rsid w:val="00B237B9"/>
    <w:rsid w:val="00B23CAA"/>
    <w:rsid w:val="00B25189"/>
    <w:rsid w:val="00B410EE"/>
    <w:rsid w:val="00B43963"/>
    <w:rsid w:val="00B565AA"/>
    <w:rsid w:val="00B75064"/>
    <w:rsid w:val="00B8202D"/>
    <w:rsid w:val="00B83AEA"/>
    <w:rsid w:val="00B86D9C"/>
    <w:rsid w:val="00B929FD"/>
    <w:rsid w:val="00B95B99"/>
    <w:rsid w:val="00B95F69"/>
    <w:rsid w:val="00B97F9D"/>
    <w:rsid w:val="00BA4598"/>
    <w:rsid w:val="00BB13A7"/>
    <w:rsid w:val="00BB19A9"/>
    <w:rsid w:val="00BB385E"/>
    <w:rsid w:val="00BC2015"/>
    <w:rsid w:val="00BC71B0"/>
    <w:rsid w:val="00BF4732"/>
    <w:rsid w:val="00BF597E"/>
    <w:rsid w:val="00C03098"/>
    <w:rsid w:val="00C14685"/>
    <w:rsid w:val="00C31C73"/>
    <w:rsid w:val="00C326AE"/>
    <w:rsid w:val="00C438C2"/>
    <w:rsid w:val="00C51A36"/>
    <w:rsid w:val="00C548BE"/>
    <w:rsid w:val="00C55228"/>
    <w:rsid w:val="00C67E19"/>
    <w:rsid w:val="00C67E47"/>
    <w:rsid w:val="00C71E85"/>
    <w:rsid w:val="00C86F9B"/>
    <w:rsid w:val="00C87FEE"/>
    <w:rsid w:val="00C920A9"/>
    <w:rsid w:val="00CA659B"/>
    <w:rsid w:val="00CB260B"/>
    <w:rsid w:val="00CB66CD"/>
    <w:rsid w:val="00CD7004"/>
    <w:rsid w:val="00CE2A9E"/>
    <w:rsid w:val="00CE315A"/>
    <w:rsid w:val="00CE5B47"/>
    <w:rsid w:val="00CE7BE1"/>
    <w:rsid w:val="00CF147A"/>
    <w:rsid w:val="00CF1726"/>
    <w:rsid w:val="00CF6C5C"/>
    <w:rsid w:val="00CF701E"/>
    <w:rsid w:val="00D06F59"/>
    <w:rsid w:val="00D12FC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A0DF0"/>
    <w:rsid w:val="00DD1C8E"/>
    <w:rsid w:val="00DE146D"/>
    <w:rsid w:val="00DE2197"/>
    <w:rsid w:val="00DE2D80"/>
    <w:rsid w:val="00DE6FCE"/>
    <w:rsid w:val="00DF76DB"/>
    <w:rsid w:val="00E038E4"/>
    <w:rsid w:val="00E13D9A"/>
    <w:rsid w:val="00E32D13"/>
    <w:rsid w:val="00E43186"/>
    <w:rsid w:val="00E43822"/>
    <w:rsid w:val="00E54035"/>
    <w:rsid w:val="00E62996"/>
    <w:rsid w:val="00E63714"/>
    <w:rsid w:val="00E64A51"/>
    <w:rsid w:val="00E660EA"/>
    <w:rsid w:val="00E676F9"/>
    <w:rsid w:val="00E730E1"/>
    <w:rsid w:val="00E75612"/>
    <w:rsid w:val="00E910C0"/>
    <w:rsid w:val="00E96A78"/>
    <w:rsid w:val="00E97424"/>
    <w:rsid w:val="00EA0B70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2867"/>
    <w:rsid w:val="00EF2EAF"/>
    <w:rsid w:val="00EF36E7"/>
    <w:rsid w:val="00F024A7"/>
    <w:rsid w:val="00F06D09"/>
    <w:rsid w:val="00F11201"/>
    <w:rsid w:val="00F14D99"/>
    <w:rsid w:val="00F27D9A"/>
    <w:rsid w:val="00F311D6"/>
    <w:rsid w:val="00F32CB9"/>
    <w:rsid w:val="00F33729"/>
    <w:rsid w:val="00F35CD7"/>
    <w:rsid w:val="00F606E1"/>
    <w:rsid w:val="00F6739D"/>
    <w:rsid w:val="00F80156"/>
    <w:rsid w:val="00F83639"/>
    <w:rsid w:val="00F840C3"/>
    <w:rsid w:val="00F856F5"/>
    <w:rsid w:val="00F956F5"/>
    <w:rsid w:val="00FA0833"/>
    <w:rsid w:val="00FA1CD0"/>
    <w:rsid w:val="00FA350D"/>
    <w:rsid w:val="00FB03C3"/>
    <w:rsid w:val="00FB5A65"/>
    <w:rsid w:val="00FC5C16"/>
    <w:rsid w:val="00FD2869"/>
    <w:rsid w:val="00FD5EE5"/>
    <w:rsid w:val="00FD72A6"/>
    <w:rsid w:val="00FE09C9"/>
    <w:rsid w:val="00FF415B"/>
    <w:rsid w:val="00FF5C75"/>
    <w:rsid w:val="02264200"/>
    <w:rsid w:val="0258230D"/>
    <w:rsid w:val="108219C2"/>
    <w:rsid w:val="13DF1F78"/>
    <w:rsid w:val="18EF637B"/>
    <w:rsid w:val="2A943661"/>
    <w:rsid w:val="39F52ADD"/>
    <w:rsid w:val="4EC17F0A"/>
    <w:rsid w:val="50F574B7"/>
    <w:rsid w:val="51B3004F"/>
    <w:rsid w:val="573033D2"/>
    <w:rsid w:val="5EA12B9A"/>
    <w:rsid w:val="63412FF0"/>
    <w:rsid w:val="6A920F4D"/>
    <w:rsid w:val="7AC36EB8"/>
    <w:rsid w:val="7B6224E7"/>
    <w:rsid w:val="7B7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2">
    <w:name w:val="fontstyle01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3">
    <w:name w:val="fontstyle21"/>
    <w:qFormat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542</Words>
  <Characters>3093</Characters>
  <Lines>25</Lines>
  <Paragraphs>7</Paragraphs>
  <TotalTime>0</TotalTime>
  <ScaleCrop>false</ScaleCrop>
  <LinksUpToDate>false</LinksUpToDate>
  <CharactersWithSpaces>3628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2019-05-18T05:12:00Z</dcterms:created>
  <dc:creator>微软用户</dc:creator>
  <cp:lastModifiedBy>伍光华</cp:lastModifiedBy>
  <dcterms:modified xsi:type="dcterms:W3CDTF">2020-11-05T02:22:28Z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