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江西声达智能科技有限公司</w:t>
      </w:r>
      <w:bookmarkEnd w:id="0"/>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2018-N1QMS-2210615</w:t>
            </w:r>
          </w:p>
          <w:p>
            <w:pPr>
              <w:jc w:val="center"/>
              <w:rPr>
                <w:b/>
                <w:sz w:val="21"/>
                <w:szCs w:val="21"/>
              </w:rPr>
            </w:pPr>
            <w:r>
              <w:rPr>
                <w:b/>
                <w:sz w:val="21"/>
                <w:szCs w:val="21"/>
              </w:rPr>
              <w:t>2018-N1EMS-1210615</w:t>
            </w:r>
          </w:p>
          <w:p>
            <w:pPr>
              <w:jc w:val="center"/>
              <w:rPr>
                <w:b/>
                <w:sz w:val="21"/>
                <w:szCs w:val="21"/>
              </w:rPr>
            </w:pPr>
            <w:r>
              <w:rPr>
                <w:b/>
                <w:sz w:val="21"/>
                <w:szCs w:val="21"/>
              </w:rPr>
              <w:t>2018-N1OHSMS-1210615</w:t>
            </w:r>
          </w:p>
        </w:tc>
        <w:tc>
          <w:tcPr>
            <w:tcW w:w="1728" w:type="dxa"/>
            <w:gridSpan w:val="2"/>
            <w:vAlign w:val="center"/>
          </w:tcPr>
          <w:p>
            <w:pPr>
              <w:jc w:val="center"/>
              <w:rPr>
                <w:b/>
                <w:sz w:val="21"/>
                <w:szCs w:val="21"/>
              </w:rPr>
            </w:pPr>
            <w:r>
              <w:rPr>
                <w:b/>
                <w:sz w:val="21"/>
                <w:szCs w:val="21"/>
              </w:rPr>
              <w:t>EC:28.07.01</w:t>
            </w:r>
          </w:p>
          <w:p>
            <w:pPr>
              <w:jc w:val="center"/>
              <w:rPr>
                <w:b/>
                <w:sz w:val="21"/>
                <w:szCs w:val="21"/>
              </w:rPr>
            </w:pPr>
            <w:r>
              <w:rPr>
                <w:b/>
                <w:sz w:val="21"/>
                <w:szCs w:val="21"/>
              </w:rPr>
              <w:t>E:28.07.01</w:t>
            </w:r>
          </w:p>
          <w:p>
            <w:pPr>
              <w:jc w:val="center"/>
              <w:rPr>
                <w:b/>
                <w:sz w:val="21"/>
                <w:szCs w:val="21"/>
              </w:rPr>
            </w:pPr>
            <w:r>
              <w:rPr>
                <w:b/>
                <w:sz w:val="21"/>
                <w:szCs w:val="21"/>
              </w:rPr>
              <w:t>O:28.07.01</w:t>
            </w: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p>
            <w:pPr>
              <w:jc w:val="center"/>
              <w:rPr>
                <w:b/>
                <w:sz w:val="21"/>
                <w:szCs w:val="21"/>
              </w:rPr>
            </w:pPr>
            <w:r>
              <w:rPr>
                <w:b/>
                <w:sz w:val="21"/>
                <w:szCs w:val="21"/>
              </w:rPr>
              <w:t>2020-N1OHSMS-1257737</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EC:审核员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2017-N1EMS-1219448</w:t>
            </w:r>
          </w:p>
          <w:p>
            <w:pPr>
              <w:jc w:val="center"/>
              <w:rPr>
                <w:b/>
                <w:sz w:val="21"/>
                <w:szCs w:val="21"/>
              </w:rPr>
            </w:pPr>
            <w:r>
              <w:rPr>
                <w:b/>
                <w:sz w:val="21"/>
                <w:szCs w:val="21"/>
              </w:rPr>
              <w:t>2018-N1OHSMS-1219448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jc w:val="left"/>
        <w:rPr>
          <w:rFonts w:ascii="宋体" w:hAnsi="宋体"/>
          <w:b/>
          <w:color w:val="000000" w:themeColor="text1"/>
          <w:spacing w:val="-10"/>
          <w:sz w:val="20"/>
          <w:szCs w:val="20"/>
        </w:rPr>
      </w:pPr>
      <w:r>
        <w:rPr>
          <w:rFonts w:hint="eastAsia"/>
          <w:b/>
          <w:sz w:val="21"/>
          <w:szCs w:val="21"/>
        </w:rPr>
        <w:t xml:space="preserve"> </w:t>
      </w:r>
      <w:bookmarkStart w:id="4" w:name="审核依据"/>
      <w:r>
        <w:rPr>
          <w:rFonts w:hint="eastAsia" w:ascii="宋体" w:hAnsi="宋体"/>
          <w:b/>
          <w:color w:val="000000" w:themeColor="text1"/>
          <w:spacing w:val="-10"/>
          <w:sz w:val="20"/>
          <w:szCs w:val="20"/>
        </w:rPr>
        <w:t>EC：GB/T19001-2016/ISO9001:2015和GB/T50430-2017,E：GB/T 24001-2016idtISO 14001:2015,O：ISO 45001：2018</w:t>
      </w:r>
      <w:bookmarkEnd w:id="4"/>
    </w:p>
    <w:p>
      <w:pPr>
        <w:tabs>
          <w:tab w:val="left" w:pos="645"/>
        </w:tabs>
        <w:rPr>
          <w:b/>
          <w:sz w:val="21"/>
          <w:szCs w:val="21"/>
        </w:rPr>
      </w:pP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5" w:name="组织名称Add"/>
            <w:r>
              <w:rPr>
                <w:rFonts w:ascii="宋体"/>
                <w:b/>
                <w:color w:val="auto"/>
                <w:sz w:val="21"/>
              </w:rPr>
              <w:t>江西声达智能科技有限公司</w:t>
            </w:r>
            <w:bookmarkEnd w:id="5"/>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color w:val="auto"/>
                <w:sz w:val="16"/>
                <w:szCs w:val="16"/>
              </w:rPr>
            </w:pPr>
            <w:r>
              <w:rPr>
                <w:rFonts w:hint="eastAsia" w:ascii="宋体" w:hAnsi="宋体"/>
                <w:b/>
                <w:color w:val="auto"/>
                <w:sz w:val="21"/>
                <w:szCs w:val="21"/>
              </w:rPr>
              <w:t>注册地址</w:t>
            </w:r>
          </w:p>
        </w:tc>
        <w:tc>
          <w:tcPr>
            <w:tcW w:w="4416" w:type="dxa"/>
            <w:gridSpan w:val="4"/>
          </w:tcPr>
          <w:p>
            <w:pPr>
              <w:rPr>
                <w:rFonts w:ascii="宋体"/>
                <w:b/>
                <w:color w:val="auto"/>
                <w:sz w:val="21"/>
              </w:rPr>
            </w:pPr>
            <w:bookmarkStart w:id="6" w:name="注册地址"/>
            <w:r>
              <w:rPr>
                <w:rFonts w:ascii="宋体"/>
                <w:b/>
                <w:color w:val="auto"/>
                <w:sz w:val="21"/>
              </w:rPr>
              <w:t>江西省南昌市西湖区八一大道135号长运商贸A座二层B25</w:t>
            </w:r>
            <w:bookmarkEnd w:id="6"/>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7" w:name="注册邮编"/>
            <w:r>
              <w:rPr>
                <w:rFonts w:ascii="宋体"/>
                <w:b/>
                <w:sz w:val="21"/>
              </w:rPr>
              <w:t>330000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color w:val="auto"/>
                <w:sz w:val="21"/>
                <w:szCs w:val="21"/>
              </w:rPr>
            </w:pPr>
            <w:r>
              <w:rPr>
                <w:rFonts w:hint="eastAsia" w:ascii="宋体" w:hAnsi="宋体"/>
                <w:b/>
                <w:color w:val="auto"/>
                <w:sz w:val="21"/>
                <w:szCs w:val="21"/>
              </w:rPr>
              <w:t>经营地址</w:t>
            </w:r>
          </w:p>
        </w:tc>
        <w:tc>
          <w:tcPr>
            <w:tcW w:w="4416" w:type="dxa"/>
            <w:gridSpan w:val="4"/>
          </w:tcPr>
          <w:p>
            <w:pPr>
              <w:rPr>
                <w:rFonts w:ascii="宋体"/>
                <w:b/>
                <w:color w:val="auto"/>
                <w:sz w:val="21"/>
              </w:rPr>
            </w:pPr>
            <w:bookmarkStart w:id="8" w:name="办公地址"/>
            <w:r>
              <w:rPr>
                <w:rFonts w:ascii="宋体"/>
                <w:b/>
                <w:color w:val="auto"/>
                <w:sz w:val="21"/>
              </w:rPr>
              <w:t>江西省南昌市青山湖区顺外路658号湖坊工业园B7栋</w:t>
            </w:r>
            <w:bookmarkEnd w:id="8"/>
          </w:p>
        </w:tc>
        <w:tc>
          <w:tcPr>
            <w:tcW w:w="1672" w:type="dxa"/>
            <w:vMerge w:val="continue"/>
            <w:vAlign w:val="center"/>
          </w:tcPr>
          <w:p>
            <w:pPr>
              <w:jc w:val="center"/>
              <w:rPr>
                <w:rFonts w:ascii="宋体"/>
                <w:b/>
                <w:sz w:val="21"/>
              </w:rPr>
            </w:pPr>
          </w:p>
        </w:tc>
        <w:tc>
          <w:tcPr>
            <w:tcW w:w="1500" w:type="dxa"/>
          </w:tcPr>
          <w:p>
            <w:pPr>
              <w:rPr>
                <w:rFonts w:ascii="宋体"/>
                <w:b/>
                <w:sz w:val="21"/>
              </w:rPr>
            </w:pPr>
            <w:bookmarkStart w:id="9" w:name="办公邮编"/>
            <w:r>
              <w:rPr>
                <w:rFonts w:ascii="宋体"/>
                <w:b/>
                <w:sz w:val="21"/>
              </w:rPr>
              <w:t>330000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auto"/>
                <w:sz w:val="21"/>
                <w:szCs w:val="21"/>
              </w:rPr>
            </w:pPr>
            <w:r>
              <w:rPr>
                <w:rFonts w:hint="eastAsia" w:ascii="宋体" w:hAnsi="宋体"/>
                <w:b/>
                <w:color w:val="auto"/>
                <w:sz w:val="21"/>
                <w:szCs w:val="21"/>
              </w:rPr>
              <w:t>生产地址</w:t>
            </w:r>
          </w:p>
        </w:tc>
        <w:tc>
          <w:tcPr>
            <w:tcW w:w="4416" w:type="dxa"/>
            <w:gridSpan w:val="4"/>
          </w:tcPr>
          <w:p>
            <w:pPr>
              <w:rPr>
                <w:rFonts w:ascii="宋体"/>
                <w:b/>
                <w:color w:val="auto"/>
                <w:sz w:val="21"/>
              </w:rPr>
            </w:pPr>
            <w:bookmarkStart w:id="10" w:name="生产地址Add"/>
            <w:r>
              <w:rPr>
                <w:rFonts w:ascii="宋体"/>
                <w:b/>
                <w:color w:val="auto"/>
                <w:sz w:val="21"/>
              </w:rPr>
              <w:t>江西省南昌市青山湖区顺外路658号湖坊工业园B7栋</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生产邮编"/>
            <w:r>
              <w:rPr>
                <w:rFonts w:ascii="宋体"/>
                <w:b/>
                <w:sz w:val="21"/>
              </w:rPr>
              <w:t>330000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2" w:name="联系人"/>
            <w:r>
              <w:rPr>
                <w:rFonts w:ascii="宋体"/>
                <w:b/>
                <w:sz w:val="21"/>
              </w:rPr>
              <w:t>严春英</w:t>
            </w:r>
            <w:bookmarkEnd w:id="12"/>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3" w:name="联系人电话Add"/>
            <w:r>
              <w:rPr>
                <w:rFonts w:ascii="宋体"/>
                <w:b/>
                <w:sz w:val="21"/>
              </w:rPr>
              <w:t>0791-86252502</w:t>
            </w:r>
            <w:bookmarkEnd w:id="13"/>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5" w:name="法人"/>
            <w:r>
              <w:rPr>
                <w:rFonts w:ascii="宋体" w:hAnsi="宋体"/>
                <w:b/>
                <w:sz w:val="21"/>
                <w:szCs w:val="21"/>
              </w:rPr>
              <w:t>严春英</w:t>
            </w:r>
            <w:bookmarkEnd w:id="15"/>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严春英</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hint="eastAsia" w:ascii="宋体" w:hAnsi="宋体"/>
                <w:b/>
                <w:color w:val="000000" w:themeColor="text1"/>
                <w:sz w:val="20"/>
                <w:szCs w:val="20"/>
              </w:rPr>
              <w:t>靳勇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6" w:name="审核日期"/>
            <w:r>
              <w:rPr>
                <w:rFonts w:ascii="宋体" w:hAnsi="宋体"/>
                <w:b/>
                <w:sz w:val="21"/>
                <w:szCs w:val="21"/>
              </w:rPr>
              <w:t>2020年10月29日 下午至2020年10月30日 下午</w:t>
            </w:r>
            <w:bookmarkEnd w:id="16"/>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EC：资质等级范围内的电子与智能化工程专业承包</w:t>
            </w:r>
          </w:p>
          <w:p>
            <w:pPr>
              <w:spacing w:line="320" w:lineRule="exact"/>
              <w:rPr>
                <w:rFonts w:ascii="宋体" w:hAnsi="宋体"/>
                <w:b/>
                <w:color w:val="000000" w:themeColor="text1"/>
                <w:sz w:val="20"/>
                <w:szCs w:val="20"/>
              </w:rPr>
            </w:pPr>
            <w:r>
              <w:rPr>
                <w:rFonts w:ascii="宋体" w:hAnsi="宋体"/>
                <w:b/>
                <w:color w:val="000000" w:themeColor="text1"/>
                <w:sz w:val="20"/>
                <w:szCs w:val="20"/>
              </w:rPr>
              <w:t>E：资质等级范围内的电子与智能化工程专业承包及相关环境管理活动</w:t>
            </w:r>
          </w:p>
          <w:p>
            <w:pPr>
              <w:spacing w:line="360" w:lineRule="exact"/>
              <w:rPr>
                <w:rFonts w:ascii="宋体" w:hAnsi="宋体"/>
                <w:b/>
                <w:sz w:val="21"/>
                <w:szCs w:val="21"/>
              </w:rPr>
            </w:pPr>
            <w:r>
              <w:rPr>
                <w:rFonts w:ascii="宋体" w:hAnsi="宋体"/>
                <w:b/>
                <w:color w:val="000000" w:themeColor="text1"/>
                <w:sz w:val="20"/>
                <w:szCs w:val="20"/>
              </w:rPr>
              <w:t>O：资质等级范围内的电子与智能化工程专业承包及相关职业健康安全管理活动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lang w:val="en-US" w:eastAsia="zh-CN"/>
              </w:rPr>
              <w:t>无</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18" w:name="专业代码"/>
            <w:r>
              <w:rPr>
                <w:rFonts w:ascii="宋体" w:hAnsi="宋体"/>
                <w:b/>
                <w:sz w:val="21"/>
                <w:szCs w:val="21"/>
              </w:rPr>
              <w:t>EC：28.07.01</w:t>
            </w:r>
          </w:p>
          <w:p>
            <w:pPr>
              <w:spacing w:line="260" w:lineRule="exact"/>
              <w:rPr>
                <w:rFonts w:ascii="宋体" w:hAnsi="宋体"/>
                <w:b/>
                <w:sz w:val="21"/>
                <w:szCs w:val="21"/>
              </w:rPr>
            </w:pPr>
            <w:r>
              <w:rPr>
                <w:rFonts w:ascii="宋体" w:hAnsi="宋体"/>
                <w:b/>
                <w:sz w:val="21"/>
                <w:szCs w:val="21"/>
              </w:rPr>
              <w:t>E：28.07.01</w:t>
            </w:r>
          </w:p>
          <w:p>
            <w:pPr>
              <w:spacing w:line="260" w:lineRule="exact"/>
              <w:rPr>
                <w:rFonts w:ascii="宋体" w:hAnsi="宋体"/>
                <w:b/>
                <w:sz w:val="21"/>
                <w:szCs w:val="21"/>
              </w:rPr>
            </w:pPr>
            <w:r>
              <w:rPr>
                <w:rFonts w:ascii="宋体" w:hAnsi="宋体"/>
                <w:b/>
                <w:sz w:val="21"/>
                <w:szCs w:val="21"/>
              </w:rPr>
              <w:t>O：28.07.01</w:t>
            </w:r>
            <w:bookmarkEnd w:id="1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2020年10月23日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ind w:firstLine="211" w:firstLineChars="100"/>
        <w:rPr>
          <w:rFonts w:hint="default" w:ascii="宋体" w:hAnsi="宋体" w:eastAsia="宋体"/>
          <w:b/>
          <w:sz w:val="21"/>
          <w:szCs w:val="21"/>
          <w:lang w:val="en-US" w:eastAsia="zh-CN"/>
        </w:rPr>
      </w:pPr>
      <w:r>
        <w:rPr>
          <w:rFonts w:hint="eastAsia" w:ascii="宋体" w:hAnsi="宋体"/>
          <w:b/>
          <w:sz w:val="21"/>
          <w:szCs w:val="21"/>
          <w:lang w:val="en-US" w:eastAsia="zh-CN"/>
        </w:rPr>
        <w:t>见多场所清单和在建项目清单。</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2020年10月29日下午</w:t>
      </w:r>
      <w:r>
        <w:rPr>
          <w:rFonts w:hint="eastAsia" w:ascii="宋体" w:hAnsi="宋体"/>
          <w:b/>
          <w:sz w:val="21"/>
          <w:szCs w:val="21"/>
        </w:rPr>
        <w:t>至</w:t>
      </w:r>
      <w:r>
        <w:rPr>
          <w:rFonts w:hint="eastAsia" w:ascii="宋体" w:hAnsi="宋体"/>
          <w:b/>
          <w:sz w:val="21"/>
          <w:szCs w:val="21"/>
          <w:lang w:val="en-US" w:eastAsia="zh-CN"/>
        </w:rPr>
        <w:t>2020年10月30日下午</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0" w:firstLineChars="200"/>
              <w:rPr>
                <w:bCs/>
                <w:color w:val="000000" w:themeColor="text1"/>
                <w:sz w:val="20"/>
                <w:szCs w:val="20"/>
              </w:rPr>
            </w:pPr>
            <w:r>
              <w:rPr>
                <w:rFonts w:hint="eastAsia"/>
                <w:bCs/>
                <w:color w:val="000000" w:themeColor="text1"/>
                <w:sz w:val="20"/>
                <w:szCs w:val="20"/>
              </w:rPr>
              <w:t>注册地址：</w:t>
            </w:r>
            <w:r>
              <w:rPr>
                <w:bCs/>
                <w:color w:val="000000" w:themeColor="text1"/>
                <w:sz w:val="20"/>
                <w:szCs w:val="20"/>
              </w:rPr>
              <w:t>江西省南昌市西湖区八一大道135号长运商贸A座二层B25</w:t>
            </w:r>
            <w:r>
              <w:rPr>
                <w:rFonts w:hint="eastAsia"/>
                <w:bCs/>
                <w:color w:val="000000" w:themeColor="text1"/>
                <w:sz w:val="20"/>
                <w:szCs w:val="20"/>
              </w:rPr>
              <w:t>，经营地址：江西省南昌市青山湖区顺外路</w:t>
            </w:r>
            <w:r>
              <w:rPr>
                <w:bCs/>
                <w:color w:val="000000" w:themeColor="text1"/>
                <w:sz w:val="20"/>
                <w:szCs w:val="20"/>
              </w:rPr>
              <w:t>658</w:t>
            </w:r>
            <w:r>
              <w:rPr>
                <w:rFonts w:hint="eastAsia"/>
                <w:bCs/>
                <w:color w:val="000000" w:themeColor="text1"/>
                <w:sz w:val="20"/>
                <w:szCs w:val="20"/>
              </w:rPr>
              <w:t>号湖坊工业园</w:t>
            </w:r>
            <w:r>
              <w:rPr>
                <w:bCs/>
                <w:color w:val="000000" w:themeColor="text1"/>
                <w:sz w:val="20"/>
                <w:szCs w:val="20"/>
              </w:rPr>
              <w:t>B7</w:t>
            </w:r>
            <w:r>
              <w:rPr>
                <w:rFonts w:hint="eastAsia"/>
                <w:bCs/>
                <w:color w:val="000000" w:themeColor="text1"/>
                <w:sz w:val="20"/>
                <w:szCs w:val="20"/>
              </w:rPr>
              <w:t>栋，面积约1389平米。</w:t>
            </w:r>
          </w:p>
          <w:p>
            <w:pPr>
              <w:spacing w:line="240" w:lineRule="exact"/>
              <w:rPr>
                <w:rFonts w:ascii="宋体" w:hAnsi="宋体"/>
                <w:b/>
                <w:sz w:val="21"/>
                <w:szCs w:val="21"/>
              </w:rPr>
            </w:pPr>
            <w:r>
              <w:rPr>
                <w:rFonts w:hint="eastAsia"/>
                <w:bCs/>
                <w:color w:val="000000" w:themeColor="text1"/>
                <w:sz w:val="20"/>
                <w:szCs w:val="20"/>
              </w:rPr>
              <w:t>现场询问总经理，公司确定了与本公司质量、环境、职业健康安全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提供了《组织内外部环境因素分析表》, 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0" w:firstLineChars="200"/>
              <w:rPr>
                <w:bCs/>
                <w:color w:val="000000" w:themeColor="text1"/>
                <w:sz w:val="20"/>
                <w:szCs w:val="20"/>
              </w:rPr>
            </w:pPr>
            <w:r>
              <w:rPr>
                <w:rFonts w:hint="eastAsia"/>
                <w:bCs/>
                <w:color w:val="000000" w:themeColor="text1"/>
                <w:sz w:val="20"/>
                <w:szCs w:val="20"/>
              </w:rPr>
              <w:t>在</w:t>
            </w:r>
            <w:r>
              <w:rPr>
                <w:bCs/>
                <w:color w:val="000000" w:themeColor="text1"/>
                <w:sz w:val="20"/>
                <w:szCs w:val="20"/>
              </w:rPr>
              <w:t>公司运营过程中</w:t>
            </w:r>
            <w:r>
              <w:rPr>
                <w:rFonts w:hint="eastAsia"/>
                <w:bCs/>
                <w:color w:val="000000" w:themeColor="text1"/>
                <w:sz w:val="20"/>
                <w:szCs w:val="20"/>
              </w:rPr>
              <w:t>充分</w:t>
            </w:r>
            <w:r>
              <w:rPr>
                <w:bCs/>
                <w:color w:val="000000" w:themeColor="text1"/>
                <w:sz w:val="20"/>
                <w:szCs w:val="20"/>
              </w:rPr>
              <w:t>考虑</w:t>
            </w:r>
            <w:r>
              <w:rPr>
                <w:rFonts w:hint="eastAsia"/>
                <w:bCs/>
                <w:color w:val="000000" w:themeColor="text1"/>
                <w:sz w:val="20"/>
                <w:szCs w:val="20"/>
              </w:rPr>
              <w:t>相关方方面</w:t>
            </w:r>
            <w:r>
              <w:rPr>
                <w:bCs/>
                <w:color w:val="000000" w:themeColor="text1"/>
                <w:sz w:val="20"/>
                <w:szCs w:val="20"/>
              </w:rPr>
              <w:t>的</w:t>
            </w:r>
            <w:r>
              <w:rPr>
                <w:rFonts w:hint="eastAsia"/>
                <w:bCs/>
                <w:color w:val="000000" w:themeColor="text1"/>
                <w:sz w:val="20"/>
                <w:szCs w:val="20"/>
              </w:rPr>
              <w:t>期望或要求，识别的相关方有：顾客、政府、物流企业、员工等。业务部门和相关职能部门通过日常例会、年会、市场活动、现场拜访、产品展销会、客户调查等多种渠道和方式方法随时了解相关方的需求和期望。做为公司经营</w:t>
            </w:r>
            <w:r>
              <w:rPr>
                <w:bCs/>
                <w:color w:val="000000" w:themeColor="text1"/>
                <w:sz w:val="20"/>
                <w:szCs w:val="20"/>
              </w:rPr>
              <w:t>风险分析和</w:t>
            </w:r>
            <w:r>
              <w:rPr>
                <w:rFonts w:hint="eastAsia"/>
                <w:bCs/>
                <w:color w:val="000000" w:themeColor="text1"/>
                <w:sz w:val="20"/>
                <w:szCs w:val="20"/>
              </w:rPr>
              <w:t>发展</w:t>
            </w:r>
            <w:r>
              <w:rPr>
                <w:bCs/>
                <w:color w:val="000000" w:themeColor="text1"/>
                <w:sz w:val="20"/>
                <w:szCs w:val="20"/>
              </w:rPr>
              <w:t>机遇的可利用资源。</w:t>
            </w:r>
          </w:p>
          <w:p>
            <w:pPr>
              <w:spacing w:line="240" w:lineRule="exact"/>
              <w:rPr>
                <w:rFonts w:ascii="宋体" w:hAnsi="宋体"/>
                <w:b/>
                <w:sz w:val="21"/>
                <w:szCs w:val="21"/>
              </w:rPr>
            </w:pPr>
            <w:r>
              <w:rPr>
                <w:rFonts w:hint="eastAsia"/>
                <w:bCs/>
                <w:color w:val="000000" w:themeColor="text1"/>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firstLine="200" w:firstLineChars="100"/>
              <w:rPr>
                <w:color w:val="000000" w:themeColor="text1"/>
                <w:sz w:val="20"/>
                <w:szCs w:val="20"/>
              </w:rPr>
            </w:pPr>
            <w:r>
              <w:rPr>
                <w:rFonts w:hint="eastAsia"/>
                <w:color w:val="000000" w:themeColor="text1"/>
                <w:sz w:val="20"/>
                <w:szCs w:val="20"/>
              </w:rPr>
              <w:t>公司的管理方针是：</w:t>
            </w:r>
          </w:p>
          <w:p>
            <w:pPr>
              <w:spacing w:line="240" w:lineRule="exact"/>
              <w:ind w:firstLine="400" w:firstLineChars="200"/>
              <w:rPr>
                <w:bCs/>
                <w:color w:val="000000" w:themeColor="text1"/>
                <w:sz w:val="20"/>
                <w:szCs w:val="20"/>
              </w:rPr>
            </w:pPr>
            <w:r>
              <w:rPr>
                <w:rFonts w:hint="eastAsia"/>
                <w:bCs/>
                <w:color w:val="000000" w:themeColor="text1"/>
                <w:sz w:val="20"/>
                <w:szCs w:val="20"/>
              </w:rPr>
              <w:t>科学管理、精心施工，创建优质工程；遵纪守法、注重环保，实现健康安全；以人为本、持续改进，满足顾客要求。公司通过各种宣传方式，将管理方针宣传到本公司各层次，确保方针得到正确的理解和实施。在管理评审会议上，总经理组织对方针的持续适宜性和有效性进行评审，并根据评审结果对其做出必要的调整。当相关方需要公司提供管理方针时，可通过公司内部进行传递获取。</w:t>
            </w:r>
          </w:p>
          <w:p>
            <w:pPr>
              <w:spacing w:line="240" w:lineRule="exact"/>
              <w:ind w:left="228" w:leftChars="95"/>
              <w:rPr>
                <w:rFonts w:ascii="宋体" w:hAnsi="宋体"/>
                <w:b/>
                <w:sz w:val="21"/>
                <w:szCs w:val="21"/>
              </w:rPr>
            </w:pPr>
            <w:r>
              <w:rPr>
                <w:rFonts w:hint="eastAsia"/>
                <w:bCs/>
                <w:color w:val="000000" w:themeColor="text1"/>
                <w:sz w:val="20"/>
                <w:szCs w:val="20"/>
              </w:rPr>
              <w:t>经查，质量、环境、职业健康安全管理方针没有变化。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rPr>
                <w:rFonts w:ascii="宋体" w:hAnsi="宋体"/>
                <w:b/>
                <w:sz w:val="21"/>
                <w:szCs w:val="21"/>
              </w:rPr>
            </w:pPr>
            <w:r>
              <w:rPr>
                <w:rFonts w:hint="eastAsia"/>
                <w:bCs/>
                <w:color w:val="000000" w:themeColor="text1"/>
                <w:sz w:val="20"/>
                <w:szCs w:val="20"/>
              </w:rPr>
              <w:t>与总经理交流，公司成立多年，公司积累了大量优质和长期客户；同时鉴于市场竞争激烈，加上市场大环境的变化，近年造成公司利润有所降低，公司采取做好内功，在内部加强管理的同时，提升企业资质，进一步扩大市场准入权。出示《风险和机遇评估分析表》明确了风险和机遇事件的识别方法/途径、风险和机遇的评估方式，对识别出的风险和机遇制定有效的应对措施；并评价这些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360" w:lineRule="auto"/>
              <w:jc w:val="left"/>
              <w:rPr>
                <w:rFonts w:ascii="宋体" w:hAnsi="宋体" w:cs="宋体"/>
                <w:sz w:val="18"/>
                <w:szCs w:val="18"/>
              </w:rPr>
            </w:pPr>
            <w:r>
              <w:rPr>
                <w:rFonts w:hint="eastAsia" w:ascii="宋体" w:hAnsi="宋体" w:cs="宋体"/>
                <w:sz w:val="18"/>
                <w:szCs w:val="18"/>
              </w:rPr>
              <w:t>商务投标——中标后合同签订——项目现场勘察——系统设计（可行性分析）※——组织会议确定现场实施方案、配置现场实施人员——项目设备及辅助材料采购——现场设备施工安装——设备调试、系统调试※——项目竣工验收——项目移交甲方——配置售后服务人员</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系统设计（可行性分析）和设备调试、系统调试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:无 </w:t>
            </w:r>
          </w:p>
          <w:p>
            <w:pPr>
              <w:tabs>
                <w:tab w:val="left" w:pos="540"/>
              </w:tabs>
              <w:spacing w:line="300" w:lineRule="exact"/>
              <w:ind w:left="201" w:leftChars="0" w:hanging="201" w:hangingChars="100"/>
              <w:rPr>
                <w:rFonts w:ascii="宋体" w:hAnsi="宋体"/>
                <w:b/>
                <w:sz w:val="21"/>
                <w:szCs w:val="21"/>
              </w:rPr>
            </w:pPr>
            <w:r>
              <w:rPr>
                <w:rFonts w:ascii="宋体" w:hAnsi="宋体"/>
                <w:b/>
                <w:color w:val="000000" w:themeColor="text1"/>
                <w:sz w:val="20"/>
                <w:szCs w:val="20"/>
              </w:rPr>
              <w:pict>
                <v:shape id="_x0000_s2054" o:spid="_x0000_s2054"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6. EMS</w:t>
            </w:r>
            <w:r>
              <w:rPr>
                <w:rFonts w:hint="eastAsia" w:ascii="宋体" w:hAnsi="宋体"/>
                <w:b/>
                <w:sz w:val="21"/>
                <w:szCs w:val="21"/>
              </w:rPr>
              <w:t>环境因素</w:t>
            </w:r>
          </w:p>
          <w:p>
            <w:pPr>
              <w:spacing w:line="240" w:lineRule="exact"/>
              <w:rPr>
                <w:rFonts w:ascii="宋体" w:hAnsi="宋体"/>
                <w:b/>
                <w:sz w:val="21"/>
                <w:szCs w:val="21"/>
              </w:rPr>
            </w:pPr>
            <w:r>
              <w:rPr>
                <w:rFonts w:ascii="宋体" w:hAnsi="宋体"/>
                <w:b/>
                <w:sz w:val="21"/>
                <w:szCs w:val="21"/>
              </w:rPr>
              <w:t>7. OHSMS</w:t>
            </w:r>
            <w:r>
              <w:rPr>
                <w:rFonts w:hint="eastAsia" w:ascii="宋体" w:hAnsi="宋体"/>
                <w:b/>
                <w:sz w:val="21"/>
                <w:szCs w:val="21"/>
              </w:rPr>
              <w:t>职业健康安全危险源</w:t>
            </w:r>
          </w:p>
          <w:p>
            <w:pPr>
              <w:spacing w:line="360" w:lineRule="auto"/>
              <w:ind w:firstLine="422" w:firstLineChars="200"/>
              <w:rPr>
                <w:rFonts w:ascii="宋体" w:hAnsi="宋体" w:cs="宋体"/>
                <w:sz w:val="20"/>
                <w:szCs w:val="20"/>
              </w:rPr>
            </w:pPr>
            <w:r>
              <w:rPr>
                <w:rFonts w:hint="eastAsia" w:ascii="宋体" w:hAnsi="宋体"/>
                <w:b/>
                <w:sz w:val="21"/>
                <w:szCs w:val="21"/>
                <w:lang w:val="en-US" w:eastAsia="zh-CN"/>
              </w:rPr>
              <w:t xml:space="preserve"> </w:t>
            </w:r>
            <w:r>
              <w:rPr>
                <w:rFonts w:hint="eastAsia" w:ascii="宋体" w:hAnsi="宋体" w:cs="宋体"/>
                <w:sz w:val="20"/>
                <w:szCs w:val="20"/>
                <w:lang w:val="en-US" w:eastAsia="zh-CN"/>
              </w:rPr>
              <w:t xml:space="preserve"> 见</w:t>
            </w:r>
            <w:r>
              <w:rPr>
                <w:rFonts w:hint="eastAsia" w:ascii="宋体" w:hAnsi="宋体" w:cs="宋体"/>
                <w:sz w:val="20"/>
                <w:szCs w:val="20"/>
              </w:rPr>
              <w:t>《环境因素的识别与评价控制程序》《危险源辩识、风险评价和风险控制策划程序》符合标准要求</w:t>
            </w:r>
            <w:r>
              <w:rPr>
                <w:rFonts w:ascii="宋体" w:hAnsi="宋体" w:cs="宋体"/>
                <w:sz w:val="20"/>
                <w:szCs w:val="20"/>
              </w:rPr>
              <w:t>.</w:t>
            </w:r>
            <w:r>
              <w:rPr>
                <w:rFonts w:hint="eastAsia" w:ascii="宋体" w:hAnsi="宋体" w:cs="宋体"/>
                <w:sz w:val="20"/>
                <w:szCs w:val="20"/>
              </w:rPr>
              <w:t>提供的“环境因素识别评价表”“重要环境因素清单”，</w:t>
            </w:r>
            <w:r>
              <w:rPr>
                <w:rFonts w:hint="eastAsia" w:ascii="宋体" w:hAnsi="宋体" w:cs="宋体"/>
                <w:sz w:val="20"/>
                <w:szCs w:val="20"/>
                <w:lang w:val="en-US" w:eastAsia="zh-CN"/>
              </w:rPr>
              <w:t>见</w:t>
            </w:r>
            <w:r>
              <w:rPr>
                <w:rFonts w:hint="eastAsia" w:ascii="宋体" w:hAnsi="宋体" w:cs="宋体"/>
                <w:sz w:val="20"/>
                <w:szCs w:val="20"/>
              </w:rPr>
              <w:t>《危险源辨识、风险评价和控制措施确定控制程序》，对影响职业健康安全的危险源，评价其风险程度及级别，不可接受风险评价的标准和更新的时机</w:t>
            </w:r>
            <w:r>
              <w:rPr>
                <w:rFonts w:ascii="宋体" w:hAnsi="宋体" w:cs="宋体"/>
                <w:sz w:val="20"/>
                <w:szCs w:val="20"/>
              </w:rPr>
              <w:t>,</w:t>
            </w:r>
            <w:r>
              <w:rPr>
                <w:rFonts w:hint="eastAsia" w:ascii="宋体" w:hAnsi="宋体" w:cs="宋体"/>
                <w:sz w:val="20"/>
                <w:szCs w:val="20"/>
              </w:rPr>
              <w:t>并确定更新不可接受风险因素从而进行有效控制等方面的管理要求进行了规定，查到《重要环境因素清单》已识别重要环境因素包括：粉尘的排放、噪声的排放，明确的控制措施和责任部门，</w:t>
            </w:r>
          </w:p>
          <w:p>
            <w:pPr>
              <w:spacing w:line="360" w:lineRule="auto"/>
              <w:ind w:firstLine="400" w:firstLineChars="200"/>
              <w:rPr>
                <w:rFonts w:ascii="宋体" w:hAnsi="宋体" w:cs="宋体"/>
                <w:sz w:val="20"/>
                <w:szCs w:val="20"/>
              </w:rPr>
            </w:pPr>
            <w:r>
              <w:rPr>
                <w:rFonts w:hint="eastAsia" w:ascii="宋体" w:hAnsi="宋体" w:cs="宋体"/>
                <w:sz w:val="20"/>
                <w:szCs w:val="20"/>
              </w:rPr>
              <w:t>查到《危险源辨识与评价一览表》，提供《不可接受风险清单》有：</w:t>
            </w:r>
            <w:r>
              <w:rPr>
                <w:rFonts w:hint="eastAsia"/>
                <w:sz w:val="20"/>
                <w:szCs w:val="20"/>
              </w:rPr>
              <w:t>机械伤害、触电、火灾</w:t>
            </w:r>
            <w:r>
              <w:rPr>
                <w:rFonts w:hint="eastAsia" w:ascii="宋体" w:hAnsi="宋体" w:cs="宋体"/>
                <w:sz w:val="20"/>
                <w:szCs w:val="20"/>
              </w:rPr>
              <w:t>，并制定有控制措施。以上危险源识别基本全面、无遗漏，评价基本合理。</w:t>
            </w:r>
          </w:p>
          <w:p>
            <w:pPr>
              <w:spacing w:line="240" w:lineRule="exact"/>
              <w:rPr>
                <w:rFonts w:hint="default"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spacing w:line="360" w:lineRule="auto"/>
              <w:rPr>
                <w:rFonts w:hint="eastAsia" w:ascii="宋体" w:hAnsi="宋体" w:cs="宋体"/>
                <w:sz w:val="20"/>
                <w:szCs w:val="20"/>
              </w:rPr>
            </w:pPr>
            <w:r>
              <w:rPr>
                <w:rFonts w:hint="eastAsia" w:ascii="宋体" w:hAnsi="宋体" w:cs="宋体"/>
                <w:sz w:val="20"/>
                <w:szCs w:val="20"/>
              </w:rPr>
              <w:t>获取法律法规项，▇法律法规获取充分，□法律法规获取有遗漏，缺少</w:t>
            </w:r>
          </w:p>
          <w:p>
            <w:pPr>
              <w:spacing w:line="360" w:lineRule="auto"/>
              <w:rPr>
                <w:rFonts w:hint="eastAsia" w:ascii="宋体" w:hAnsi="宋体" w:cs="宋体"/>
                <w:sz w:val="20"/>
                <w:szCs w:val="20"/>
              </w:rPr>
            </w:pPr>
            <w:r>
              <w:rPr>
                <w:rFonts w:hint="eastAsia" w:ascii="宋体" w:hAnsi="宋体" w:cs="宋体"/>
                <w:sz w:val="20"/>
                <w:szCs w:val="20"/>
              </w:rPr>
              <w:t>结合公司的▇产品/服务▇环境因素▇危险源，▇确定 □未确定法律法规要求的具体条款，</w:t>
            </w:r>
          </w:p>
          <w:p>
            <w:pPr>
              <w:spacing w:line="360" w:lineRule="auto"/>
              <w:rPr>
                <w:rFonts w:hint="eastAsia" w:ascii="宋体" w:hAnsi="宋体" w:cs="宋体"/>
                <w:sz w:val="20"/>
                <w:szCs w:val="20"/>
              </w:rPr>
            </w:pPr>
            <w:r>
              <w:rPr>
                <w:rFonts w:hint="eastAsia" w:ascii="宋体" w:hAnsi="宋体" w:cs="宋体"/>
                <w:sz w:val="20"/>
                <w:szCs w:val="20"/>
              </w:rPr>
              <w:t>法律法规的宣传方式：通过培训、开会、发文件等形式将法律法规要求传达给了员工和相关方。</w:t>
            </w:r>
          </w:p>
          <w:p>
            <w:pPr>
              <w:spacing w:line="360" w:lineRule="auto"/>
              <w:rPr>
                <w:rFonts w:ascii="宋体" w:hAnsi="宋体"/>
                <w:b/>
                <w:sz w:val="21"/>
                <w:szCs w:val="21"/>
              </w:rPr>
            </w:pPr>
            <w:r>
              <w:rPr>
                <w:rFonts w:hint="eastAsia" w:ascii="宋体" w:hAnsi="宋体" w:cs="宋体"/>
                <w:sz w:val="20"/>
                <w:szCs w:val="20"/>
              </w:rPr>
              <w:t>法律法规要求及时更新了：是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60" w:lineRule="auto"/>
              <w:rPr>
                <w:rFonts w:hint="eastAsia" w:ascii="宋体" w:hAnsi="宋体" w:cs="宋体"/>
                <w:sz w:val="20"/>
                <w:szCs w:val="20"/>
              </w:rPr>
            </w:pPr>
            <w:r>
              <w:rPr>
                <w:rFonts w:hint="eastAsia" w:ascii="宋体" w:hAnsi="宋体" w:cs="宋体"/>
                <w:sz w:val="20"/>
                <w:szCs w:val="20"/>
              </w:rPr>
              <w:t>目标、方案</w:t>
            </w:r>
          </w:p>
          <w:p>
            <w:pPr>
              <w:spacing w:line="360" w:lineRule="auto"/>
              <w:ind w:firstLine="400" w:firstLineChars="200"/>
              <w:rPr>
                <w:rFonts w:hint="eastAsia" w:ascii="宋体" w:hAnsi="宋体" w:cs="宋体"/>
                <w:sz w:val="20"/>
                <w:szCs w:val="20"/>
              </w:rPr>
            </w:pPr>
            <w:r>
              <w:rPr>
                <w:rFonts w:hint="eastAsia" w:ascii="宋体" w:hAnsi="宋体" w:cs="宋体"/>
                <w:sz w:val="20"/>
                <w:szCs w:val="20"/>
              </w:rPr>
              <w:t>（在相关层次上建立可测量的目标，目标、方案的有效性，对质量目标的实现情况进行评价并叙述测量方法）</w:t>
            </w:r>
          </w:p>
          <w:p>
            <w:pPr>
              <w:spacing w:line="360" w:lineRule="auto"/>
              <w:ind w:firstLine="400" w:firstLineChars="200"/>
              <w:rPr>
                <w:rFonts w:ascii="宋体" w:hAnsi="宋体" w:cs="宋体"/>
                <w:sz w:val="20"/>
                <w:szCs w:val="20"/>
              </w:rPr>
            </w:pPr>
            <w:r>
              <w:rPr>
                <w:rFonts w:hint="eastAsia" w:ascii="宋体" w:hAnsi="宋体" w:cs="宋体"/>
                <w:sz w:val="20"/>
                <w:szCs w:val="20"/>
              </w:rPr>
              <w:t>总经理负责组织制定公司的管理目标，并在公司各部门进行分解，制定时考虑了公司的质量、环境因素、危险源、合规义务及其风险和机遇。</w:t>
            </w:r>
          </w:p>
          <w:tbl>
            <w:tblPr>
              <w:tblStyle w:val="7"/>
              <w:tblW w:w="7118"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018"/>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pPr>
                    <w:tabs>
                      <w:tab w:val="left" w:pos="1815"/>
                      <w:tab w:val="left" w:pos="2820"/>
                    </w:tabs>
                    <w:spacing w:line="360" w:lineRule="auto"/>
                    <w:rPr>
                      <w:color w:val="000000"/>
                      <w:sz w:val="20"/>
                      <w:szCs w:val="20"/>
                    </w:rPr>
                  </w:pPr>
                </w:p>
              </w:tc>
              <w:tc>
                <w:tcPr>
                  <w:tcW w:w="3018" w:type="dxa"/>
                  <w:vAlign w:val="center"/>
                </w:tcPr>
                <w:p>
                  <w:pPr>
                    <w:tabs>
                      <w:tab w:val="left" w:pos="1815"/>
                      <w:tab w:val="left" w:pos="2820"/>
                    </w:tabs>
                    <w:spacing w:line="360" w:lineRule="auto"/>
                    <w:jc w:val="center"/>
                    <w:rPr>
                      <w:color w:val="000000"/>
                      <w:sz w:val="20"/>
                      <w:szCs w:val="20"/>
                    </w:rPr>
                  </w:pPr>
                  <w:r>
                    <w:rPr>
                      <w:rFonts w:hint="eastAsia"/>
                      <w:color w:val="000000"/>
                      <w:sz w:val="20"/>
                      <w:szCs w:val="20"/>
                    </w:rPr>
                    <w:t>目标</w:t>
                  </w:r>
                </w:p>
              </w:tc>
              <w:tc>
                <w:tcPr>
                  <w:tcW w:w="3240" w:type="dxa"/>
                  <w:vAlign w:val="center"/>
                </w:tcPr>
                <w:p>
                  <w:pPr>
                    <w:tabs>
                      <w:tab w:val="left" w:pos="1815"/>
                      <w:tab w:val="left" w:pos="2820"/>
                    </w:tabs>
                    <w:spacing w:line="360" w:lineRule="auto"/>
                    <w:jc w:val="center"/>
                    <w:rPr>
                      <w:color w:val="000000"/>
                      <w:sz w:val="20"/>
                      <w:szCs w:val="20"/>
                    </w:rPr>
                  </w:pPr>
                  <w:r>
                    <w:rPr>
                      <w:rFonts w:hint="eastAsia"/>
                      <w:color w:val="000000"/>
                      <w:sz w:val="20"/>
                      <w:szCs w:val="20"/>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Pr>
                <w:p>
                  <w:pPr>
                    <w:tabs>
                      <w:tab w:val="left" w:pos="1815"/>
                      <w:tab w:val="left" w:pos="2820"/>
                    </w:tabs>
                    <w:spacing w:line="360" w:lineRule="auto"/>
                    <w:rPr>
                      <w:color w:val="000000"/>
                      <w:sz w:val="20"/>
                      <w:szCs w:val="20"/>
                    </w:rPr>
                  </w:pPr>
                  <w:r>
                    <w:rPr>
                      <w:rFonts w:hint="eastAsia"/>
                      <w:color w:val="000000"/>
                      <w:sz w:val="20"/>
                      <w:szCs w:val="20"/>
                    </w:rPr>
                    <w:t>质量</w:t>
                  </w:r>
                </w:p>
              </w:tc>
              <w:tc>
                <w:tcPr>
                  <w:tcW w:w="3018" w:type="dxa"/>
                  <w:vAlign w:val="center"/>
                </w:tcPr>
                <w:p>
                  <w:pPr>
                    <w:tabs>
                      <w:tab w:val="left" w:pos="1815"/>
                      <w:tab w:val="left" w:pos="2820"/>
                    </w:tabs>
                    <w:spacing w:line="360" w:lineRule="auto"/>
                    <w:jc w:val="center"/>
                    <w:rPr>
                      <w:color w:val="000000"/>
                      <w:sz w:val="20"/>
                      <w:szCs w:val="20"/>
                    </w:rPr>
                  </w:pPr>
                  <w:r>
                    <w:rPr>
                      <w:rFonts w:hint="eastAsia"/>
                      <w:color w:val="000000"/>
                      <w:sz w:val="20"/>
                      <w:szCs w:val="20"/>
                    </w:rPr>
                    <w:t>工程一次交验合格率</w:t>
                  </w:r>
                  <w:r>
                    <w:rPr>
                      <w:color w:val="000000"/>
                      <w:sz w:val="20"/>
                      <w:szCs w:val="20"/>
                    </w:rPr>
                    <w:t>100%</w:t>
                  </w:r>
                </w:p>
              </w:tc>
              <w:tc>
                <w:tcPr>
                  <w:tcW w:w="3240" w:type="dxa"/>
                  <w:vAlign w:val="center"/>
                </w:tcPr>
                <w:p>
                  <w:pPr>
                    <w:tabs>
                      <w:tab w:val="left" w:pos="1815"/>
                      <w:tab w:val="left" w:pos="2820"/>
                    </w:tabs>
                    <w:spacing w:line="360" w:lineRule="auto"/>
                    <w:jc w:val="center"/>
                    <w:rPr>
                      <w:color w:val="000000"/>
                      <w:sz w:val="20"/>
                      <w:szCs w:val="20"/>
                    </w:rPr>
                  </w:pPr>
                  <w:r>
                    <w:rPr>
                      <w:rFonts w:hint="eastAsia"/>
                      <w:color w:val="00000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Pr>
                <w:p>
                  <w:pPr>
                    <w:tabs>
                      <w:tab w:val="left" w:pos="1815"/>
                      <w:tab w:val="left" w:pos="2820"/>
                    </w:tabs>
                    <w:spacing w:line="360" w:lineRule="auto"/>
                    <w:rPr>
                      <w:color w:val="000000"/>
                      <w:sz w:val="20"/>
                      <w:szCs w:val="20"/>
                    </w:rPr>
                  </w:pPr>
                </w:p>
              </w:tc>
              <w:tc>
                <w:tcPr>
                  <w:tcW w:w="3018" w:type="dxa"/>
                  <w:vAlign w:val="center"/>
                </w:tcPr>
                <w:p>
                  <w:pPr>
                    <w:tabs>
                      <w:tab w:val="left" w:pos="1815"/>
                      <w:tab w:val="left" w:pos="2820"/>
                    </w:tabs>
                    <w:spacing w:line="360" w:lineRule="auto"/>
                    <w:jc w:val="center"/>
                    <w:rPr>
                      <w:color w:val="000000"/>
                      <w:sz w:val="20"/>
                      <w:szCs w:val="20"/>
                    </w:rPr>
                  </w:pPr>
                  <w:r>
                    <w:rPr>
                      <w:rFonts w:hint="eastAsia"/>
                      <w:color w:val="000000"/>
                      <w:sz w:val="20"/>
                      <w:szCs w:val="20"/>
                    </w:rPr>
                    <w:t>顾客满意率</w:t>
                  </w:r>
                  <w:r>
                    <w:rPr>
                      <w:rFonts w:hint="eastAsia" w:ascii="仿宋_GB2312" w:hAnsi="宋体"/>
                      <w:sz w:val="20"/>
                      <w:szCs w:val="20"/>
                    </w:rPr>
                    <w:t>≥</w:t>
                  </w:r>
                  <w:r>
                    <w:rPr>
                      <w:rFonts w:ascii="仿宋_GB2312" w:hAnsi="宋体"/>
                      <w:sz w:val="20"/>
                      <w:szCs w:val="20"/>
                    </w:rPr>
                    <w:t>95%</w:t>
                  </w:r>
                </w:p>
              </w:tc>
              <w:tc>
                <w:tcPr>
                  <w:tcW w:w="3240" w:type="dxa"/>
                  <w:vAlign w:val="center"/>
                </w:tcPr>
                <w:p>
                  <w:pPr>
                    <w:tabs>
                      <w:tab w:val="left" w:pos="1815"/>
                      <w:tab w:val="left" w:pos="2820"/>
                    </w:tabs>
                    <w:spacing w:line="360" w:lineRule="auto"/>
                    <w:jc w:val="center"/>
                    <w:rPr>
                      <w:color w:val="000000"/>
                      <w:sz w:val="20"/>
                      <w:szCs w:val="20"/>
                    </w:rPr>
                  </w:pPr>
                  <w:r>
                    <w:rPr>
                      <w:rFonts w:hint="eastAsia"/>
                      <w:color w:val="000000"/>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vAlign w:val="center"/>
                </w:tcPr>
                <w:p>
                  <w:pPr>
                    <w:tabs>
                      <w:tab w:val="left" w:pos="1815"/>
                      <w:tab w:val="left" w:pos="2820"/>
                    </w:tabs>
                    <w:spacing w:line="360" w:lineRule="auto"/>
                    <w:jc w:val="center"/>
                    <w:rPr>
                      <w:color w:val="000000"/>
                      <w:sz w:val="20"/>
                      <w:szCs w:val="20"/>
                    </w:rPr>
                  </w:pPr>
                  <w:r>
                    <w:rPr>
                      <w:rFonts w:hint="eastAsia"/>
                      <w:color w:val="000000"/>
                      <w:sz w:val="20"/>
                      <w:szCs w:val="20"/>
                    </w:rPr>
                    <w:t>环境</w:t>
                  </w:r>
                </w:p>
              </w:tc>
              <w:tc>
                <w:tcPr>
                  <w:tcW w:w="3018" w:type="dxa"/>
                  <w:vAlign w:val="center"/>
                </w:tcPr>
                <w:p>
                  <w:pPr>
                    <w:tabs>
                      <w:tab w:val="left" w:pos="1815"/>
                      <w:tab w:val="left" w:pos="2820"/>
                    </w:tabs>
                    <w:spacing w:line="360" w:lineRule="auto"/>
                    <w:jc w:val="left"/>
                    <w:rPr>
                      <w:color w:val="000000"/>
                      <w:sz w:val="20"/>
                      <w:szCs w:val="20"/>
                    </w:rPr>
                  </w:pPr>
                  <w:r>
                    <w:rPr>
                      <w:rFonts w:hint="eastAsia"/>
                      <w:color w:val="000000"/>
                      <w:sz w:val="20"/>
                      <w:szCs w:val="20"/>
                    </w:rPr>
                    <w:t>施工噪声</w:t>
                  </w:r>
                  <w:r>
                    <w:rPr>
                      <w:color w:val="000000"/>
                      <w:sz w:val="20"/>
                      <w:szCs w:val="20"/>
                    </w:rPr>
                    <w:t>:</w:t>
                  </w:r>
                  <w:r>
                    <w:rPr>
                      <w:rFonts w:hint="eastAsia"/>
                      <w:color w:val="000000"/>
                      <w:sz w:val="20"/>
                      <w:szCs w:val="20"/>
                    </w:rPr>
                    <w:t>投诉率为</w:t>
                  </w:r>
                  <w:r>
                    <w:rPr>
                      <w:color w:val="000000"/>
                      <w:sz w:val="20"/>
                      <w:szCs w:val="20"/>
                    </w:rPr>
                    <w:t>0</w:t>
                  </w:r>
                </w:p>
              </w:tc>
              <w:tc>
                <w:tcPr>
                  <w:tcW w:w="3240" w:type="dxa"/>
                </w:tcPr>
                <w:p>
                  <w:pPr>
                    <w:tabs>
                      <w:tab w:val="left" w:pos="1815"/>
                      <w:tab w:val="left" w:pos="2820"/>
                    </w:tabs>
                    <w:spacing w:line="360" w:lineRule="auto"/>
                    <w:ind w:firstLine="800" w:firstLineChars="400"/>
                    <w:rPr>
                      <w:color w:val="000000"/>
                      <w:sz w:val="20"/>
                      <w:szCs w:val="20"/>
                    </w:rPr>
                  </w:pPr>
                  <w:r>
                    <w:rPr>
                      <w:rFonts w:hint="eastAsia"/>
                      <w:color w:val="000000"/>
                      <w:sz w:val="20"/>
                      <w:szCs w:val="20"/>
                    </w:rPr>
                    <w:t>实现全年无投诉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860" w:type="dxa"/>
                  <w:vMerge w:val="continue"/>
                </w:tcPr>
                <w:p>
                  <w:pPr>
                    <w:tabs>
                      <w:tab w:val="left" w:pos="1815"/>
                      <w:tab w:val="left" w:pos="2820"/>
                    </w:tabs>
                    <w:spacing w:line="360" w:lineRule="auto"/>
                    <w:rPr>
                      <w:color w:val="000000"/>
                      <w:sz w:val="20"/>
                      <w:szCs w:val="20"/>
                    </w:rPr>
                  </w:pPr>
                </w:p>
              </w:tc>
              <w:tc>
                <w:tcPr>
                  <w:tcW w:w="3018" w:type="dxa"/>
                  <w:vAlign w:val="center"/>
                </w:tcPr>
                <w:p>
                  <w:pPr>
                    <w:tabs>
                      <w:tab w:val="left" w:pos="1815"/>
                      <w:tab w:val="left" w:pos="2820"/>
                    </w:tabs>
                    <w:spacing w:line="360" w:lineRule="auto"/>
                    <w:jc w:val="left"/>
                    <w:rPr>
                      <w:color w:val="000000"/>
                      <w:sz w:val="20"/>
                      <w:szCs w:val="20"/>
                    </w:rPr>
                  </w:pPr>
                  <w:r>
                    <w:rPr>
                      <w:rFonts w:hint="eastAsia"/>
                      <w:sz w:val="20"/>
                      <w:szCs w:val="20"/>
                    </w:rPr>
                    <w:t>固体废弃物分类处置率</w:t>
                  </w:r>
                  <w:r>
                    <w:rPr>
                      <w:sz w:val="20"/>
                      <w:szCs w:val="20"/>
                    </w:rPr>
                    <w:t>100%</w:t>
                  </w:r>
                </w:p>
              </w:tc>
              <w:tc>
                <w:tcPr>
                  <w:tcW w:w="3240" w:type="dxa"/>
                </w:tcPr>
                <w:p>
                  <w:pPr>
                    <w:tabs>
                      <w:tab w:val="left" w:pos="1815"/>
                      <w:tab w:val="left" w:pos="2820"/>
                    </w:tabs>
                    <w:spacing w:line="360" w:lineRule="auto"/>
                    <w:ind w:firstLine="1200" w:firstLineChars="600"/>
                    <w:rPr>
                      <w:color w:val="000000"/>
                      <w:sz w:val="20"/>
                      <w:szCs w:val="20"/>
                    </w:rPr>
                  </w:pPr>
                  <w:r>
                    <w:rPr>
                      <w:color w:val="00000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restart"/>
                  <w:textDirection w:val="tbRlV"/>
                  <w:vAlign w:val="center"/>
                </w:tcPr>
                <w:p>
                  <w:pPr>
                    <w:tabs>
                      <w:tab w:val="left" w:pos="1815"/>
                      <w:tab w:val="left" w:pos="2820"/>
                    </w:tabs>
                    <w:spacing w:line="360" w:lineRule="auto"/>
                    <w:ind w:left="113" w:right="113"/>
                    <w:jc w:val="center"/>
                    <w:rPr>
                      <w:color w:val="000000"/>
                      <w:sz w:val="20"/>
                      <w:szCs w:val="20"/>
                    </w:rPr>
                  </w:pPr>
                  <w:r>
                    <w:rPr>
                      <w:rFonts w:hint="eastAsia"/>
                      <w:color w:val="000000"/>
                      <w:sz w:val="20"/>
                      <w:szCs w:val="20"/>
                    </w:rPr>
                    <w:t>职业健康安全</w:t>
                  </w:r>
                </w:p>
              </w:tc>
              <w:tc>
                <w:tcPr>
                  <w:tcW w:w="3018" w:type="dxa"/>
                  <w:vAlign w:val="center"/>
                </w:tcPr>
                <w:p>
                  <w:pPr>
                    <w:tabs>
                      <w:tab w:val="left" w:pos="1815"/>
                      <w:tab w:val="left" w:pos="2820"/>
                    </w:tabs>
                    <w:spacing w:line="360" w:lineRule="auto"/>
                    <w:jc w:val="left"/>
                    <w:rPr>
                      <w:color w:val="000000"/>
                      <w:sz w:val="20"/>
                      <w:szCs w:val="20"/>
                    </w:rPr>
                  </w:pPr>
                  <w:r>
                    <w:rPr>
                      <w:rFonts w:hint="eastAsia"/>
                      <w:color w:val="000000"/>
                      <w:sz w:val="20"/>
                      <w:szCs w:val="20"/>
                    </w:rPr>
                    <w:t>火灾、触电事故为零</w:t>
                  </w:r>
                </w:p>
              </w:tc>
              <w:tc>
                <w:tcPr>
                  <w:tcW w:w="3240" w:type="dxa"/>
                </w:tcPr>
                <w:p>
                  <w:pPr>
                    <w:tabs>
                      <w:tab w:val="left" w:pos="1815"/>
                      <w:tab w:val="left" w:pos="2820"/>
                    </w:tabs>
                    <w:spacing w:line="360" w:lineRule="auto"/>
                    <w:ind w:firstLine="1300" w:firstLineChars="650"/>
                    <w:rPr>
                      <w:color w:val="000000"/>
                      <w:sz w:val="20"/>
                      <w:szCs w:val="20"/>
                    </w:rPr>
                  </w:pPr>
                  <w:r>
                    <w:rPr>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0" w:type="dxa"/>
                  <w:vMerge w:val="continue"/>
                </w:tcPr>
                <w:p>
                  <w:pPr>
                    <w:tabs>
                      <w:tab w:val="left" w:pos="1815"/>
                      <w:tab w:val="left" w:pos="2820"/>
                    </w:tabs>
                    <w:spacing w:line="360" w:lineRule="auto"/>
                    <w:rPr>
                      <w:color w:val="000000"/>
                      <w:sz w:val="20"/>
                      <w:szCs w:val="20"/>
                    </w:rPr>
                  </w:pPr>
                </w:p>
              </w:tc>
              <w:tc>
                <w:tcPr>
                  <w:tcW w:w="3018" w:type="dxa"/>
                  <w:vAlign w:val="center"/>
                </w:tcPr>
                <w:p>
                  <w:pPr>
                    <w:tabs>
                      <w:tab w:val="left" w:pos="1815"/>
                      <w:tab w:val="left" w:pos="2820"/>
                    </w:tabs>
                    <w:spacing w:line="360" w:lineRule="auto"/>
                    <w:jc w:val="left"/>
                    <w:rPr>
                      <w:color w:val="000000"/>
                      <w:sz w:val="20"/>
                      <w:szCs w:val="20"/>
                    </w:rPr>
                  </w:pPr>
                  <w:r>
                    <w:rPr>
                      <w:rFonts w:hint="eastAsia"/>
                      <w:color w:val="000000"/>
                      <w:sz w:val="20"/>
                      <w:szCs w:val="20"/>
                    </w:rPr>
                    <w:t>重伤率不超过</w:t>
                  </w:r>
                  <w:r>
                    <w:rPr>
                      <w:color w:val="000000"/>
                      <w:sz w:val="20"/>
                      <w:szCs w:val="20"/>
                    </w:rPr>
                    <w:t>0.6</w:t>
                  </w:r>
                  <w:r>
                    <w:rPr>
                      <w:rFonts w:hint="eastAsia"/>
                      <w:color w:val="000000"/>
                      <w:sz w:val="20"/>
                      <w:szCs w:val="20"/>
                    </w:rPr>
                    <w:t>‰，轻伤人数单位工程控制在</w:t>
                  </w:r>
                  <w:r>
                    <w:rPr>
                      <w:color w:val="000000"/>
                      <w:sz w:val="20"/>
                      <w:szCs w:val="20"/>
                    </w:rPr>
                    <w:t>2</w:t>
                  </w:r>
                  <w:r>
                    <w:rPr>
                      <w:rFonts w:hint="eastAsia"/>
                      <w:color w:val="000000"/>
                      <w:sz w:val="20"/>
                      <w:szCs w:val="20"/>
                    </w:rPr>
                    <w:t>‰以内</w:t>
                  </w:r>
                </w:p>
              </w:tc>
              <w:tc>
                <w:tcPr>
                  <w:tcW w:w="3240" w:type="dxa"/>
                </w:tcPr>
                <w:p>
                  <w:pPr>
                    <w:tabs>
                      <w:tab w:val="left" w:pos="1815"/>
                      <w:tab w:val="left" w:pos="2820"/>
                    </w:tabs>
                    <w:spacing w:line="360" w:lineRule="auto"/>
                    <w:ind w:firstLine="1300" w:firstLineChars="650"/>
                    <w:rPr>
                      <w:color w:val="000000"/>
                      <w:sz w:val="20"/>
                      <w:szCs w:val="20"/>
                    </w:rPr>
                  </w:pPr>
                  <w:r>
                    <w:rPr>
                      <w:color w:val="000000"/>
                      <w:sz w:val="20"/>
                      <w:szCs w:val="20"/>
                    </w:rPr>
                    <w:t>0</w:t>
                  </w:r>
                </w:p>
              </w:tc>
            </w:tr>
          </w:tbl>
          <w:p>
            <w:pPr>
              <w:spacing w:line="360" w:lineRule="auto"/>
              <w:rPr>
                <w:rFonts w:ascii="宋体" w:hAnsi="宋体" w:cs="宋体"/>
                <w:sz w:val="20"/>
                <w:szCs w:val="20"/>
              </w:rPr>
            </w:pPr>
            <w:r>
              <w:rPr>
                <w:rFonts w:hint="eastAsia" w:ascii="宋体" w:hAnsi="宋体" w:cs="宋体"/>
                <w:sz w:val="20"/>
                <w:szCs w:val="20"/>
              </w:rPr>
              <w:t>提供《目标指标和管理方案》《目标指标和管理方案考核表》</w:t>
            </w:r>
          </w:p>
          <w:p>
            <w:pPr>
              <w:spacing w:line="360" w:lineRule="auto"/>
              <w:rPr>
                <w:rFonts w:ascii="宋体" w:hAnsi="宋体"/>
                <w:b/>
                <w:sz w:val="21"/>
                <w:szCs w:val="21"/>
              </w:rPr>
            </w:pPr>
            <w:r>
              <w:rPr>
                <w:rFonts w:hint="eastAsia" w:ascii="宋体" w:hAnsi="宋体" w:cs="宋体"/>
                <w:sz w:val="20"/>
                <w:szCs w:val="20"/>
              </w:rPr>
              <w:t>以上目标指标均已完成，管理方案规定了措施方法、完成时间表、责任人、资金等情况。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ind w:firstLine="400" w:firstLineChars="200"/>
              <w:rPr>
                <w:rFonts w:ascii="宋体" w:hAnsi="宋体" w:cs="宋体"/>
                <w:sz w:val="20"/>
                <w:szCs w:val="20"/>
              </w:rPr>
            </w:pPr>
            <w:r>
              <w:rPr>
                <w:rFonts w:hint="eastAsia" w:ascii="宋体" w:hAnsi="宋体" w:cs="宋体"/>
                <w:sz w:val="20"/>
                <w:szCs w:val="20"/>
              </w:rPr>
              <w:t>受审核方建立的管理体系文件包括：</w:t>
            </w:r>
          </w:p>
          <w:p>
            <w:pPr>
              <w:tabs>
                <w:tab w:val="left" w:pos="312"/>
              </w:tabs>
              <w:rPr>
                <w:rFonts w:ascii="宋体" w:cs="宋体"/>
                <w:sz w:val="20"/>
                <w:szCs w:val="20"/>
              </w:rPr>
            </w:pPr>
            <w:r>
              <w:rPr>
                <w:rFonts w:hint="eastAsia" w:ascii="宋体" w:hAnsi="宋体" w:cs="宋体"/>
                <w:sz w:val="20"/>
                <w:szCs w:val="20"/>
              </w:rPr>
              <w:t>1.管理手册版</w:t>
            </w:r>
            <w:r>
              <w:rPr>
                <w:rFonts w:ascii="宋体" w:hAnsi="宋体" w:cs="宋体"/>
                <w:sz w:val="20"/>
                <w:szCs w:val="20"/>
              </w:rPr>
              <w:t>A</w:t>
            </w:r>
            <w:r>
              <w:rPr>
                <w:rFonts w:hint="eastAsia" w:ascii="宋体" w:hAnsi="宋体" w:cs="宋体"/>
                <w:sz w:val="20"/>
                <w:szCs w:val="20"/>
              </w:rPr>
              <w:t>版，发布时间：</w:t>
            </w:r>
            <w:r>
              <w:rPr>
                <w:rFonts w:ascii="宋体" w:hAnsi="宋体" w:cs="宋体"/>
                <w:sz w:val="20"/>
                <w:szCs w:val="20"/>
              </w:rPr>
              <w:t>201</w:t>
            </w:r>
            <w:r>
              <w:rPr>
                <w:rFonts w:hint="eastAsia" w:ascii="宋体" w:hAnsi="宋体" w:cs="宋体"/>
                <w:sz w:val="20"/>
                <w:szCs w:val="20"/>
              </w:rPr>
              <w:t>9</w:t>
            </w:r>
            <w:r>
              <w:rPr>
                <w:rFonts w:ascii="宋体" w:hAnsi="宋体" w:cs="宋体"/>
                <w:sz w:val="20"/>
                <w:szCs w:val="20"/>
              </w:rPr>
              <w:t>.</w:t>
            </w:r>
            <w:r>
              <w:rPr>
                <w:rFonts w:hint="eastAsia" w:ascii="宋体" w:hAnsi="宋体" w:cs="宋体"/>
                <w:sz w:val="20"/>
                <w:szCs w:val="20"/>
              </w:rPr>
              <w:t>4</w:t>
            </w:r>
            <w:r>
              <w:rPr>
                <w:rFonts w:ascii="宋体" w:hAnsi="宋体" w:cs="宋体"/>
                <w:sz w:val="20"/>
                <w:szCs w:val="20"/>
              </w:rPr>
              <w:t>.</w:t>
            </w:r>
            <w:r>
              <w:rPr>
                <w:rFonts w:hint="eastAsia" w:ascii="宋体" w:hAnsi="宋体" w:cs="宋体"/>
                <w:sz w:val="20"/>
                <w:szCs w:val="20"/>
              </w:rPr>
              <w:t>1</w:t>
            </w:r>
            <w:r>
              <w:rPr>
                <w:rFonts w:ascii="宋体" w:hAnsi="宋体" w:cs="宋体"/>
                <w:sz w:val="20"/>
                <w:szCs w:val="20"/>
              </w:rPr>
              <w:t xml:space="preserve">   </w:t>
            </w:r>
            <w:r>
              <w:rPr>
                <w:rFonts w:hint="eastAsia" w:ascii="宋体" w:hAnsi="宋体" w:cs="宋体"/>
                <w:sz w:val="20"/>
                <w:szCs w:val="20"/>
              </w:rPr>
              <w:t>实施时间：</w:t>
            </w:r>
            <w:r>
              <w:rPr>
                <w:rFonts w:ascii="宋体" w:hAnsi="宋体" w:cs="宋体"/>
                <w:sz w:val="20"/>
                <w:szCs w:val="20"/>
              </w:rPr>
              <w:t>201</w:t>
            </w:r>
            <w:r>
              <w:rPr>
                <w:rFonts w:hint="eastAsia" w:ascii="宋体" w:hAnsi="宋体" w:cs="宋体"/>
                <w:sz w:val="20"/>
                <w:szCs w:val="20"/>
              </w:rPr>
              <w:t>9</w:t>
            </w:r>
            <w:r>
              <w:rPr>
                <w:rFonts w:ascii="宋体" w:hAnsi="宋体" w:cs="宋体"/>
                <w:sz w:val="20"/>
                <w:szCs w:val="20"/>
              </w:rPr>
              <w:t>.</w:t>
            </w:r>
            <w:r>
              <w:rPr>
                <w:rFonts w:hint="eastAsia" w:ascii="宋体" w:hAnsi="宋体" w:cs="宋体"/>
                <w:sz w:val="20"/>
                <w:szCs w:val="20"/>
              </w:rPr>
              <w:t>4</w:t>
            </w:r>
            <w:r>
              <w:rPr>
                <w:rFonts w:ascii="宋体" w:hAnsi="宋体" w:cs="宋体"/>
                <w:sz w:val="20"/>
                <w:szCs w:val="20"/>
              </w:rPr>
              <w:t>.</w:t>
            </w:r>
            <w:r>
              <w:rPr>
                <w:rFonts w:hint="eastAsia" w:ascii="宋体" w:hAnsi="宋体" w:cs="宋体"/>
                <w:sz w:val="20"/>
                <w:szCs w:val="20"/>
              </w:rPr>
              <w:t>1</w:t>
            </w:r>
            <w:r>
              <w:rPr>
                <w:rFonts w:ascii="宋体" w:hAnsi="宋体" w:cs="宋体"/>
                <w:sz w:val="20"/>
                <w:szCs w:val="20"/>
              </w:rPr>
              <w:t xml:space="preserve">  </w:t>
            </w:r>
          </w:p>
          <w:p>
            <w:pPr>
              <w:rPr>
                <w:rFonts w:ascii="宋体" w:cs="宋体"/>
                <w:sz w:val="20"/>
                <w:szCs w:val="20"/>
              </w:rPr>
            </w:pPr>
            <w:r>
              <w:rPr>
                <w:rFonts w:ascii="宋体" w:hAnsi="宋体" w:cs="宋体"/>
                <w:sz w:val="20"/>
                <w:szCs w:val="20"/>
              </w:rPr>
              <w:t>2.</w:t>
            </w:r>
            <w:r>
              <w:rPr>
                <w:rFonts w:hint="eastAsia" w:ascii="宋体" w:hAnsi="宋体" w:cs="宋体"/>
                <w:sz w:val="20"/>
                <w:szCs w:val="20"/>
              </w:rPr>
              <w:t>程序文件，含37个文件，包括标准要求的形成文件的信息。</w:t>
            </w:r>
          </w:p>
          <w:p>
            <w:pPr>
              <w:pStyle w:val="2"/>
              <w:tabs>
                <w:tab w:val="left" w:pos="3300"/>
                <w:tab w:val="left" w:pos="5160"/>
                <w:tab w:val="clear" w:pos="3510"/>
                <w:tab w:val="clear" w:pos="5580"/>
              </w:tabs>
              <w:rPr>
                <w:rFonts w:ascii="宋体" w:hAnsi="宋体" w:cs="宋体"/>
                <w:b w:val="0"/>
                <w:bCs w:val="0"/>
                <w:sz w:val="20"/>
              </w:rPr>
            </w:pPr>
            <w:r>
              <w:rPr>
                <w:rFonts w:ascii="宋体" w:hAnsi="宋体" w:cs="宋体"/>
                <w:b w:val="0"/>
                <w:bCs w:val="0"/>
                <w:sz w:val="20"/>
              </w:rPr>
              <w:t>3.</w:t>
            </w:r>
            <w:r>
              <w:rPr>
                <w:rFonts w:hint="eastAsia" w:ascii="宋体" w:hAnsi="宋体" w:cs="宋体"/>
                <w:b w:val="0"/>
                <w:bCs w:val="0"/>
                <w:sz w:val="20"/>
              </w:rPr>
              <w:t>管理制度，</w:t>
            </w:r>
          </w:p>
          <w:p>
            <w:pPr>
              <w:rPr>
                <w:rFonts w:ascii="宋体" w:hAnsi="宋体" w:cs="宋体"/>
                <w:sz w:val="20"/>
                <w:szCs w:val="20"/>
              </w:rPr>
            </w:pPr>
            <w:r>
              <w:rPr>
                <w:rFonts w:ascii="宋体" w:hAnsi="宋体" w:cs="宋体"/>
                <w:sz w:val="20"/>
                <w:szCs w:val="20"/>
              </w:rPr>
              <w:t>4.</w:t>
            </w:r>
            <w:r>
              <w:rPr>
                <w:rFonts w:hint="eastAsia" w:ascii="宋体" w:hAnsi="宋体" w:cs="宋体"/>
                <w:sz w:val="20"/>
                <w:szCs w:val="20"/>
              </w:rPr>
              <w:t>体系运行所需要的文件和记录</w:t>
            </w:r>
          </w:p>
          <w:p>
            <w:pPr>
              <w:ind w:firstLine="400" w:firstLineChars="200"/>
              <w:rPr>
                <w:rFonts w:ascii="宋体" w:hAnsi="宋体" w:cs="宋体"/>
                <w:sz w:val="20"/>
                <w:szCs w:val="20"/>
              </w:rPr>
            </w:pPr>
            <w:r>
              <w:rPr>
                <w:rFonts w:hint="eastAsia" w:ascii="宋体" w:hAnsi="宋体" w:cs="宋体"/>
                <w:sz w:val="20"/>
                <w:szCs w:val="20"/>
              </w:rPr>
              <w:t>编制了《文件控制程序》《记录控制程序》用于对管理体系文件，符合标准要求。</w:t>
            </w:r>
          </w:p>
          <w:p>
            <w:pPr>
              <w:ind w:firstLine="400" w:firstLineChars="200"/>
              <w:rPr>
                <w:rFonts w:ascii="宋体" w:hAnsi="宋体" w:cs="宋体"/>
                <w:sz w:val="20"/>
                <w:szCs w:val="20"/>
              </w:rPr>
            </w:pPr>
            <w:r>
              <w:rPr>
                <w:rFonts w:hint="eastAsia" w:ascii="宋体" w:hAnsi="宋体" w:cs="宋体"/>
                <w:sz w:val="20"/>
                <w:szCs w:val="20"/>
              </w:rPr>
              <w:t>查办公室管理手册、管理制度等文件均保管良好，为有效版本，有受控标识。</w:t>
            </w:r>
          </w:p>
          <w:p>
            <w:pPr>
              <w:ind w:firstLine="400" w:firstLineChars="200"/>
              <w:rPr>
                <w:rFonts w:ascii="宋体" w:hAnsi="宋体" w:cs="宋体"/>
                <w:sz w:val="20"/>
                <w:szCs w:val="20"/>
              </w:rPr>
            </w:pPr>
            <w:r>
              <w:rPr>
                <w:rFonts w:hint="eastAsia" w:ascii="宋体" w:hAnsi="宋体" w:cs="宋体"/>
                <w:sz w:val="20"/>
                <w:szCs w:val="20"/>
              </w:rPr>
              <w:t>办公室负责收集有关产品的国家标准、行业标准的最新版本，分发到相关部门使用；收回旧标准。</w:t>
            </w:r>
          </w:p>
          <w:p>
            <w:pPr>
              <w:ind w:firstLine="400" w:firstLineChars="200"/>
              <w:rPr>
                <w:rFonts w:ascii="宋体" w:hAnsi="宋体"/>
                <w:b/>
                <w:sz w:val="21"/>
                <w:szCs w:val="21"/>
              </w:rPr>
            </w:pPr>
            <w:r>
              <w:rPr>
                <w:rFonts w:hint="eastAsia" w:ascii="宋体" w:hAnsi="宋体" w:cs="宋体"/>
                <w:sz w:val="20"/>
                <w:szCs w:val="20"/>
              </w:rPr>
              <w:t>查见《适用的法律法规及其他要求清单》，内容包括：序号、文件名称、编号、版本等，收集基本全面，基本符合。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3"/>
              <w:widowControl/>
              <w:ind w:firstLine="400" w:firstLineChars="200"/>
              <w:rPr>
                <w:rFonts w:hAnsi="宋体" w:cs="宋体"/>
                <w:sz w:val="20"/>
              </w:rPr>
            </w:pPr>
            <w:r>
              <w:rPr>
                <w:rFonts w:hint="eastAsia" w:hAnsi="宋体" w:cs="宋体"/>
                <w:sz w:val="20"/>
              </w:rPr>
              <w:t>编制《人力资源管理管理程序》，规定了控制要求。对企业的人力资源的培养和发展等作出规定，专业技术人员、特种作业人员等人力资源作出了规划。</w:t>
            </w:r>
          </w:p>
          <w:p>
            <w:pPr>
              <w:pStyle w:val="3"/>
              <w:widowControl/>
              <w:ind w:firstLine="400" w:firstLineChars="200"/>
              <w:rPr>
                <w:rFonts w:ascii="宋体" w:hAnsi="宋体"/>
                <w:b/>
                <w:sz w:val="21"/>
                <w:szCs w:val="21"/>
              </w:rPr>
            </w:pPr>
            <w:r>
              <w:rPr>
                <w:rFonts w:hint="eastAsia" w:hAnsi="宋体" w:cs="宋体"/>
                <w:sz w:val="20"/>
              </w:rPr>
              <w:t>编制《人力资源管理规划》等三层作业文件，部门又根据自己部门的特点提供《各部门负责人职责和任职要求》及《绩效考核规定》，对员工的绩效进行考核，并与员工的工资相挂钩，查</w:t>
            </w:r>
            <w:r>
              <w:rPr>
                <w:rFonts w:hAnsi="宋体" w:cs="宋体"/>
                <w:sz w:val="20"/>
              </w:rPr>
              <w:t>201</w:t>
            </w:r>
            <w:r>
              <w:rPr>
                <w:rFonts w:hint="eastAsia" w:hAnsi="宋体" w:cs="宋体"/>
                <w:sz w:val="20"/>
              </w:rPr>
              <w:t>8年的考核记录，考核结果基本达成设定的目标值，考核基本与办法保持一致。编制《岗位工作人员任职资格》，对总经理、管代、内审员、工程人员、研发、技术、质量等岗位人员的任职要求从能力、意识、学历、经历、技能等方面作出规定，涉及项目人员的相关专业有通信、机电一体化、自动化、计算机、信息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pStyle w:val="3"/>
              <w:widowControl/>
              <w:rPr>
                <w:rFonts w:hint="eastAsia" w:hAnsi="宋体" w:cs="宋体"/>
                <w:sz w:val="20"/>
              </w:rPr>
            </w:pPr>
            <w:r>
              <w:rPr>
                <w:rFonts w:hint="eastAsia" w:hAnsi="宋体" w:cs="宋体"/>
                <w:sz w:val="20"/>
              </w:rPr>
              <w:t>设备设施（包括信息系统）、</w:t>
            </w:r>
          </w:p>
          <w:p>
            <w:pPr>
              <w:pStyle w:val="3"/>
              <w:widowControl/>
              <w:ind w:firstLine="400" w:firstLineChars="200"/>
              <w:rPr>
                <w:rFonts w:hint="eastAsia" w:hAnsi="宋体" w:cs="宋体"/>
                <w:sz w:val="20"/>
              </w:rPr>
            </w:pPr>
            <w:r>
              <w:rPr>
                <w:rFonts w:hint="eastAsia" w:hAnsi="宋体" w:cs="宋体"/>
                <w:sz w:val="20"/>
              </w:rPr>
              <w:t>螺丝刀、有声卡、电脑、编程及测试软件EASE_Focus_v3.1.1、DSP-1080-v3.1.1.rar、Ka20101006-V0011.rar、CT-9800+T调试软件-P-V1.1.3.rar等，基本满足设计、生产、调试等要求。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pStyle w:val="3"/>
              <w:widowControl/>
              <w:rPr>
                <w:rFonts w:hint="eastAsia" w:hAnsi="宋体" w:cs="宋体"/>
                <w:sz w:val="20"/>
              </w:rPr>
            </w:pPr>
            <w:r>
              <w:rPr>
                <w:rFonts w:hint="eastAsia" w:hAnsi="宋体" w:cs="宋体"/>
                <w:sz w:val="20"/>
              </w:rPr>
              <w:t>过程运行环境</w:t>
            </w:r>
          </w:p>
          <w:p>
            <w:pPr>
              <w:pStyle w:val="3"/>
              <w:widowControl/>
              <w:ind w:firstLine="400" w:firstLineChars="200"/>
              <w:rPr>
                <w:rFonts w:hint="eastAsia" w:hAnsi="宋体" w:cs="宋体"/>
                <w:sz w:val="20"/>
              </w:rPr>
            </w:pPr>
            <w:r>
              <w:rPr>
                <w:rFonts w:hint="eastAsia" w:hAnsi="宋体" w:cs="宋体"/>
                <w:sz w:val="20"/>
              </w:rPr>
              <w:t>工作场所布局合理，温湿度适宜，照明良好，满足办公需求。与主管人员交谈，公司定期举行旅游活动、体检，带薪休假等，已缓解员工的心理压力、过度疲劳等，基本符合要求。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pStyle w:val="3"/>
              <w:widowControl/>
              <w:rPr>
                <w:rFonts w:hint="eastAsia" w:hAnsi="宋体" w:cs="宋体"/>
                <w:sz w:val="20"/>
              </w:rPr>
            </w:pPr>
            <w:r>
              <w:rPr>
                <w:rFonts w:hint="eastAsia" w:hAnsi="宋体" w:cs="宋体"/>
                <w:sz w:val="20"/>
              </w:rPr>
              <w:t>监视和测量资源</w:t>
            </w:r>
          </w:p>
          <w:p>
            <w:pPr>
              <w:pStyle w:val="3"/>
              <w:widowControl/>
              <w:ind w:firstLine="400" w:firstLineChars="200"/>
              <w:rPr>
                <w:rFonts w:hint="eastAsia" w:hAnsi="宋体" w:cs="宋体"/>
                <w:sz w:val="20"/>
              </w:rPr>
            </w:pPr>
            <w:r>
              <w:rPr>
                <w:rFonts w:hint="eastAsia" w:hAnsi="宋体" w:cs="宋体"/>
                <w:sz w:val="20"/>
              </w:rPr>
              <w:t>软件EASE_Focus_v3.1.1、DSP-1080-v3.1.1.rar、Ka20101006-V0011.rar、CT-9800+T调试软件-P-V1.1.3.rar等，基本满足设计、生产、调试等要求。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cs="宋体"/>
                <w:sz w:val="20"/>
                <w:szCs w:val="20"/>
              </w:rPr>
            </w:pPr>
            <w:r>
              <w:rPr>
                <w:rFonts w:hint="eastAsia" w:ascii="宋体" w:hAnsi="宋体" w:cs="宋体"/>
                <w:sz w:val="20"/>
                <w:szCs w:val="20"/>
              </w:rPr>
              <w:t>知识</w:t>
            </w:r>
          </w:p>
          <w:p>
            <w:pPr>
              <w:spacing w:line="240" w:lineRule="exact"/>
              <w:rPr>
                <w:rFonts w:hint="eastAsia" w:ascii="宋体" w:hAnsi="宋体" w:cs="宋体"/>
                <w:sz w:val="20"/>
                <w:szCs w:val="20"/>
              </w:rPr>
            </w:pPr>
            <w:r>
              <w:rPr>
                <w:rFonts w:hint="eastAsia" w:ascii="宋体" w:hAnsi="宋体" w:cs="宋体"/>
                <w:sz w:val="20"/>
                <w:szCs w:val="20"/>
              </w:rPr>
              <w:t>受审核方建立的管理体系文件包括：</w:t>
            </w:r>
          </w:p>
          <w:p>
            <w:pPr>
              <w:spacing w:line="240" w:lineRule="exact"/>
              <w:rPr>
                <w:rFonts w:hint="eastAsia" w:ascii="宋体" w:hAnsi="宋体" w:cs="宋体"/>
                <w:sz w:val="20"/>
                <w:szCs w:val="20"/>
              </w:rPr>
            </w:pPr>
            <w:r>
              <w:rPr>
                <w:rFonts w:hint="eastAsia" w:ascii="宋体" w:hAnsi="宋体" w:cs="宋体"/>
                <w:sz w:val="20"/>
                <w:szCs w:val="20"/>
              </w:rPr>
              <w:t xml:space="preserve">1.管理手册版A版，发布时间：2019.4.1   实施时间：2019.4.1  </w:t>
            </w:r>
          </w:p>
          <w:p>
            <w:pPr>
              <w:spacing w:line="240" w:lineRule="exact"/>
              <w:rPr>
                <w:rFonts w:hint="eastAsia" w:ascii="宋体" w:hAnsi="宋体" w:cs="宋体"/>
                <w:sz w:val="20"/>
                <w:szCs w:val="20"/>
              </w:rPr>
            </w:pPr>
            <w:r>
              <w:rPr>
                <w:rFonts w:hint="eastAsia" w:ascii="宋体" w:hAnsi="宋体" w:cs="宋体"/>
                <w:sz w:val="20"/>
                <w:szCs w:val="20"/>
              </w:rPr>
              <w:t>2.程序文件，含37个文件，包括标准要求的形成文件的信息。</w:t>
            </w:r>
          </w:p>
          <w:p>
            <w:pPr>
              <w:spacing w:line="240" w:lineRule="exact"/>
              <w:rPr>
                <w:rFonts w:hint="eastAsia" w:ascii="宋体" w:hAnsi="宋体" w:cs="宋体"/>
                <w:sz w:val="20"/>
                <w:szCs w:val="20"/>
              </w:rPr>
            </w:pPr>
            <w:r>
              <w:rPr>
                <w:rFonts w:hint="eastAsia" w:ascii="宋体" w:hAnsi="宋体" w:cs="宋体"/>
                <w:sz w:val="20"/>
                <w:szCs w:val="20"/>
              </w:rPr>
              <w:t>3.管理制度，</w:t>
            </w:r>
          </w:p>
          <w:p>
            <w:pPr>
              <w:spacing w:line="240" w:lineRule="exact"/>
              <w:rPr>
                <w:rFonts w:hint="eastAsia" w:ascii="宋体" w:hAnsi="宋体" w:cs="宋体"/>
                <w:sz w:val="20"/>
                <w:szCs w:val="20"/>
              </w:rPr>
            </w:pPr>
            <w:r>
              <w:rPr>
                <w:rFonts w:hint="eastAsia" w:ascii="宋体" w:hAnsi="宋体" w:cs="宋体"/>
                <w:sz w:val="20"/>
                <w:szCs w:val="20"/>
              </w:rPr>
              <w:t>4.体系运行所需要的文件和记录</w:t>
            </w:r>
          </w:p>
          <w:p>
            <w:pPr>
              <w:spacing w:line="240" w:lineRule="exact"/>
              <w:rPr>
                <w:rFonts w:hint="eastAsia" w:ascii="宋体" w:hAnsi="宋体" w:cs="宋体"/>
                <w:sz w:val="20"/>
                <w:szCs w:val="20"/>
              </w:rPr>
            </w:pPr>
            <w:r>
              <w:rPr>
                <w:rFonts w:hint="eastAsia" w:ascii="宋体" w:hAnsi="宋体" w:cs="宋体"/>
                <w:sz w:val="20"/>
                <w:szCs w:val="20"/>
              </w:rPr>
              <w:t>编制了《文件控制程序》《记录控制程序》用于对管理体系文件，符合标准要求。</w:t>
            </w:r>
          </w:p>
          <w:p>
            <w:pPr>
              <w:spacing w:line="240" w:lineRule="exact"/>
              <w:rPr>
                <w:rFonts w:hint="eastAsia" w:ascii="宋体" w:hAnsi="宋体" w:cs="宋体"/>
                <w:sz w:val="20"/>
                <w:szCs w:val="20"/>
              </w:rPr>
            </w:pPr>
            <w:r>
              <w:rPr>
                <w:rFonts w:hint="eastAsia" w:ascii="宋体" w:hAnsi="宋体" w:cs="宋体"/>
                <w:sz w:val="20"/>
                <w:szCs w:val="20"/>
              </w:rPr>
              <w:t>查办公室管理手册、管理制度等文件均保管良好，为有效版本，有受控标识。</w:t>
            </w:r>
          </w:p>
          <w:p>
            <w:pPr>
              <w:spacing w:line="240" w:lineRule="exact"/>
              <w:rPr>
                <w:rFonts w:hint="eastAsia" w:ascii="宋体" w:hAnsi="宋体" w:cs="宋体"/>
                <w:sz w:val="20"/>
                <w:szCs w:val="20"/>
              </w:rPr>
            </w:pPr>
            <w:r>
              <w:rPr>
                <w:rFonts w:hint="eastAsia" w:ascii="宋体" w:hAnsi="宋体" w:cs="宋体"/>
                <w:sz w:val="20"/>
                <w:szCs w:val="20"/>
              </w:rPr>
              <w:t>办公室负责收集有关产品的国家标准、行业标准的最新版本，分发到相关部门使用；收回旧标准。</w:t>
            </w:r>
          </w:p>
          <w:p>
            <w:pPr>
              <w:spacing w:line="240" w:lineRule="exact"/>
              <w:rPr>
                <w:rFonts w:hint="eastAsia" w:ascii="宋体" w:hAnsi="宋体" w:cs="宋体"/>
                <w:sz w:val="20"/>
                <w:szCs w:val="20"/>
              </w:rPr>
            </w:pPr>
            <w:r>
              <w:rPr>
                <w:rFonts w:hint="eastAsia" w:ascii="宋体" w:hAnsi="宋体" w:cs="宋体"/>
                <w:sz w:val="20"/>
                <w:szCs w:val="20"/>
              </w:rPr>
              <w:t>查见《适用的法律法规及其他要求清单》，内容包括：序号、文件名称、编号、版本等，收集基本全面，基本符合。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cs="宋体"/>
                <w:sz w:val="20"/>
                <w:szCs w:val="20"/>
              </w:rPr>
            </w:pPr>
            <w:r>
              <w:rPr>
                <w:rFonts w:hint="eastAsia" w:ascii="宋体" w:hAnsi="宋体" w:cs="宋体"/>
                <w:sz w:val="20"/>
                <w:szCs w:val="20"/>
              </w:rPr>
              <w:t>环保设施：灭火器、标识牌、垃圾箱等，定期维护与保养。</w:t>
            </w:r>
          </w:p>
          <w:p>
            <w:pPr>
              <w:spacing w:line="240" w:lineRule="exact"/>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hint="eastAsia" w:ascii="宋体" w:hAnsi="宋体" w:cs="宋体"/>
                <w:sz w:val="20"/>
                <w:szCs w:val="20"/>
              </w:rPr>
            </w:pPr>
            <w:r>
              <w:rPr>
                <w:rFonts w:hint="eastAsia" w:ascii="宋体" w:hAnsi="宋体" w:cs="宋体"/>
                <w:sz w:val="20"/>
                <w:szCs w:val="20"/>
              </w:rPr>
              <w:t>职业健康安全设施：灭火器、标识牌、垃圾箱等，定期维护与保养。</w:t>
            </w:r>
          </w:p>
          <w:p>
            <w:pPr>
              <w:spacing w:line="240" w:lineRule="exact"/>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hint="eastAsia"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rPr>
                <w:rFonts w:ascii="宋体" w:hAnsi="宋体" w:cs="宋体"/>
                <w:sz w:val="20"/>
                <w:szCs w:val="20"/>
              </w:rPr>
            </w:pPr>
            <w:r>
              <w:rPr>
                <w:rFonts w:hint="eastAsia" w:ascii="宋体" w:hAnsi="宋体" w:cs="宋体"/>
                <w:sz w:val="20"/>
                <w:szCs w:val="20"/>
              </w:rPr>
              <w:t>公司于20</w:t>
            </w:r>
            <w:r>
              <w:rPr>
                <w:rFonts w:hint="eastAsia" w:ascii="宋体" w:hAnsi="宋体" w:cs="宋体"/>
                <w:sz w:val="20"/>
                <w:szCs w:val="20"/>
                <w:lang w:val="en-US" w:eastAsia="zh-CN"/>
              </w:rPr>
              <w:t>20</w:t>
            </w:r>
            <w:r>
              <w:rPr>
                <w:rFonts w:hint="eastAsia" w:ascii="宋体" w:hAnsi="宋体" w:cs="宋体"/>
                <w:sz w:val="20"/>
                <w:szCs w:val="20"/>
              </w:rPr>
              <w:t>年8月</w:t>
            </w:r>
            <w:r>
              <w:rPr>
                <w:rFonts w:hint="eastAsia" w:ascii="宋体" w:hAnsi="宋体" w:cs="宋体"/>
                <w:sz w:val="20"/>
                <w:szCs w:val="20"/>
                <w:lang w:val="en-US" w:eastAsia="zh-CN"/>
              </w:rPr>
              <w:t>5</w:t>
            </w:r>
            <w:r>
              <w:rPr>
                <w:rFonts w:hint="eastAsia" w:ascii="宋体" w:hAnsi="宋体" w:cs="宋体"/>
                <w:sz w:val="20"/>
                <w:szCs w:val="20"/>
              </w:rPr>
              <w:t>日依据：</w:t>
            </w:r>
            <w:r>
              <w:rPr>
                <w:rFonts w:ascii="宋体" w:hAnsi="宋体"/>
                <w:sz w:val="20"/>
                <w:szCs w:val="20"/>
              </w:rPr>
              <w:t xml:space="preserve"> GB/T19001-2016</w:t>
            </w:r>
            <w:r>
              <w:rPr>
                <w:rFonts w:hint="eastAsia" w:ascii="宋体" w:hAnsi="宋体"/>
                <w:sz w:val="20"/>
                <w:szCs w:val="20"/>
              </w:rPr>
              <w:t>、</w:t>
            </w:r>
            <w:r>
              <w:rPr>
                <w:rFonts w:hint="eastAsia" w:ascii="宋体" w:hAnsi="宋体" w:cs="宋体"/>
                <w:sz w:val="20"/>
                <w:szCs w:val="20"/>
              </w:rPr>
              <w:t xml:space="preserve"> GB/T24001-2016、</w:t>
            </w:r>
            <w:r>
              <w:rPr>
                <w:sz w:val="20"/>
                <w:szCs w:val="20"/>
              </w:rPr>
              <w:t xml:space="preserve"> </w:t>
            </w:r>
            <w:r>
              <w:rPr>
                <w:rFonts w:ascii="宋体" w:hAnsi="宋体" w:cs="宋体"/>
                <w:sz w:val="20"/>
                <w:szCs w:val="20"/>
              </w:rPr>
              <w:t>ISO45001:2018</w:t>
            </w:r>
            <w:r>
              <w:rPr>
                <w:rFonts w:hint="eastAsia" w:ascii="宋体" w:hAnsi="宋体" w:cs="宋体"/>
                <w:sz w:val="20"/>
                <w:szCs w:val="20"/>
              </w:rPr>
              <w:t>标准建立并正式实施了一体化的环境和职业健康安全及其职业健康安全管理体系。目前正标准要求平稳运行，至今暂无变更情况发生。</w:t>
            </w:r>
          </w:p>
          <w:p>
            <w:pPr>
              <w:spacing w:line="360" w:lineRule="auto"/>
              <w:rPr>
                <w:rFonts w:ascii="宋体" w:hAnsi="宋体" w:cs="宋体"/>
                <w:sz w:val="20"/>
                <w:szCs w:val="20"/>
              </w:rPr>
            </w:pPr>
            <w:r>
              <w:rPr>
                <w:rFonts w:hint="eastAsia" w:ascii="宋体" w:hAnsi="宋体" w:cs="宋体"/>
                <w:sz w:val="20"/>
                <w:szCs w:val="20"/>
              </w:rPr>
              <w:t>管理评审计划，评审方式：会议评审</w:t>
            </w:r>
          </w:p>
          <w:p>
            <w:pPr>
              <w:spacing w:line="360" w:lineRule="auto"/>
              <w:rPr>
                <w:rFonts w:ascii="宋体" w:hAnsi="宋体" w:cs="宋体"/>
                <w:sz w:val="20"/>
                <w:szCs w:val="20"/>
              </w:rPr>
            </w:pPr>
            <w:r>
              <w:rPr>
                <w:rFonts w:hint="eastAsia" w:ascii="宋体" w:hAnsi="宋体" w:cs="宋体"/>
                <w:sz w:val="20"/>
                <w:szCs w:val="20"/>
              </w:rPr>
              <w:t>参加人员：</w:t>
            </w:r>
            <w:r>
              <w:rPr>
                <w:rFonts w:hint="eastAsia" w:ascii="宋体" w:hAnsi="宋体" w:cs="宋体"/>
                <w:color w:val="000000"/>
                <w:kern w:val="0"/>
                <w:sz w:val="20"/>
                <w:szCs w:val="20"/>
              </w:rPr>
              <w:t>严春英（总经理）、靳勇（管代/工程部）、张仁峰（渠道部经理）、章杨（财务部经理）、张晶欢（行政部经理）</w:t>
            </w:r>
            <w:r>
              <w:rPr>
                <w:rFonts w:hint="eastAsia" w:ascii="宋体" w:hAnsi="宋体" w:cs="宋体"/>
                <w:sz w:val="20"/>
                <w:szCs w:val="20"/>
              </w:rPr>
              <w:t>。计划中明确了评审内容和资料准备要求。</w:t>
            </w:r>
          </w:p>
          <w:p>
            <w:pPr>
              <w:spacing w:line="360" w:lineRule="auto"/>
              <w:rPr>
                <w:rFonts w:ascii="宋体" w:hAnsi="宋体" w:cs="宋体"/>
                <w:sz w:val="20"/>
                <w:szCs w:val="20"/>
              </w:rPr>
            </w:pPr>
            <w:r>
              <w:rPr>
                <w:rFonts w:hint="eastAsia" w:ascii="宋体" w:hAnsi="宋体" w:cs="宋体"/>
                <w:sz w:val="20"/>
                <w:szCs w:val="20"/>
              </w:rPr>
              <w:t>见管理评审输出/评审结论及管理评审改进决议：</w:t>
            </w:r>
          </w:p>
          <w:p>
            <w:pPr>
              <w:spacing w:line="300" w:lineRule="exact"/>
              <w:ind w:left="1"/>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p>
          <w:p>
            <w:pPr>
              <w:ind w:firstLine="200" w:firstLineChars="100"/>
              <w:rPr>
                <w:rFonts w:ascii="宋体" w:hAnsi="宋体" w:cs="宋体"/>
                <w:sz w:val="20"/>
                <w:szCs w:val="20"/>
              </w:rPr>
            </w:pPr>
            <w:r>
              <w:rPr>
                <w:rFonts w:hint="eastAsia" w:ascii="宋体" w:hAnsi="宋体" w:cs="宋体"/>
                <w:sz w:val="20"/>
                <w:szCs w:val="20"/>
              </w:rPr>
              <w:t>策划编制的程序文件《信息交流控制程序》及管理手册的相关章节规定了企业内、外部沟通和员工就职业健康安全事务参与、协商的要求，经查阅和交谈符合标准要求。</w:t>
            </w:r>
          </w:p>
          <w:p>
            <w:pPr>
              <w:ind w:firstLine="400" w:firstLineChars="200"/>
              <w:rPr>
                <w:rFonts w:ascii="宋体" w:hAnsi="宋体" w:cs="宋体"/>
                <w:sz w:val="20"/>
                <w:szCs w:val="20"/>
              </w:rPr>
            </w:pPr>
            <w:r>
              <w:rPr>
                <w:rFonts w:hint="eastAsia" w:ascii="宋体" w:hAnsi="宋体" w:cs="宋体"/>
                <w:sz w:val="20"/>
                <w:szCs w:val="20"/>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渠道部负责顾客要求方面的有关事宜的沟通。</w:t>
            </w:r>
          </w:p>
          <w:p>
            <w:pPr>
              <w:ind w:firstLine="400" w:firstLineChars="200"/>
              <w:rPr>
                <w:rFonts w:ascii="宋体" w:hAnsi="宋体" w:cs="宋体"/>
                <w:sz w:val="20"/>
                <w:szCs w:val="20"/>
              </w:rPr>
            </w:pPr>
            <w:r>
              <w:rPr>
                <w:rFonts w:hint="eastAsia" w:ascii="宋体" w:hAnsi="宋体" w:cs="宋体"/>
                <w:sz w:val="20"/>
                <w:szCs w:val="20"/>
              </w:rPr>
              <w:t>目前各项沟通都较为及时、顺畅、效果较好。</w:t>
            </w:r>
          </w:p>
          <w:p>
            <w:pPr>
              <w:spacing w:line="240" w:lineRule="exact"/>
              <w:rPr>
                <w:rFonts w:ascii="宋体" w:hAnsi="宋体"/>
                <w:b/>
                <w:sz w:val="21"/>
                <w:szCs w:val="21"/>
              </w:rPr>
            </w:pPr>
            <w:r>
              <w:rPr>
                <w:rFonts w:hint="eastAsia" w:ascii="宋体" w:hAnsi="宋体" w:cs="宋体"/>
                <w:sz w:val="20"/>
                <w:szCs w:val="20"/>
              </w:rPr>
              <w:t>经全体员工大会选举，任命公司</w:t>
            </w:r>
            <w:r>
              <w:rPr>
                <w:rFonts w:hint="eastAsia" w:ascii="宋体" w:hAnsi="宋体"/>
                <w:bCs/>
                <w:sz w:val="20"/>
                <w:szCs w:val="20"/>
              </w:rPr>
              <w:t>魏亮亮、帅凯淳</w:t>
            </w:r>
            <w:r>
              <w:rPr>
                <w:rFonts w:hint="eastAsia" w:ascii="宋体" w:hAnsi="宋体" w:cs="宋体"/>
                <w:sz w:val="20"/>
                <w:szCs w:val="20"/>
              </w:rPr>
              <w:t>为公司员工代表。</w:t>
            </w:r>
            <w:r>
              <w:rPr>
                <w:rFonts w:ascii="宋体" w:hAnsi="宋体" w:cs="宋体"/>
                <w:sz w:val="20"/>
                <w:szCs w:val="20"/>
              </w:rPr>
              <w:t xml:space="preserve">  </w:t>
            </w:r>
            <w:r>
              <w:rPr>
                <w:rFonts w:hint="eastAsia" w:ascii="宋体" w:hAnsi="宋体" w:cs="宋体"/>
                <w:sz w:val="20"/>
                <w:szCs w:val="20"/>
              </w:rPr>
              <w:t>分别与</w:t>
            </w:r>
            <w:r>
              <w:rPr>
                <w:rFonts w:hint="eastAsia" w:ascii="宋体" w:hAnsi="宋体"/>
                <w:bCs/>
                <w:sz w:val="20"/>
                <w:szCs w:val="20"/>
              </w:rPr>
              <w:t>魏亮亮、帅凯淳</w:t>
            </w:r>
            <w:r>
              <w:rPr>
                <w:rFonts w:hint="eastAsia" w:ascii="宋体" w:hAnsi="宋体" w:cs="宋体"/>
                <w:sz w:val="20"/>
                <w:szCs w:val="20"/>
              </w:rPr>
              <w:t>交</w:t>
            </w:r>
            <w:r>
              <w:rPr>
                <w:rFonts w:hint="eastAsia" w:ascii="宋体" w:hAnsi="宋体" w:cs="宋体"/>
                <w:sz w:val="20"/>
                <w:szCs w:val="20"/>
                <w:lang w:val="en-GB"/>
              </w:rPr>
              <w:t>谈，</w:t>
            </w:r>
            <w:r>
              <w:rPr>
                <w:rFonts w:hint="eastAsia" w:ascii="宋体" w:hAnsi="宋体" w:cs="宋体"/>
                <w:sz w:val="20"/>
                <w:szCs w:val="20"/>
              </w:rPr>
              <w:t>他们均其清楚自己的职责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00" w:firstLineChars="200"/>
              <w:jc w:val="left"/>
              <w:rPr>
                <w:rFonts w:ascii="宋体" w:hAnsi="宋体" w:cs="宋体"/>
                <w:sz w:val="20"/>
                <w:szCs w:val="20"/>
              </w:rPr>
            </w:pPr>
            <w:r>
              <w:rPr>
                <w:rFonts w:hint="eastAsia" w:ascii="宋体" w:hAnsi="宋体" w:cs="宋体"/>
                <w:sz w:val="20"/>
                <w:szCs w:val="20"/>
              </w:rPr>
              <w:t>关键过程为：系统设计（可行性分析）和设备调试、系统调试</w:t>
            </w:r>
          </w:p>
          <w:p>
            <w:pPr>
              <w:spacing w:line="360" w:lineRule="auto"/>
              <w:ind w:firstLine="400" w:firstLineChars="200"/>
              <w:jc w:val="left"/>
              <w:rPr>
                <w:rFonts w:ascii="宋体" w:hAnsi="宋体"/>
                <w:b/>
                <w:sz w:val="21"/>
                <w:szCs w:val="21"/>
              </w:rPr>
            </w:pPr>
            <w:r>
              <w:rPr>
                <w:rFonts w:hint="eastAsia" w:ascii="宋体" w:hAnsi="宋体" w:cs="宋体"/>
                <w:sz w:val="20"/>
                <w:szCs w:val="20"/>
              </w:rPr>
              <w:t>查项目的合同、设计开发立项、图纸、原理图、源程序、分部分项测试记录、回归测试、客户现场验收资料等基本满足要求，具体见工程部设计与产品实现审核条款。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主要执行标准：</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《建筑智能化系统设计技术规范》 DBJ01-615-2003</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《建筑及建筑群综合布线系统工程设计规范》 CECS72-95 </w:t>
            </w:r>
          </w:p>
          <w:p>
            <w:pP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《会议系统电视及音频的性能要求》GB/T15381-94等等</w:t>
            </w:r>
          </w:p>
          <w:p>
            <w:pPr>
              <w:rPr>
                <w:sz w:val="20"/>
                <w:szCs w:val="20"/>
              </w:rPr>
            </w:pPr>
            <w:r>
              <w:rPr>
                <w:rFonts w:hint="eastAsia" w:asciiTheme="minorEastAsia" w:hAnsiTheme="minorEastAsia" w:eastAsiaTheme="minorEastAsia" w:cstheme="minorEastAsia"/>
                <w:sz w:val="20"/>
                <w:szCs w:val="20"/>
              </w:rPr>
              <w:t>依据验收交付规范、合同、相关标准、用户要求等进行接收</w:t>
            </w:r>
          </w:p>
          <w:p>
            <w:pPr>
              <w:rPr>
                <w:rFonts w:ascii="宋体" w:hAnsi="宋体"/>
                <w:b/>
                <w:sz w:val="21"/>
                <w:szCs w:val="21"/>
              </w:rPr>
            </w:pPr>
            <w:r>
              <w:rPr>
                <w:rFonts w:hint="eastAsia"/>
                <w:sz w:val="20"/>
                <w:szCs w:val="20"/>
              </w:rPr>
              <w:t>抽查该项目进货验收，</w:t>
            </w:r>
            <w:r>
              <w:rPr>
                <w:rFonts w:hint="eastAsia" w:asciiTheme="minorEastAsia" w:hAnsiTheme="minorEastAsia" w:eastAsiaTheme="minorEastAsia" w:cstheme="minorEastAsia"/>
                <w:sz w:val="20"/>
                <w:szCs w:val="20"/>
              </w:rPr>
              <w:t>未发现不合格品。见分部工程：设备图纸报验表，本公司项目负责人袁智勇，报验日期2018年5月1日，验收监理楼建祥验收通过。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sym w:font="Wingdings 2" w:char="0052"/>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00" w:lineRule="exact"/>
              <w:ind w:firstLine="420" w:firstLineChars="200"/>
              <w:jc w:val="left"/>
              <w:rPr>
                <w:rFonts w:hint="eastAsia" w:ascii="宋体" w:hAnsi="宋体" w:eastAsia="宋体"/>
                <w:b/>
                <w:sz w:val="21"/>
                <w:szCs w:val="21"/>
                <w:lang w:eastAsia="zh-CN"/>
              </w:rPr>
            </w:pPr>
            <w:r>
              <w:rPr>
                <w:rFonts w:hint="eastAsia" w:ascii="宋体" w:hAnsi="宋体"/>
                <w:b w:val="0"/>
                <w:bCs/>
                <w:sz w:val="21"/>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360" w:lineRule="auto"/>
              <w:rPr>
                <w:rFonts w:ascii="宋体" w:hAnsi="宋体" w:cs="宋体"/>
                <w:sz w:val="20"/>
                <w:szCs w:val="20"/>
              </w:rPr>
            </w:pPr>
            <w:r>
              <w:rPr>
                <w:rFonts w:hint="eastAsia" w:ascii="宋体" w:hAnsi="宋体" w:cs="宋体"/>
                <w:sz w:val="20"/>
                <w:szCs w:val="20"/>
              </w:rPr>
              <w:t>与工程部人员沟通，设计、调试过程中未发生不合格情况，经了解，亦未发生让步接收的情况，也无发生交付后或使用后才发现的产品不合格情况。</w:t>
            </w:r>
          </w:p>
          <w:p>
            <w:pPr>
              <w:spacing w:line="360" w:lineRule="auto"/>
              <w:ind w:firstLine="400" w:firstLineChars="200"/>
              <w:rPr>
                <w:rFonts w:ascii="宋体" w:hAnsi="宋体"/>
                <w:b/>
                <w:sz w:val="21"/>
                <w:szCs w:val="21"/>
              </w:rPr>
            </w:pPr>
            <w:r>
              <w:rPr>
                <w:rFonts w:hint="eastAsia" w:ascii="宋体" w:hAnsi="宋体" w:cs="宋体"/>
                <w:sz w:val="20"/>
                <w:szCs w:val="20"/>
              </w:rPr>
              <w:t>若发生，执行公司制定的《</w:t>
            </w:r>
            <w:r>
              <w:rPr>
                <w:rFonts w:hint="eastAsia"/>
                <w:color w:val="000000"/>
                <w:sz w:val="20"/>
                <w:szCs w:val="20"/>
              </w:rPr>
              <w:t>不符合控制程序</w:t>
            </w:r>
            <w:r>
              <w:rPr>
                <w:rFonts w:hint="eastAsia" w:ascii="宋体" w:hAnsi="宋体" w:cs="宋体"/>
                <w:sz w:val="20"/>
                <w:szCs w:val="20"/>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widowControl/>
              <w:spacing w:line="360" w:lineRule="auto"/>
              <w:ind w:firstLine="400" w:firstLineChars="200"/>
              <w:jc w:val="left"/>
              <w:rPr>
                <w:rFonts w:ascii="宋体" w:hAnsi="宋体" w:cs="宋体"/>
                <w:kern w:val="0"/>
                <w:sz w:val="20"/>
                <w:szCs w:val="20"/>
              </w:rPr>
            </w:pPr>
            <w:r>
              <w:rPr>
                <w:rFonts w:hint="eastAsia" w:ascii="宋体" w:hAnsi="宋体" w:cs="宋体"/>
                <w:sz w:val="20"/>
                <w:szCs w:val="20"/>
              </w:rPr>
              <w:t>编制了《环境因素的识别与评价控制程序》《危险源辩识、风险评价和风险控制策划程序》符合标准要求</w:t>
            </w:r>
            <w:r>
              <w:rPr>
                <w:rFonts w:ascii="宋体" w:hAnsi="宋体" w:cs="宋体"/>
                <w:sz w:val="20"/>
                <w:szCs w:val="20"/>
              </w:rPr>
              <w:t>.</w:t>
            </w:r>
            <w:r>
              <w:rPr>
                <w:rFonts w:hint="eastAsia" w:ascii="宋体" w:hAnsi="宋体" w:cs="宋体"/>
                <w:sz w:val="20"/>
                <w:szCs w:val="20"/>
              </w:rPr>
              <w:t>提供的“环境因素识别评价表”“重要环境因素清单”，</w:t>
            </w:r>
          </w:p>
          <w:p>
            <w:pPr>
              <w:spacing w:line="360" w:lineRule="auto"/>
              <w:ind w:firstLine="400" w:firstLineChars="200"/>
              <w:rPr>
                <w:rFonts w:ascii="宋体" w:hAnsi="宋体" w:cs="宋体"/>
                <w:sz w:val="20"/>
                <w:szCs w:val="20"/>
              </w:rPr>
            </w:pPr>
            <w:r>
              <w:rPr>
                <w:rFonts w:hint="eastAsia" w:ascii="宋体" w:hAnsi="宋体" w:cs="宋体"/>
                <w:sz w:val="20"/>
                <w:szCs w:val="20"/>
              </w:rPr>
              <w:t>对重要环境因素的控制措施包括制定管理制度、监督检查、应急预案、培训等。提供《重要环境因素识别清单》，其中涉及的重要环境因素：噪声排放、潜在火灾、能源消耗的排放3项，评价基本合理。</w:t>
            </w:r>
          </w:p>
          <w:p>
            <w:pPr>
              <w:spacing w:line="360" w:lineRule="auto"/>
              <w:ind w:firstLine="400" w:firstLineChars="200"/>
              <w:rPr>
                <w:rFonts w:ascii="宋体" w:hAnsi="宋体"/>
                <w:b/>
                <w:sz w:val="21"/>
                <w:szCs w:val="21"/>
              </w:rPr>
            </w:pPr>
            <w:r>
              <w:rPr>
                <w:rFonts w:hint="eastAsia" w:asciiTheme="minorEastAsia" w:hAnsiTheme="minorEastAsia" w:eastAsiaTheme="minorEastAsia" w:cstheme="minorEastAsia"/>
                <w:bCs/>
                <w:sz w:val="20"/>
                <w:szCs w:val="20"/>
              </w:rPr>
              <w:t>参加环境</w:t>
            </w:r>
            <w:r>
              <w:rPr>
                <w:rFonts w:hint="eastAsia" w:ascii="宋体" w:hAnsi="宋体" w:cs="宋体"/>
                <w:sz w:val="20"/>
                <w:szCs w:val="20"/>
              </w:rPr>
              <w:t>因素辨识和评价人员：编制行政部， 审核靳勇 ，批准严春英，时间2019年7月12日。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p>
            <w:pPr>
              <w:spacing w:line="360" w:lineRule="auto"/>
              <w:ind w:firstLine="400" w:firstLineChars="200"/>
              <w:rPr>
                <w:rFonts w:ascii="宋体" w:hAnsi="宋体" w:cs="宋体"/>
                <w:sz w:val="20"/>
                <w:szCs w:val="20"/>
              </w:rPr>
            </w:pPr>
            <w:r>
              <w:rPr>
                <w:rFonts w:hint="eastAsia" w:ascii="宋体" w:hAnsi="宋体" w:cs="宋体"/>
                <w:sz w:val="20"/>
                <w:szCs w:val="20"/>
              </w:rPr>
              <w:t>查到《危险源辨识与评价一览表》</w:t>
            </w:r>
            <w:r>
              <w:rPr>
                <w:rFonts w:hint="eastAsia" w:ascii="宋体" w:hAnsi="宋体" w:cs="宋体"/>
                <w:sz w:val="20"/>
                <w:szCs w:val="20"/>
                <w:lang w:val="en-US" w:eastAsia="zh-CN"/>
              </w:rPr>
              <w:t>和</w:t>
            </w:r>
            <w:r>
              <w:rPr>
                <w:rFonts w:hint="eastAsia" w:ascii="宋体" w:hAnsi="宋体" w:cs="宋体"/>
                <w:sz w:val="20"/>
                <w:szCs w:val="20"/>
              </w:rPr>
              <w:t>《不可接受风险清单》有：</w:t>
            </w:r>
            <w:r>
              <w:rPr>
                <w:rFonts w:hint="eastAsia"/>
                <w:sz w:val="20"/>
                <w:szCs w:val="20"/>
              </w:rPr>
              <w:t>机械伤害、触电、火灾</w:t>
            </w:r>
            <w:r>
              <w:rPr>
                <w:rFonts w:hint="eastAsia" w:ascii="宋体" w:hAnsi="宋体" w:cs="宋体"/>
                <w:sz w:val="20"/>
                <w:szCs w:val="20"/>
              </w:rPr>
              <w:t>，并制定有控制措施。以上危险源识别基本全面、无遗漏，评价基本合理。</w:t>
            </w:r>
          </w:p>
          <w:p>
            <w:pPr>
              <w:spacing w:line="240" w:lineRule="exact"/>
              <w:rPr>
                <w:rFonts w:ascii="宋体" w:hAnsi="宋体"/>
                <w:b/>
                <w:sz w:val="21"/>
                <w:szCs w:val="21"/>
              </w:rPr>
            </w:pPr>
            <w:r>
              <w:rPr>
                <w:rFonts w:hint="eastAsia" w:asciiTheme="minorEastAsia" w:hAnsiTheme="minorEastAsia" w:eastAsiaTheme="minorEastAsia" w:cstheme="minorEastAsia"/>
                <w:bCs/>
                <w:sz w:val="20"/>
                <w:szCs w:val="20"/>
              </w:rPr>
              <w:t>参加</w:t>
            </w:r>
            <w:r>
              <w:rPr>
                <w:rFonts w:hint="eastAsia" w:ascii="宋体" w:hAnsi="宋体" w:cs="宋体"/>
                <w:sz w:val="20"/>
                <w:szCs w:val="20"/>
              </w:rPr>
              <w:t>评价人员：编制行政部， 审核靳勇 ，批准严春英，时间2019年7月12日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200" w:firstLineChars="100"/>
              <w:rPr>
                <w:rFonts w:ascii="Verdana" w:hAnsi="Verdana" w:cs="Arial"/>
                <w:sz w:val="20"/>
                <w:szCs w:val="20"/>
              </w:rPr>
            </w:pPr>
            <w:r>
              <w:rPr>
                <w:rFonts w:hint="eastAsia" w:ascii="宋体" w:hAnsi="宋体" w:cs="宋体"/>
                <w:sz w:val="20"/>
                <w:szCs w:val="20"/>
                <w:lang w:val="en-GB"/>
              </w:rPr>
              <w:t>制定了“应急准备和响应控制程序”，包含有事件级别及不同级别事件的处理程序、事件处理组织机构及</w:t>
            </w:r>
            <w:r>
              <w:rPr>
                <w:rFonts w:hint="eastAsia" w:ascii="Verdana" w:hAnsi="Verdana" w:cs="Arial"/>
                <w:sz w:val="20"/>
                <w:szCs w:val="20"/>
              </w:rPr>
              <w:t>职责分工、通用及特殊处理程序、各岗位要求等。具有可操作性。</w:t>
            </w:r>
          </w:p>
          <w:p>
            <w:pPr>
              <w:spacing w:line="360" w:lineRule="auto"/>
              <w:ind w:firstLine="200" w:firstLineChars="100"/>
              <w:rPr>
                <w:rFonts w:ascii="方正仿宋简体" w:eastAsia="方正仿宋简体"/>
                <w:sz w:val="20"/>
                <w:szCs w:val="20"/>
              </w:rPr>
            </w:pPr>
            <w:r>
              <w:rPr>
                <w:rFonts w:hint="eastAsia" w:ascii="Verdana" w:hAnsi="Verdana" w:cs="Arial"/>
                <w:sz w:val="20"/>
                <w:szCs w:val="20"/>
              </w:rPr>
              <w:t>现场观察：</w:t>
            </w:r>
            <w:r>
              <w:rPr>
                <w:rFonts w:hint="eastAsia" w:ascii="方正仿宋简体" w:eastAsia="方正仿宋简体"/>
                <w:sz w:val="20"/>
                <w:szCs w:val="20"/>
              </w:rPr>
              <w:t>工程部现场有灭火器、消防栓等消防器材。</w:t>
            </w:r>
          </w:p>
          <w:p>
            <w:pPr>
              <w:spacing w:line="360" w:lineRule="auto"/>
              <w:ind w:firstLine="200" w:firstLineChars="100"/>
              <w:rPr>
                <w:rFonts w:ascii="方正仿宋简体" w:eastAsia="方正仿宋简体"/>
                <w:sz w:val="20"/>
                <w:szCs w:val="20"/>
              </w:rPr>
            </w:pPr>
            <w:r>
              <w:rPr>
                <w:rFonts w:hint="eastAsia" w:ascii="方正仿宋简体" w:eastAsia="方正仿宋简体"/>
                <w:sz w:val="20"/>
                <w:szCs w:val="20"/>
              </w:rPr>
              <w:t>查到《应急演练方案》文件编号  JXSD-ZY-ZA-20 、 编 制 行政部 、审 核靳勇 、批准严春英，文件基本符合要求；见应急求援小组名单：指挥长靳勇、副指挥长严春英、各部门成员等，</w:t>
            </w:r>
          </w:p>
          <w:p>
            <w:pPr>
              <w:spacing w:line="360" w:lineRule="auto"/>
              <w:ind w:firstLine="200" w:firstLineChars="100"/>
              <w:rPr>
                <w:rFonts w:asciiTheme="minorEastAsia" w:hAnsiTheme="minorEastAsia" w:eastAsiaTheme="minorEastAsia" w:cstheme="minorEastAsia"/>
                <w:sz w:val="20"/>
                <w:szCs w:val="20"/>
              </w:rPr>
            </w:pPr>
            <w:r>
              <w:rPr>
                <w:rFonts w:hint="eastAsia" w:ascii="方正仿宋简体" w:eastAsia="方正仿宋简体"/>
                <w:sz w:val="20"/>
                <w:szCs w:val="20"/>
              </w:rPr>
              <w:t xml:space="preserve">  抽</w:t>
            </w:r>
            <w:r>
              <w:rPr>
                <w:rFonts w:hint="eastAsia" w:asciiTheme="minorEastAsia" w:hAnsiTheme="minorEastAsia" w:eastAsiaTheme="minorEastAsia" w:cstheme="minorEastAsia"/>
                <w:sz w:val="20"/>
                <w:szCs w:val="20"/>
              </w:rPr>
              <w:t>查《应急准备与响应演练记录》</w:t>
            </w:r>
            <w:r>
              <w:rPr>
                <w:rFonts w:hint="eastAsia" w:ascii="方正仿宋简体" w:eastAsia="方正仿宋简体"/>
                <w:sz w:val="20"/>
                <w:szCs w:val="20"/>
              </w:rPr>
              <w:t>演练取得了预期效果。</w:t>
            </w:r>
          </w:p>
          <w:p>
            <w:pPr>
              <w:spacing w:line="360" w:lineRule="auto"/>
              <w:ind w:firstLine="400" w:firstLineChars="200"/>
              <w:rPr>
                <w:rFonts w:ascii="方正仿宋简体" w:eastAsia="方正仿宋简体"/>
                <w:sz w:val="20"/>
                <w:szCs w:val="20"/>
              </w:rPr>
            </w:pPr>
            <w:r>
              <w:rPr>
                <w:rFonts w:hint="eastAsia" w:ascii="方正仿宋简体" w:eastAsia="方正仿宋简体"/>
                <w:sz w:val="20"/>
                <w:szCs w:val="20"/>
              </w:rPr>
              <w:t>另见《应急准备与响应评审报告》，从以下五方面进行评审： 组织结构、报警和接警处置程序、应急疏散的组织程序和措施、扑救初起火灾的程序和措施和通讯联络、安全防护救护的程序和措施。</w:t>
            </w:r>
          </w:p>
          <w:p>
            <w:pPr>
              <w:spacing w:line="240" w:lineRule="exact"/>
              <w:rPr>
                <w:rFonts w:ascii="宋体" w:hAnsi="宋体"/>
                <w:b/>
                <w:sz w:val="21"/>
                <w:szCs w:val="21"/>
              </w:rPr>
            </w:pPr>
            <w:r>
              <w:rPr>
                <w:rFonts w:hint="eastAsia" w:ascii="方正仿宋简体" w:eastAsia="方正仿宋简体"/>
                <w:sz w:val="20"/>
                <w:szCs w:val="20"/>
              </w:rPr>
              <w:t>参加评审人员：</w:t>
            </w:r>
            <w:r>
              <w:rPr>
                <w:rFonts w:hint="eastAsia"/>
                <w:sz w:val="20"/>
                <w:szCs w:val="20"/>
              </w:rPr>
              <w:t>靳勇 、张晶欢 、章杨、张仁峰</w:t>
            </w:r>
            <w:r>
              <w:rPr>
                <w:rFonts w:hint="eastAsia"/>
                <w:b/>
                <w:sz w:val="20"/>
                <w:szCs w:val="20"/>
              </w:rPr>
              <w:t>，</w:t>
            </w:r>
            <w:r>
              <w:rPr>
                <w:rFonts w:hint="eastAsia" w:ascii="方正仿宋简体" w:eastAsia="方正仿宋简体"/>
                <w:sz w:val="20"/>
                <w:szCs w:val="20"/>
              </w:rPr>
              <w:t>记录人：</w:t>
            </w:r>
            <w:r>
              <w:rPr>
                <w:rFonts w:hint="eastAsia"/>
                <w:sz w:val="20"/>
                <w:szCs w:val="20"/>
              </w:rPr>
              <w:t xml:space="preserve">张晶欢 </w:t>
            </w:r>
            <w:r>
              <w:rPr>
                <w:rFonts w:hint="eastAsia" w:ascii="方正仿宋简体" w:eastAsia="方正仿宋简体"/>
                <w:sz w:val="20"/>
                <w:szCs w:val="20"/>
              </w:rPr>
              <w:t xml:space="preserve">   20</w:t>
            </w:r>
            <w:r>
              <w:rPr>
                <w:rFonts w:hint="eastAsia" w:ascii="方正仿宋简体" w:eastAsia="方正仿宋简体"/>
                <w:sz w:val="20"/>
                <w:szCs w:val="20"/>
                <w:lang w:val="en-US" w:eastAsia="zh-CN"/>
              </w:rPr>
              <w:t>20</w:t>
            </w:r>
            <w:r>
              <w:rPr>
                <w:rFonts w:hint="eastAsia" w:ascii="方正仿宋简体" w:eastAsia="方正仿宋简体"/>
                <w:sz w:val="20"/>
                <w:szCs w:val="20"/>
              </w:rPr>
              <w:t xml:space="preserve">年6月 </w:t>
            </w:r>
            <w:r>
              <w:rPr>
                <w:rFonts w:hint="eastAsia" w:ascii="方正仿宋简体" w:eastAsia="方正仿宋简体"/>
                <w:sz w:val="20"/>
                <w:szCs w:val="20"/>
                <w:lang w:val="en-US" w:eastAsia="zh-CN"/>
              </w:rPr>
              <w:t>20</w:t>
            </w:r>
            <w:r>
              <w:rPr>
                <w:rFonts w:hint="eastAsia" w:ascii="方正仿宋简体" w:eastAsia="方正仿宋简体"/>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10. 对特种设备的维护，检定; 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hAnsi="宋体"/>
                <w:b/>
                <w:sz w:val="21"/>
                <w:szCs w:val="21"/>
              </w:rPr>
            </w:pPr>
            <w:r>
              <w:rPr>
                <w:rFonts w:hint="eastAsia"/>
                <w:b/>
                <w:color w:val="000000" w:themeColor="text1"/>
                <w:sz w:val="20"/>
                <w:szCs w:val="20"/>
              </w:rPr>
              <w:t>11 .对危险化学品销售、使用、储存、运输处置，规定的执行力度(必要时);无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ind w:firstLine="200" w:firstLineChars="100"/>
              <w:jc w:val="left"/>
              <w:rPr>
                <w:rFonts w:ascii="宋体" w:hAnsi="宋体" w:cs="宋体"/>
                <w:color w:val="000000"/>
                <w:sz w:val="20"/>
                <w:szCs w:val="20"/>
              </w:rPr>
            </w:pPr>
            <w:r>
              <w:rPr>
                <w:rFonts w:hint="eastAsia" w:ascii="宋体" w:hAnsi="宋体" w:cs="宋体"/>
                <w:color w:val="000000"/>
                <w:sz w:val="20"/>
                <w:szCs w:val="20"/>
              </w:rPr>
              <w:t>公司制定《数据分析控制程序》，收集和分析适当的数据，评价公司管理体系的适宜性和有效性，充分识别可以改进的机会</w:t>
            </w:r>
          </w:p>
          <w:p>
            <w:pPr>
              <w:spacing w:line="240" w:lineRule="exact"/>
              <w:ind w:firstLine="100" w:firstLineChars="50"/>
              <w:rPr>
                <w:rFonts w:ascii="宋体" w:hAnsi="宋体"/>
                <w:b/>
                <w:sz w:val="21"/>
                <w:szCs w:val="21"/>
              </w:rPr>
            </w:pPr>
            <w:r>
              <w:rPr>
                <w:rFonts w:hint="eastAsia" w:ascii="宋体" w:hAnsi="宋体" w:cs="宋体"/>
                <w:color w:val="000000"/>
                <w:sz w:val="20"/>
                <w:szCs w:val="20"/>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ind w:firstLine="400" w:firstLineChars="200"/>
              <w:rPr>
                <w:rFonts w:ascii="宋体" w:hAnsi="宋体"/>
                <w:b/>
                <w:sz w:val="21"/>
                <w:szCs w:val="21"/>
              </w:rPr>
            </w:pPr>
            <w:r>
              <w:rPr>
                <w:rFonts w:hint="eastAsia"/>
                <w:sz w:val="20"/>
                <w:szCs w:val="20"/>
                <w:lang w:val="zh-CN"/>
              </w:rPr>
              <w:t>公司通过电话，走访等形式，接受顾客反馈，了解顾客顾客满意度信息，发放调查表对顾客满意度进行定量测量。提供“顾客满意程度调查表”，调查表共</w:t>
            </w:r>
            <w:r>
              <w:rPr>
                <w:rFonts w:hint="eastAsia"/>
                <w:sz w:val="20"/>
                <w:szCs w:val="20"/>
              </w:rPr>
              <w:t>4</w:t>
            </w:r>
            <w:r>
              <w:rPr>
                <w:rFonts w:hint="eastAsia"/>
                <w:sz w:val="20"/>
                <w:szCs w:val="20"/>
                <w:lang w:val="zh-CN"/>
              </w:rPr>
              <w:t>份。</w:t>
            </w:r>
            <w:r>
              <w:rPr>
                <w:rFonts w:hint="eastAsia"/>
                <w:sz w:val="20"/>
                <w:szCs w:val="20"/>
              </w:rPr>
              <w:t>调查结果，达到了目标值</w:t>
            </w:r>
            <w:r>
              <w:rPr>
                <w:sz w:val="20"/>
                <w:szCs w:val="20"/>
              </w:rPr>
              <w:t>95%</w:t>
            </w:r>
            <w:r>
              <w:rPr>
                <w:rFonts w:hint="eastAsia"/>
                <w:sz w:val="20"/>
                <w:szCs w:val="20"/>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200" w:firstLineChars="100"/>
              <w:rPr>
                <w:rFonts w:ascii="宋体" w:hAnsi="宋体"/>
                <w:b/>
                <w:sz w:val="21"/>
                <w:szCs w:val="21"/>
              </w:rPr>
            </w:pPr>
            <w:r>
              <w:rPr>
                <w:rFonts w:hint="eastAsia"/>
                <w:sz w:val="20"/>
                <w:szCs w:val="20"/>
              </w:rPr>
              <w:t>提供了内审计划、内审记录、不符合报告、内审报告等，发现了不符合项，具体内容，二阶段进一步审核。基本符合计划安排和标准的要求，并得到了较有效实施和保持， 仍需进一步改</w:t>
            </w:r>
            <w:r>
              <w:rPr>
                <w:rFonts w:hint="eastAsia" w:asciiTheme="minorEastAsia" w:hAnsiTheme="minorEastAsia" w:eastAsiaTheme="minorEastAsia" w:cstheme="minorEastAsia"/>
                <w:szCs w:val="21"/>
              </w:rPr>
              <w:t>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ind w:firstLine="400" w:firstLineChars="200"/>
              <w:rPr>
                <w:rFonts w:ascii="宋体" w:hAnsi="宋体"/>
                <w:b/>
                <w:sz w:val="21"/>
                <w:szCs w:val="21"/>
              </w:rPr>
            </w:pPr>
            <w:r>
              <w:rPr>
                <w:rFonts w:hint="eastAsia"/>
                <w:sz w:val="20"/>
                <w:szCs w:val="20"/>
              </w:rPr>
              <w:t>提供管理评审报告，管理评审输入充分，公司各部门基本按照管理体系标准要求实施已初步取得良好的效果。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hint="eastAsia"/>
                <w:b/>
                <w:color w:val="000000" w:themeColor="text1"/>
                <w:sz w:val="20"/>
                <w:szCs w:val="20"/>
              </w:rPr>
              <w:t>5.  EMS是否按规定对主要污染物（污水、废气、噪声、废渣等）及排放实施了例行的监视或测量，结果是否满足相关要求？不涉及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ascii="宋体" w:hAnsi="宋体"/>
                <w:b/>
                <w:sz w:val="21"/>
                <w:szCs w:val="21"/>
              </w:rPr>
            </w:pPr>
            <w:r>
              <w:rPr>
                <w:rFonts w:hint="eastAsia"/>
                <w:b/>
                <w:color w:val="000000" w:themeColor="text1"/>
                <w:sz w:val="20"/>
                <w:szCs w:val="20"/>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sz w:val="21"/>
                <w:szCs w:val="21"/>
              </w:rPr>
            </w:pPr>
            <w:r>
              <w:rPr>
                <w:rFonts w:hint="eastAsia"/>
                <w:b/>
                <w:color w:val="000000" w:themeColor="text1"/>
                <w:sz w:val="20"/>
                <w:szCs w:val="20"/>
              </w:rPr>
              <w:t>7. OHSMS是否按规定对职业健康安全项目进行定期测量，结果是否满足相关要求：是，满足。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sz w:val="21"/>
                <w:szCs w:val="21"/>
              </w:rPr>
            </w:pPr>
            <w:r>
              <w:rPr>
                <w:rFonts w:hint="eastAsia"/>
                <w:b/>
                <w:color w:val="000000" w:themeColor="text1"/>
                <w:sz w:val="20"/>
                <w:szCs w:val="20"/>
              </w:rPr>
              <w:t>8.OHSMS国家/地方职业健康安全部门监督检查情况及措施：无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rFonts w:hint="eastAsia"/>
                <w:b/>
                <w:color w:val="000000" w:themeColor="text1"/>
                <w:sz w:val="20"/>
                <w:szCs w:val="20"/>
              </w:rPr>
              <w:t>9. 其他能够标明组织绩效、信誉的证据/信息：无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ind w:firstLine="400" w:firstLineChars="200"/>
              <w:rPr>
                <w:rFonts w:ascii="宋体" w:hAnsi="宋体"/>
                <w:b/>
                <w:sz w:val="21"/>
                <w:szCs w:val="21"/>
              </w:rPr>
            </w:pPr>
            <w:r>
              <w:rPr>
                <w:rFonts w:hint="eastAsia" w:ascii="宋体" w:hAnsi="宋体" w:cs="宋体"/>
                <w:sz w:val="20"/>
                <w:szCs w:val="20"/>
              </w:rPr>
              <w:t>提供了</w:t>
            </w:r>
            <w:r>
              <w:rPr>
                <w:rFonts w:hint="eastAsia" w:asciiTheme="minorEastAsia" w:hAnsiTheme="minorEastAsia" w:eastAsiaTheme="minorEastAsia" w:cstheme="minorEastAsia"/>
                <w:sz w:val="20"/>
                <w:szCs w:val="20"/>
              </w:rPr>
              <w:t>《纠正和预防措施程序》QEOP8-7和《绩效监视与测量控制程序》QEOP8-8，见程序文件确定的纠正/预防措施的控制的职责和相关的管理要求，覆盖标准要求，体系建立以来未发生更改变化，基本符合。</w:t>
            </w:r>
            <w:r>
              <w:rPr>
                <w:rFonts w:hint="eastAsia" w:ascii="宋体" w:hAnsi="宋体" w:cs="宋体"/>
                <w:sz w:val="20"/>
                <w:szCs w:val="20"/>
              </w:rPr>
              <w:t>查到《分析报告》，查到目标指标的完成情况，形成了相关的材料证实，并输入到了管理评审中。以上统计技术的应用和数据分析的实施情况证实，基本符合标准要求，均实施了有效性的评价，通过数据分析，为质量管理体系有关过程的改进提供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rPr>
                <w:rFonts w:hint="eastAsia" w:ascii="宋体" w:hAnsi="宋体"/>
                <w:b/>
                <w:sz w:val="21"/>
                <w:szCs w:val="21"/>
              </w:rPr>
            </w:pPr>
          </w:p>
          <w:p>
            <w:pPr>
              <w:numPr>
                <w:ilvl w:val="0"/>
                <w:numId w:val="0"/>
              </w:numPr>
              <w:spacing w:line="240" w:lineRule="exact"/>
              <w:ind w:firstLine="402" w:firstLineChars="200"/>
              <w:rPr>
                <w:rFonts w:hint="eastAsia" w:ascii="宋体" w:hAnsi="宋体"/>
                <w:b/>
                <w:sz w:val="21"/>
                <w:szCs w:val="21"/>
              </w:rPr>
            </w:pPr>
            <w:r>
              <w:rPr>
                <w:rFonts w:hint="eastAsia"/>
                <w:b/>
                <w:color w:val="000000" w:themeColor="text1"/>
                <w:sz w:val="20"/>
                <w:szCs w:val="20"/>
              </w:rPr>
              <w:t>目前无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未再次发生</w:t>
            </w:r>
          </w:p>
        </w:tc>
      </w:tr>
    </w:tbl>
    <w:p>
      <w:pPr>
        <w:tabs>
          <w:tab w:val="left" w:pos="645"/>
        </w:tabs>
        <w:spacing w:after="163" w:afterLines="50" w:line="360" w:lineRule="exact"/>
        <w:rPr>
          <w:b/>
          <w:sz w:val="26"/>
          <w:szCs w:val="26"/>
        </w:rPr>
      </w:pPr>
    </w:p>
    <w:p>
      <w:pPr>
        <w:tabs>
          <w:tab w:val="left" w:pos="645"/>
        </w:tabs>
        <w:spacing w:after="163" w:afterLines="50" w:line="360" w:lineRule="exact"/>
        <w:rPr>
          <w:rFonts w:hint="default" w:eastAsia="宋体"/>
          <w:b/>
          <w:sz w:val="16"/>
          <w:szCs w:val="16"/>
          <w:lang w:val="en-US" w:eastAsia="zh-CN"/>
        </w:rPr>
      </w:pPr>
      <w:r>
        <w:rPr>
          <w:rFonts w:hint="eastAsia"/>
          <w:b/>
          <w:sz w:val="26"/>
          <w:szCs w:val="26"/>
        </w:rPr>
        <w:t>七、其它需要说明的问题</w:t>
      </w:r>
      <w:r>
        <w:rPr>
          <w:rFonts w:hint="eastAsia"/>
          <w:b/>
          <w:sz w:val="26"/>
          <w:szCs w:val="26"/>
          <w:lang w:eastAsia="zh-CN"/>
        </w:rPr>
        <w:t>：</w:t>
      </w:r>
      <w:r>
        <w:rPr>
          <w:rFonts w:hint="eastAsia"/>
          <w:b/>
          <w:sz w:val="26"/>
          <w:szCs w:val="26"/>
          <w:lang w:val="en-US" w:eastAsia="zh-CN"/>
        </w:rPr>
        <w:t>无</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449" w:leftChars="187" w:firstLine="600" w:firstLineChars="250"/>
              <w:rPr>
                <w:rFonts w:ascii="宋体" w:hAnsi="宋体"/>
                <w:b/>
                <w:szCs w:val="21"/>
              </w:rPr>
            </w:pPr>
            <w:r>
              <w:rPr>
                <w:rFonts w:hint="eastAsia" w:asciiTheme="minorEastAsia" w:hAnsiTheme="minorEastAsia" w:eastAsiaTheme="minorEastAsia" w:cstheme="minorEastAsia"/>
                <w:bCs/>
                <w:szCs w:val="21"/>
                <w:lang w:val="en-US" w:eastAsia="zh-CN"/>
              </w:rPr>
              <w:t>该企业</w:t>
            </w:r>
            <w:r>
              <w:rPr>
                <w:rFonts w:hint="eastAsia" w:asciiTheme="minorEastAsia" w:hAnsiTheme="minorEastAsia" w:eastAsiaTheme="minorEastAsia" w:cstheme="minorEastAsia"/>
                <w:bCs/>
                <w:szCs w:val="21"/>
              </w:rPr>
              <w:t>实施</w:t>
            </w:r>
            <w:r>
              <w:rPr>
                <w:rFonts w:hint="eastAsia" w:asciiTheme="minorEastAsia" w:hAnsiTheme="minorEastAsia" w:eastAsiaTheme="minorEastAsia" w:cstheme="minorEastAsia"/>
                <w:bCs/>
                <w:szCs w:val="21"/>
                <w:lang w:val="en-US" w:eastAsia="zh-CN"/>
              </w:rPr>
              <w:t>保持</w:t>
            </w:r>
            <w:r>
              <w:rPr>
                <w:rFonts w:hint="eastAsia" w:asciiTheme="minorEastAsia" w:hAnsiTheme="minorEastAsia" w:eastAsiaTheme="minorEastAsia" w:cstheme="minorEastAsia"/>
                <w:bCs/>
                <w:szCs w:val="21"/>
              </w:rPr>
              <w:t>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推荐保持（</w:t>
            </w:r>
            <w:r>
              <w:rPr>
                <w:rFonts w:hint="eastAsia" w:ascii="宋体" w:hAnsi="宋体"/>
                <w:b/>
                <w:szCs w:val="21"/>
              </w:rPr>
              <w:sym w:font="Wingdings 2" w:char="00A3"/>
            </w:r>
            <w:r>
              <w:rPr>
                <w:rFonts w:ascii="宋体" w:hAnsi="宋体"/>
                <w:b/>
                <w:szCs w:val="21"/>
              </w:rPr>
              <w:t>QMS</w:t>
            </w:r>
            <w:r>
              <w:rPr>
                <w:rFonts w:hint="eastAsia" w:ascii="宋体" w:hAnsi="宋体"/>
                <w:b/>
                <w:szCs w:val="21"/>
              </w:rPr>
              <w:sym w:font="Wingdings 2" w:char="00A3"/>
            </w:r>
            <w:r>
              <w:rPr>
                <w:rFonts w:hint="eastAsia" w:ascii="宋体" w:hAnsi="宋体"/>
                <w:b/>
                <w:szCs w:val="21"/>
              </w:rPr>
              <w:t>50430</w:t>
            </w:r>
            <w:r>
              <w:rPr>
                <w:rFonts w:hint="eastAsia" w:ascii="宋体" w:hAnsi="宋体"/>
                <w:b/>
                <w:szCs w:val="21"/>
              </w:rPr>
              <w:sym w:font="Wingdings 2" w:char="00A3"/>
            </w:r>
            <w:r>
              <w:rPr>
                <w:rFonts w:ascii="宋体" w:hAnsi="宋体"/>
                <w:b/>
                <w:szCs w:val="21"/>
              </w:rPr>
              <w:t xml:space="preserve">EMS  </w:t>
            </w:r>
            <w:r>
              <w:rPr>
                <w:rFonts w:hint="eastAsia" w:ascii="宋体" w:hAnsi="宋体"/>
                <w:b/>
                <w:szCs w:val="21"/>
              </w:rPr>
              <w:sym w:font="Wingdings 2" w:char="00A3"/>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3</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 xml:space="preserve">50430 ( </w:t>
      </w:r>
      <w:r>
        <w:rPr>
          <w:rFonts w:hint="eastAsia"/>
          <w:b/>
          <w:bCs/>
          <w:sz w:val="21"/>
          <w:szCs w:val="21"/>
          <w:lang w:val="en-US" w:eastAsia="zh-CN"/>
        </w:rPr>
        <w:t>2</w:t>
      </w:r>
      <w:r>
        <w:rPr>
          <w:rFonts w:hint="eastAsia"/>
          <w:b/>
          <w:bCs/>
          <w:sz w:val="21"/>
          <w:szCs w:val="21"/>
        </w:rPr>
        <w:t xml:space="preserve">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rFonts w:hint="eastAsia" w:ascii="方正仿宋简体" w:eastAsia="方正仿宋简体"/>
          <w:b/>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Pr>
        <w:snapToGrid w:val="0"/>
        <w:ind w:firstLine="354" w:firstLineChars="147"/>
        <w:jc w:val="left"/>
        <w:rPr>
          <w:rFonts w:hint="eastAsia" w:ascii="方正仿宋简体" w:eastAsia="方正仿宋简体"/>
          <w:b/>
          <w:lang w:eastAsia="zh-CN"/>
        </w:rPr>
      </w:pPr>
    </w:p>
    <w:p/>
    <w:p/>
    <w:p/>
    <w:p/>
    <w:p/>
    <w:p/>
    <w:p/>
    <w:p/>
    <w:p/>
    <w:p/>
    <w:p/>
    <w:p/>
    <w:p/>
    <w:p/>
    <w:p/>
    <w:p/>
    <w:p/>
    <w:p/>
    <w:p/>
    <w:p/>
    <w:p>
      <w:bookmarkStart w:id="19" w:name="_GoBack"/>
      <w:r>
        <w:rPr>
          <w:rFonts w:hint="eastAsia" w:ascii="方正仿宋简体" w:eastAsia="方正仿宋简体"/>
          <w:b/>
          <w:lang w:eastAsia="zh-CN"/>
        </w:rPr>
        <w:drawing>
          <wp:anchor distT="0" distB="0" distL="114300" distR="114300" simplePos="0" relativeHeight="251669504" behindDoc="0" locked="0" layoutInCell="1" allowOverlap="1">
            <wp:simplePos x="0" y="0"/>
            <wp:positionH relativeFrom="column">
              <wp:posOffset>-620395</wp:posOffset>
            </wp:positionH>
            <wp:positionV relativeFrom="paragraph">
              <wp:posOffset>92075</wp:posOffset>
            </wp:positionV>
            <wp:extent cx="6151880" cy="8202295"/>
            <wp:effectExtent l="0" t="0" r="1270" b="8255"/>
            <wp:wrapNone/>
            <wp:docPr id="2" name="图片 2" descr="daa7c57959fa55d5f0c1c38f86f57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a7c57959fa55d5f0c1c38f86f572d"/>
                    <pic:cNvPicPr>
                      <a:picLocks noChangeAspect="1"/>
                    </pic:cNvPicPr>
                  </pic:nvPicPr>
                  <pic:blipFill>
                    <a:blip r:embed="rId6"/>
                    <a:stretch>
                      <a:fillRect/>
                    </a:stretch>
                  </pic:blipFill>
                  <pic:spPr>
                    <a:xfrm>
                      <a:off x="0" y="0"/>
                      <a:ext cx="6151880" cy="8202295"/>
                    </a:xfrm>
                    <a:prstGeom prst="rect">
                      <a:avLst/>
                    </a:prstGeom>
                  </pic:spPr>
                </pic:pic>
              </a:graphicData>
            </a:graphic>
          </wp:anchor>
        </w:drawing>
      </w:r>
      <w:bookmarkEnd w:id="19"/>
    </w:p>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88209"/>
    <w:multiLevelType w:val="singleLevel"/>
    <w:tmpl w:val="AC088209"/>
    <w:lvl w:ilvl="0" w:tentative="0">
      <w:start w:val="3"/>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2F7DFC"/>
    <w:rsid w:val="0884435B"/>
    <w:rsid w:val="111A14FF"/>
    <w:rsid w:val="123C355E"/>
    <w:rsid w:val="134D3FCA"/>
    <w:rsid w:val="141C7A20"/>
    <w:rsid w:val="19F86F77"/>
    <w:rsid w:val="1DF14408"/>
    <w:rsid w:val="1E3D21C8"/>
    <w:rsid w:val="1EDA04D7"/>
    <w:rsid w:val="1F00220F"/>
    <w:rsid w:val="1F5E2AFA"/>
    <w:rsid w:val="1FC030FB"/>
    <w:rsid w:val="205F11E7"/>
    <w:rsid w:val="21FA53D6"/>
    <w:rsid w:val="2529639A"/>
    <w:rsid w:val="258207DF"/>
    <w:rsid w:val="2BC81561"/>
    <w:rsid w:val="2BD83A7D"/>
    <w:rsid w:val="2CD67505"/>
    <w:rsid w:val="30171F3E"/>
    <w:rsid w:val="3355538F"/>
    <w:rsid w:val="34126CD8"/>
    <w:rsid w:val="36E31388"/>
    <w:rsid w:val="37786CC3"/>
    <w:rsid w:val="381E1058"/>
    <w:rsid w:val="391F6F5E"/>
    <w:rsid w:val="3B110E41"/>
    <w:rsid w:val="3DA153FC"/>
    <w:rsid w:val="41690C70"/>
    <w:rsid w:val="41B219CA"/>
    <w:rsid w:val="42CF64FB"/>
    <w:rsid w:val="4412139E"/>
    <w:rsid w:val="45376516"/>
    <w:rsid w:val="458427AF"/>
    <w:rsid w:val="46AD71EE"/>
    <w:rsid w:val="46D6688E"/>
    <w:rsid w:val="47F919C8"/>
    <w:rsid w:val="486E7814"/>
    <w:rsid w:val="48F51076"/>
    <w:rsid w:val="49C72BB9"/>
    <w:rsid w:val="4AAA41A7"/>
    <w:rsid w:val="4B4029F9"/>
    <w:rsid w:val="4BE43545"/>
    <w:rsid w:val="4CB64A5B"/>
    <w:rsid w:val="52426050"/>
    <w:rsid w:val="52EE50DA"/>
    <w:rsid w:val="55176A29"/>
    <w:rsid w:val="568212AE"/>
    <w:rsid w:val="56965509"/>
    <w:rsid w:val="57410F9A"/>
    <w:rsid w:val="58DC65AE"/>
    <w:rsid w:val="59B171C2"/>
    <w:rsid w:val="5A975270"/>
    <w:rsid w:val="5AC5766A"/>
    <w:rsid w:val="5BA14B5B"/>
    <w:rsid w:val="5D5176CB"/>
    <w:rsid w:val="5DB20F31"/>
    <w:rsid w:val="5E844480"/>
    <w:rsid w:val="61293D53"/>
    <w:rsid w:val="63A543A8"/>
    <w:rsid w:val="63E9100B"/>
    <w:rsid w:val="675F7339"/>
    <w:rsid w:val="68312700"/>
    <w:rsid w:val="69C42FA0"/>
    <w:rsid w:val="6A191E55"/>
    <w:rsid w:val="6A776464"/>
    <w:rsid w:val="6AF83441"/>
    <w:rsid w:val="6BFC6782"/>
    <w:rsid w:val="6F557AE1"/>
    <w:rsid w:val="6F694008"/>
    <w:rsid w:val="71932E9D"/>
    <w:rsid w:val="743B2FE2"/>
    <w:rsid w:val="74C01F92"/>
    <w:rsid w:val="75E82AF8"/>
    <w:rsid w:val="762E335D"/>
    <w:rsid w:val="774444E8"/>
    <w:rsid w:val="776C18F9"/>
    <w:rsid w:val="7CFD4617"/>
    <w:rsid w:val="7D754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0"/>
    <w:pPr>
      <w:keepNext/>
      <w:tabs>
        <w:tab w:val="left" w:pos="3510"/>
        <w:tab w:val="left" w:pos="3585"/>
        <w:tab w:val="center" w:pos="4410"/>
        <w:tab w:val="left" w:pos="4620"/>
        <w:tab w:val="left" w:pos="4830"/>
        <w:tab w:val="left" w:pos="5580"/>
      </w:tabs>
      <w:outlineLvl w:val="1"/>
    </w:pPr>
    <w:rPr>
      <w:b/>
      <w:bCs/>
      <w:sz w:val="32"/>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Balloon Text"/>
    <w:basedOn w:val="1"/>
    <w:link w:val="11"/>
    <w:semiHidden/>
    <w:uiPriority w:val="99"/>
    <w:rPr>
      <w:sz w:val="18"/>
      <w:szCs w:val="18"/>
    </w:rPr>
  </w:style>
  <w:style w:type="paragraph" w:styleId="5">
    <w:name w:val="footer"/>
    <w:basedOn w:val="1"/>
    <w:link w:val="12"/>
    <w:semiHidden/>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link w:val="4"/>
    <w:semiHidden/>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locked/>
    <w:uiPriority w:val="0"/>
    <w:rPr>
      <w:sz w:val="18"/>
    </w:rPr>
  </w:style>
  <w:style w:type="character" w:customStyle="1" w:styleId="14">
    <w:name w:val="页眉 Char1"/>
    <w:semiHidden/>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2019-04-18T08:15:00Z</cp:lastPrinted>
  <dcterms:modified xsi:type="dcterms:W3CDTF">2020-10-30T08:45:17Z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