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江西宏东建设有限公司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hint="eastAsia"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王志慧</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2018-N1QMS-2210615</w:t>
            </w:r>
          </w:p>
          <w:p>
            <w:pPr>
              <w:jc w:val="center"/>
              <w:rPr>
                <w:b/>
                <w:sz w:val="21"/>
                <w:szCs w:val="21"/>
              </w:rPr>
            </w:pPr>
            <w:r>
              <w:rPr>
                <w:b/>
                <w:sz w:val="21"/>
                <w:szCs w:val="21"/>
              </w:rPr>
              <w:t>2018-N1EMS-1210615</w:t>
            </w:r>
          </w:p>
          <w:p>
            <w:pPr>
              <w:jc w:val="center"/>
              <w:rPr>
                <w:b/>
                <w:sz w:val="21"/>
                <w:szCs w:val="21"/>
              </w:rPr>
            </w:pPr>
            <w:r>
              <w:rPr>
                <w:b/>
                <w:sz w:val="21"/>
                <w:szCs w:val="21"/>
              </w:rPr>
              <w:t>2018-N1OHSMS-1210615</w:t>
            </w:r>
          </w:p>
        </w:tc>
        <w:tc>
          <w:tcPr>
            <w:tcW w:w="1728" w:type="dxa"/>
            <w:gridSpan w:val="2"/>
            <w:vAlign w:val="center"/>
          </w:tcPr>
          <w:p>
            <w:pPr>
              <w:jc w:val="center"/>
              <w:rPr>
                <w:b/>
                <w:sz w:val="21"/>
                <w:szCs w:val="21"/>
              </w:rPr>
            </w:pPr>
            <w:r>
              <w:rPr>
                <w:b/>
                <w:sz w:val="21"/>
                <w:szCs w:val="21"/>
              </w:rPr>
              <w:t>Q:28.03.01,28.04.02</w:t>
            </w:r>
          </w:p>
          <w:p>
            <w:pPr>
              <w:jc w:val="center"/>
              <w:rPr>
                <w:b/>
                <w:sz w:val="21"/>
                <w:szCs w:val="21"/>
              </w:rPr>
            </w:pPr>
            <w:r>
              <w:rPr>
                <w:b/>
                <w:sz w:val="21"/>
                <w:szCs w:val="21"/>
              </w:rPr>
              <w:t>E:28.03.01,28.04.02</w:t>
            </w:r>
          </w:p>
          <w:p>
            <w:pPr>
              <w:jc w:val="center"/>
              <w:rPr>
                <w:b/>
                <w:sz w:val="21"/>
                <w:szCs w:val="21"/>
              </w:rPr>
            </w:pPr>
            <w:r>
              <w:rPr>
                <w:b/>
                <w:sz w:val="21"/>
                <w:szCs w:val="21"/>
              </w:rPr>
              <w:t>O:28.03.01,28.04.02</w:t>
            </w:r>
          </w:p>
        </w:tc>
        <w:tc>
          <w:tcPr>
            <w:tcW w:w="1729" w:type="dxa"/>
            <w:gridSpan w:val="2"/>
            <w:vAlign w:val="center"/>
          </w:tcPr>
          <w:p>
            <w:pPr>
              <w:jc w:val="center"/>
              <w:rPr>
                <w:b/>
                <w:sz w:val="21"/>
                <w:szCs w:val="21"/>
              </w:rPr>
            </w:pPr>
            <w:r>
              <w:rPr>
                <w:b/>
                <w:sz w:val="21"/>
                <w:szCs w:val="21"/>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2020-N1QMS-2219448</w:t>
            </w:r>
          </w:p>
          <w:p>
            <w:pPr>
              <w:jc w:val="center"/>
              <w:rPr>
                <w:b/>
                <w:sz w:val="21"/>
                <w:szCs w:val="21"/>
              </w:rPr>
            </w:pPr>
            <w:r>
              <w:rPr>
                <w:b/>
                <w:sz w:val="21"/>
                <w:szCs w:val="21"/>
              </w:rPr>
              <w:t>2017-N1EMS-1219448</w:t>
            </w:r>
          </w:p>
          <w:p>
            <w:pPr>
              <w:jc w:val="center"/>
              <w:rPr>
                <w:b/>
                <w:sz w:val="21"/>
                <w:szCs w:val="21"/>
              </w:rPr>
            </w:pPr>
            <w:r>
              <w:rPr>
                <w:b/>
                <w:sz w:val="21"/>
                <w:szCs w:val="21"/>
              </w:rPr>
              <w:t>2018-N1OHSMS-1219448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文波</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2019-N1QMS-1257737</w:t>
            </w:r>
          </w:p>
          <w:p>
            <w:pPr>
              <w:jc w:val="center"/>
              <w:rPr>
                <w:b/>
                <w:sz w:val="21"/>
                <w:szCs w:val="21"/>
              </w:rPr>
            </w:pPr>
            <w:r>
              <w:rPr>
                <w:b/>
                <w:sz w:val="21"/>
                <w:szCs w:val="21"/>
              </w:rPr>
              <w:t>2019-N1EMS-1257737</w:t>
            </w:r>
          </w:p>
          <w:p>
            <w:pPr>
              <w:jc w:val="center"/>
              <w:rPr>
                <w:b/>
                <w:sz w:val="21"/>
                <w:szCs w:val="21"/>
              </w:rPr>
            </w:pPr>
            <w:r>
              <w:rPr>
                <w:b/>
                <w:sz w:val="21"/>
                <w:szCs w:val="21"/>
              </w:rPr>
              <w:t>2020-N1OHSMS-1257737</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徐秋平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Q:专家</w:t>
            </w:r>
          </w:p>
          <w:p>
            <w:pPr>
              <w:jc w:val="center"/>
              <w:rPr>
                <w:b/>
                <w:sz w:val="21"/>
                <w:szCs w:val="21"/>
              </w:rPr>
            </w:pPr>
            <w:r>
              <w:rPr>
                <w:b/>
                <w:sz w:val="21"/>
                <w:szCs w:val="21"/>
              </w:rPr>
              <w:t>E:专家</w:t>
            </w:r>
          </w:p>
          <w:p>
            <w:pPr>
              <w:jc w:val="center"/>
              <w:rPr>
                <w:b/>
                <w:sz w:val="21"/>
                <w:szCs w:val="21"/>
              </w:rPr>
            </w:pPr>
            <w:r>
              <w:rPr>
                <w:b/>
                <w:sz w:val="21"/>
                <w:szCs w:val="21"/>
              </w:rPr>
              <w:t>O:专家</w:t>
            </w:r>
          </w:p>
          <w:p>
            <w:pPr>
              <w:jc w:val="center"/>
              <w:rPr>
                <w:b/>
                <w:sz w:val="21"/>
                <w:szCs w:val="21"/>
              </w:rPr>
            </w:pPr>
          </w:p>
        </w:tc>
        <w:tc>
          <w:tcPr>
            <w:tcW w:w="1699" w:type="dxa"/>
            <w:vAlign w:val="center"/>
          </w:tcPr>
          <w:p>
            <w:pPr>
              <w:jc w:val="center"/>
              <w:rPr>
                <w:b/>
                <w:sz w:val="21"/>
                <w:szCs w:val="21"/>
              </w:rPr>
            </w:pPr>
            <w:r>
              <w:rPr>
                <w:b/>
                <w:sz w:val="21"/>
                <w:szCs w:val="21"/>
              </w:rPr>
              <w:t>ISC-JSZJ-184</w:t>
            </w:r>
          </w:p>
          <w:p>
            <w:pPr>
              <w:jc w:val="center"/>
              <w:rPr>
                <w:b/>
                <w:sz w:val="21"/>
                <w:szCs w:val="21"/>
              </w:rPr>
            </w:pPr>
            <w:r>
              <w:rPr>
                <w:b/>
                <w:sz w:val="21"/>
                <w:szCs w:val="21"/>
              </w:rPr>
              <w:t>ISC-JSZJ-184</w:t>
            </w:r>
          </w:p>
          <w:p>
            <w:pPr>
              <w:jc w:val="center"/>
              <w:rPr>
                <w:b/>
                <w:sz w:val="21"/>
                <w:szCs w:val="21"/>
              </w:rPr>
            </w:pPr>
            <w:r>
              <w:rPr>
                <w:b/>
                <w:sz w:val="21"/>
                <w:szCs w:val="21"/>
              </w:rPr>
              <w:t>ISC-JSZJ-184</w:t>
            </w:r>
          </w:p>
          <w:p>
            <w:pPr>
              <w:jc w:val="center"/>
              <w:rPr>
                <w:b/>
                <w:sz w:val="21"/>
                <w:szCs w:val="21"/>
              </w:rPr>
            </w:pPr>
            <w:r>
              <w:rPr>
                <w:b/>
                <w:sz w:val="21"/>
                <w:szCs w:val="21"/>
              </w:rPr>
              <w:t>国海建设有限公司</w:t>
            </w:r>
          </w:p>
        </w:tc>
        <w:tc>
          <w:tcPr>
            <w:tcW w:w="1728" w:type="dxa"/>
            <w:gridSpan w:val="2"/>
            <w:vAlign w:val="center"/>
          </w:tcPr>
          <w:p>
            <w:pPr>
              <w:jc w:val="center"/>
              <w:rPr>
                <w:b/>
                <w:sz w:val="21"/>
                <w:szCs w:val="21"/>
              </w:rPr>
            </w:pPr>
            <w:r>
              <w:rPr>
                <w:b/>
                <w:sz w:val="21"/>
                <w:szCs w:val="21"/>
              </w:rPr>
              <w:t>Q:28.05.01</w:t>
            </w:r>
          </w:p>
          <w:p>
            <w:pPr>
              <w:jc w:val="center"/>
              <w:rPr>
                <w:b/>
                <w:sz w:val="21"/>
                <w:szCs w:val="21"/>
              </w:rPr>
            </w:pPr>
            <w:r>
              <w:rPr>
                <w:b/>
                <w:sz w:val="21"/>
                <w:szCs w:val="21"/>
              </w:rPr>
              <w:t>E:28.05.01</w:t>
            </w:r>
          </w:p>
          <w:p>
            <w:pPr>
              <w:jc w:val="center"/>
              <w:rPr>
                <w:b/>
                <w:sz w:val="21"/>
                <w:szCs w:val="21"/>
              </w:rPr>
            </w:pPr>
            <w:r>
              <w:rPr>
                <w:b/>
                <w:sz w:val="21"/>
                <w:szCs w:val="21"/>
              </w:rPr>
              <w:t>O:28.05.01</w:t>
            </w:r>
          </w:p>
        </w:tc>
        <w:tc>
          <w:tcPr>
            <w:tcW w:w="1729" w:type="dxa"/>
            <w:gridSpan w:val="2"/>
            <w:vAlign w:val="center"/>
          </w:tcPr>
          <w:p>
            <w:pPr>
              <w:jc w:val="center"/>
              <w:rPr>
                <w:b/>
                <w:sz w:val="21"/>
                <w:szCs w:val="21"/>
              </w:rPr>
            </w:pPr>
            <w:r>
              <w:rPr>
                <w:b/>
                <w:sz w:val="21"/>
                <w:szCs w:val="21"/>
              </w:rPr>
              <w:t>ISC-JSZJ-184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eastAsia"/>
          <w:b/>
          <w:sz w:val="21"/>
          <w:szCs w:val="21"/>
        </w:rPr>
      </w:pPr>
      <w:r>
        <w:rPr>
          <w:rFonts w:hint="eastAsia"/>
          <w:b/>
          <w:sz w:val="21"/>
          <w:szCs w:val="21"/>
        </w:rPr>
        <w:t>■ GB/T 19001:2016 idt ISO 9001:2015标准不适用</w:t>
      </w:r>
      <w:r>
        <w:rPr>
          <w:rFonts w:hint="eastAsia"/>
          <w:b/>
          <w:sz w:val="21"/>
          <w:szCs w:val="21"/>
          <w:lang w:val="en-US" w:eastAsia="zh-CN"/>
        </w:rPr>
        <w:t xml:space="preserve">  8.3</w:t>
      </w:r>
      <w:r>
        <w:rPr>
          <w:rFonts w:hint="eastAsia"/>
          <w:b/>
          <w:sz w:val="21"/>
          <w:szCs w:val="21"/>
        </w:rPr>
        <w:t xml:space="preserve">条款: </w:t>
      </w:r>
    </w:p>
    <w:p>
      <w:pPr>
        <w:tabs>
          <w:tab w:val="left" w:pos="645"/>
        </w:tabs>
        <w:rPr>
          <w:b/>
          <w:sz w:val="21"/>
          <w:szCs w:val="21"/>
        </w:rPr>
      </w:pPr>
      <w:r>
        <w:rPr>
          <w:rFonts w:hint="eastAsia"/>
          <w:b/>
          <w:sz w:val="21"/>
          <w:szCs w:val="21"/>
        </w:rPr>
        <w:t>■ GB/T 50430-2017标准不适用</w:t>
      </w:r>
      <w:r>
        <w:rPr>
          <w:rFonts w:hint="eastAsia"/>
          <w:b/>
          <w:sz w:val="21"/>
          <w:szCs w:val="21"/>
          <w:lang w:val="en-US" w:eastAsia="zh-CN"/>
        </w:rPr>
        <w:t xml:space="preserve">  10.3</w:t>
      </w:r>
      <w:r>
        <w:rPr>
          <w:rFonts w:hint="eastAsia"/>
          <w:b/>
          <w:sz w:val="21"/>
          <w:szCs w:val="21"/>
        </w:rPr>
        <w:t xml:space="preserve">条款: </w:t>
      </w:r>
    </w:p>
    <w:p>
      <w:pPr>
        <w:tabs>
          <w:tab w:val="left" w:pos="645"/>
        </w:tabs>
        <w:rPr>
          <w:b/>
          <w:sz w:val="21"/>
          <w:szCs w:val="21"/>
        </w:rPr>
      </w:pPr>
      <w:bookmarkStart w:id="5" w:name="E勾选Add"/>
      <w:r>
        <w:rPr>
          <w:rFonts w:hint="eastAsia"/>
          <w:b/>
          <w:sz w:val="21"/>
          <w:szCs w:val="21"/>
        </w:rPr>
        <w:t>■</w:t>
      </w:r>
      <w:bookmarkEnd w:id="5"/>
      <w:r>
        <w:rPr>
          <w:rFonts w:hint="eastAsia"/>
          <w:b/>
          <w:sz w:val="21"/>
          <w:szCs w:val="21"/>
        </w:rPr>
        <w:t xml:space="preserve"> GB/T 24001-2016 idt ISO 14001:2015标准</w:t>
      </w:r>
    </w:p>
    <w:p>
      <w:pPr>
        <w:tabs>
          <w:tab w:val="left" w:pos="645"/>
        </w:tabs>
        <w:rPr>
          <w:b/>
          <w:sz w:val="21"/>
          <w:szCs w:val="21"/>
        </w:rPr>
      </w:pPr>
      <w:bookmarkStart w:id="6" w:name="S勾选Add1"/>
      <w:r>
        <w:rPr>
          <w:rFonts w:hint="eastAsia"/>
          <w:b/>
          <w:sz w:val="21"/>
          <w:szCs w:val="21"/>
        </w:rPr>
        <w:t>■</w:t>
      </w:r>
      <w:bookmarkEnd w:id="6"/>
      <w:r>
        <w:rPr>
          <w:rFonts w:hint="eastAsia" w:ascii="宋体" w:hAnsi="宋体"/>
          <w:b/>
          <w:sz w:val="22"/>
          <w:szCs w:val="22"/>
        </w:rPr>
        <w:t xml:space="preserve">GB/T </w:t>
      </w:r>
      <w:r>
        <w:rPr>
          <w:rFonts w:hint="eastAsia" w:ascii="宋体" w:hAnsi="宋体"/>
          <w:b/>
          <w:sz w:val="22"/>
          <w:szCs w:val="22"/>
          <w:lang w:val="en-US" w:eastAsia="zh-CN"/>
        </w:rPr>
        <w:t>45</w:t>
      </w:r>
      <w:r>
        <w:rPr>
          <w:rFonts w:hint="eastAsia" w:ascii="宋体" w:hAnsi="宋体"/>
          <w:b/>
          <w:sz w:val="22"/>
          <w:szCs w:val="22"/>
        </w:rPr>
        <w:t>001-20</w:t>
      </w:r>
      <w:r>
        <w:rPr>
          <w:rFonts w:hint="eastAsia" w:ascii="宋体" w:hAnsi="宋体"/>
          <w:b/>
          <w:sz w:val="22"/>
          <w:szCs w:val="22"/>
          <w:lang w:val="en-US" w:eastAsia="zh-CN"/>
        </w:rPr>
        <w:t>20</w:t>
      </w:r>
      <w:r>
        <w:rPr>
          <w:rFonts w:hint="eastAsia" w:ascii="宋体" w:hAnsi="宋体"/>
          <w:b/>
          <w:sz w:val="22"/>
          <w:szCs w:val="22"/>
        </w:rPr>
        <w:t xml:space="preserve"> idtISO45001：2018</w:t>
      </w:r>
      <w:r>
        <w:rPr>
          <w:rFonts w:hint="eastAsia"/>
          <w:b/>
          <w:sz w:val="21"/>
          <w:szCs w:val="21"/>
        </w:rPr>
        <w:t>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color w:val="auto"/>
                <w:sz w:val="16"/>
                <w:szCs w:val="16"/>
              </w:rPr>
            </w:pPr>
            <w:r>
              <w:rPr>
                <w:rFonts w:hint="eastAsia" w:ascii="宋体" w:hAnsi="宋体"/>
                <w:b/>
                <w:color w:val="auto"/>
                <w:sz w:val="21"/>
              </w:rPr>
              <w:t>受审核方名称</w:t>
            </w:r>
          </w:p>
        </w:tc>
        <w:tc>
          <w:tcPr>
            <w:tcW w:w="4416" w:type="dxa"/>
            <w:gridSpan w:val="4"/>
          </w:tcPr>
          <w:p>
            <w:pPr>
              <w:spacing w:line="260" w:lineRule="exact"/>
              <w:rPr>
                <w:rFonts w:ascii="宋体"/>
                <w:b/>
                <w:color w:val="auto"/>
                <w:sz w:val="21"/>
              </w:rPr>
            </w:pPr>
            <w:bookmarkStart w:id="7" w:name="组织名称Add"/>
            <w:r>
              <w:rPr>
                <w:rFonts w:ascii="宋体"/>
                <w:b/>
                <w:color w:val="auto"/>
                <w:sz w:val="21"/>
              </w:rPr>
              <w:t>江西宏东建设有限公司</w:t>
            </w:r>
            <w:bookmarkEnd w:id="7"/>
          </w:p>
        </w:tc>
        <w:tc>
          <w:tcPr>
            <w:tcW w:w="1672" w:type="dxa"/>
            <w:vAlign w:val="center"/>
          </w:tcPr>
          <w:p>
            <w:pPr>
              <w:spacing w:line="260" w:lineRule="exact"/>
              <w:jc w:val="center"/>
              <w:rPr>
                <w:rFonts w:ascii="宋体"/>
                <w:b/>
                <w:color w:val="auto"/>
                <w:sz w:val="21"/>
              </w:rPr>
            </w:pPr>
            <w:r>
              <w:rPr>
                <w:rFonts w:hint="eastAsia" w:ascii="宋体" w:hAnsi="宋体"/>
                <w:b/>
                <w:color w:val="auto"/>
                <w:sz w:val="21"/>
              </w:rPr>
              <w:t>组织人数及</w:t>
            </w:r>
          </w:p>
          <w:p>
            <w:pPr>
              <w:spacing w:line="200" w:lineRule="exact"/>
              <w:rPr>
                <w:b/>
                <w:color w:val="auto"/>
                <w:spacing w:val="-20"/>
              </w:rPr>
            </w:pPr>
            <w:r>
              <w:rPr>
                <w:rFonts w:hint="eastAsia" w:ascii="宋体" w:hAnsi="宋体"/>
                <w:b/>
                <w:color w:val="auto"/>
                <w:sz w:val="21"/>
              </w:rPr>
              <w:t>变动情况核实</w:t>
            </w:r>
          </w:p>
        </w:tc>
        <w:tc>
          <w:tcPr>
            <w:tcW w:w="1500" w:type="dxa"/>
          </w:tcPr>
          <w:p>
            <w:pPr>
              <w:spacing w:line="260" w:lineRule="exact"/>
              <w:rPr>
                <w:rFonts w:hint="default" w:ascii="宋体" w:eastAsia="宋体"/>
                <w:b/>
                <w:color w:val="auto"/>
                <w:sz w:val="21"/>
                <w:lang w:val="en-US" w:eastAsia="zh-CN"/>
              </w:rPr>
            </w:pPr>
            <w:r>
              <w:rPr>
                <w:rFonts w:hint="eastAsia" w:ascii="宋体"/>
                <w:b/>
                <w:color w:val="auto"/>
                <w:sz w:val="21"/>
                <w:lang w:val="en-US" w:eastAsia="zh-CN"/>
              </w:rPr>
              <w:t>60人 无变动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color w:val="auto"/>
                <w:sz w:val="16"/>
                <w:szCs w:val="16"/>
              </w:rPr>
            </w:pPr>
            <w:r>
              <w:rPr>
                <w:rFonts w:hint="eastAsia" w:ascii="宋体" w:hAnsi="宋体"/>
                <w:b/>
                <w:color w:val="auto"/>
                <w:sz w:val="21"/>
                <w:szCs w:val="21"/>
              </w:rPr>
              <w:t>注册地址</w:t>
            </w:r>
          </w:p>
        </w:tc>
        <w:tc>
          <w:tcPr>
            <w:tcW w:w="4416" w:type="dxa"/>
            <w:gridSpan w:val="4"/>
          </w:tcPr>
          <w:p>
            <w:pPr>
              <w:rPr>
                <w:rFonts w:ascii="宋体"/>
                <w:b/>
                <w:color w:val="auto"/>
                <w:sz w:val="21"/>
              </w:rPr>
            </w:pPr>
            <w:r>
              <w:rPr>
                <w:rFonts w:hint="eastAsia" w:ascii="宋体"/>
                <w:b/>
                <w:color w:val="auto"/>
                <w:sz w:val="21"/>
              </w:rPr>
              <w:t>江西省抚州市东乡区孝岗镇龙山北路120号</w:t>
            </w:r>
          </w:p>
        </w:tc>
        <w:tc>
          <w:tcPr>
            <w:tcW w:w="1672" w:type="dxa"/>
            <w:vMerge w:val="restart"/>
            <w:vAlign w:val="center"/>
          </w:tcPr>
          <w:p>
            <w:pPr>
              <w:jc w:val="center"/>
              <w:rPr>
                <w:rFonts w:ascii="宋体"/>
                <w:b/>
                <w:color w:val="auto"/>
                <w:sz w:val="21"/>
              </w:rPr>
            </w:pPr>
            <w:r>
              <w:rPr>
                <w:rFonts w:hint="eastAsia" w:ascii="宋体" w:hAnsi="宋体"/>
                <w:b/>
                <w:color w:val="auto"/>
                <w:sz w:val="21"/>
              </w:rPr>
              <w:t>邮编</w:t>
            </w:r>
          </w:p>
        </w:tc>
        <w:tc>
          <w:tcPr>
            <w:tcW w:w="1500" w:type="dxa"/>
          </w:tcPr>
          <w:p>
            <w:pPr>
              <w:rPr>
                <w:rFonts w:ascii="宋体"/>
                <w:b/>
                <w:color w:val="auto"/>
                <w:sz w:val="21"/>
              </w:rPr>
            </w:pPr>
            <w:bookmarkStart w:id="8" w:name="注册邮编"/>
            <w:r>
              <w:rPr>
                <w:rFonts w:ascii="宋体"/>
                <w:b/>
                <w:color w:val="auto"/>
                <w:sz w:val="21"/>
              </w:rPr>
              <w:t>344000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color w:val="auto"/>
                <w:sz w:val="21"/>
              </w:rPr>
            </w:pPr>
            <w:r>
              <w:rPr>
                <w:rFonts w:hint="eastAsia" w:ascii="宋体"/>
                <w:b/>
                <w:color w:val="auto"/>
                <w:sz w:val="21"/>
              </w:rPr>
              <w:t> 江西省抚州市东乡区孝岗镇龙山北路120号</w:t>
            </w:r>
          </w:p>
        </w:tc>
        <w:tc>
          <w:tcPr>
            <w:tcW w:w="1672" w:type="dxa"/>
            <w:vMerge w:val="continue"/>
            <w:vAlign w:val="center"/>
          </w:tcPr>
          <w:p>
            <w:pPr>
              <w:jc w:val="center"/>
              <w:rPr>
                <w:rFonts w:ascii="宋体"/>
                <w:b/>
                <w:color w:val="auto"/>
                <w:sz w:val="21"/>
              </w:rPr>
            </w:pPr>
          </w:p>
        </w:tc>
        <w:tc>
          <w:tcPr>
            <w:tcW w:w="1500" w:type="dxa"/>
          </w:tcPr>
          <w:p>
            <w:pPr>
              <w:rPr>
                <w:rFonts w:ascii="宋体"/>
                <w:b/>
                <w:color w:val="auto"/>
                <w:sz w:val="21"/>
              </w:rPr>
            </w:pPr>
            <w:bookmarkStart w:id="9" w:name="办公邮编"/>
            <w:r>
              <w:rPr>
                <w:rFonts w:ascii="宋体"/>
                <w:b/>
                <w:color w:val="auto"/>
                <w:sz w:val="21"/>
              </w:rPr>
              <w:t>344000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0" w:name="联系人"/>
            <w:r>
              <w:rPr>
                <w:rFonts w:ascii="宋体"/>
                <w:b/>
                <w:sz w:val="21"/>
              </w:rPr>
              <w:t>黄飞群</w:t>
            </w:r>
            <w:bookmarkEnd w:id="10"/>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1" w:name="联系人电话Add"/>
            <w:r>
              <w:rPr>
                <w:rFonts w:ascii="宋体"/>
                <w:b/>
                <w:sz w:val="21"/>
              </w:rPr>
              <w:t>13979437562</w:t>
            </w:r>
            <w:bookmarkEnd w:id="11"/>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3" w:name="法人"/>
            <w:r>
              <w:rPr>
                <w:rFonts w:ascii="宋体" w:hAnsi="宋体"/>
                <w:b/>
                <w:sz w:val="21"/>
                <w:szCs w:val="21"/>
              </w:rPr>
              <w:t>邓克坚</w:t>
            </w:r>
            <w:bookmarkEnd w:id="13"/>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邓克坚</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4" w:name="管理者代表"/>
            <w:r>
              <w:rPr>
                <w:rFonts w:ascii="宋体"/>
                <w:b/>
                <w:sz w:val="21"/>
              </w:rPr>
              <w:t>李齐昌</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5" w:name="审核日期"/>
            <w:r>
              <w:rPr>
                <w:rFonts w:ascii="宋体" w:hAnsi="宋体"/>
                <w:b/>
                <w:sz w:val="21"/>
                <w:szCs w:val="21"/>
              </w:rPr>
              <w:t>2020年10月25日 上午至2020年10月26日 下午</w:t>
            </w:r>
            <w:bookmarkEnd w:id="15"/>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260" w:lineRule="exact"/>
              <w:jc w:val="left"/>
              <w:rPr>
                <w:rFonts w:hint="eastAsia" w:ascii="宋体" w:hAnsi="宋体"/>
                <w:b/>
                <w:sz w:val="21"/>
                <w:szCs w:val="21"/>
              </w:rPr>
            </w:pPr>
            <w:bookmarkStart w:id="16" w:name="审核范围"/>
            <w:r>
              <w:rPr>
                <w:rFonts w:hint="eastAsia" w:ascii="宋体" w:hAnsi="宋体"/>
                <w:b/>
                <w:sz w:val="21"/>
                <w:szCs w:val="21"/>
                <w:lang w:val="en-US" w:eastAsia="zh-CN"/>
              </w:rPr>
              <w:t>EC</w:t>
            </w:r>
            <w:r>
              <w:rPr>
                <w:rFonts w:hint="eastAsia" w:ascii="宋体" w:hAnsi="宋体"/>
                <w:b/>
                <w:sz w:val="21"/>
                <w:szCs w:val="21"/>
              </w:rPr>
              <w:t>：资质范围内水利水电工程施工总承包、市政公用工程施工总承包</w:t>
            </w:r>
          </w:p>
          <w:p>
            <w:pPr>
              <w:spacing w:line="260" w:lineRule="exact"/>
              <w:jc w:val="left"/>
              <w:rPr>
                <w:rFonts w:hint="eastAsia" w:ascii="宋体" w:hAnsi="宋体"/>
                <w:b/>
                <w:sz w:val="21"/>
                <w:szCs w:val="21"/>
              </w:rPr>
            </w:pPr>
            <w:r>
              <w:rPr>
                <w:rFonts w:hint="eastAsia" w:ascii="宋体" w:hAnsi="宋体"/>
                <w:b/>
                <w:sz w:val="21"/>
                <w:szCs w:val="21"/>
              </w:rPr>
              <w:t>E：资质范围内水利水电工程施工总承包、市政公用工程施工总承包及相关环境管理活动</w:t>
            </w:r>
          </w:p>
          <w:p>
            <w:pPr>
              <w:spacing w:line="260" w:lineRule="exact"/>
              <w:jc w:val="left"/>
              <w:rPr>
                <w:rFonts w:ascii="宋体" w:hAnsi="宋体"/>
                <w:b/>
                <w:sz w:val="21"/>
                <w:szCs w:val="21"/>
              </w:rPr>
            </w:pPr>
            <w:r>
              <w:rPr>
                <w:rFonts w:hint="eastAsia" w:ascii="宋体" w:hAnsi="宋体"/>
                <w:b/>
                <w:sz w:val="21"/>
                <w:szCs w:val="21"/>
              </w:rPr>
              <w:t>O：资质范围内水利水电工程施工总承包、市政公用工程施工总承包及相关职业健康安全管理活动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b/>
                <w:sz w:val="21"/>
                <w:szCs w:val="21"/>
                <w:lang w:val="en-US" w:eastAsia="zh-CN"/>
              </w:rPr>
              <w:t>无</w:t>
            </w:r>
            <w:r>
              <w:rPr>
                <w:rFonts w:ascii="宋体" w:hAnsi="宋体"/>
                <w:b/>
                <w:sz w:val="21"/>
                <w:szCs w:val="21"/>
              </w:rPr>
              <w:t xml:space="preserve"> </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jc w:val="left"/>
              <w:rPr>
                <w:rFonts w:ascii="宋体" w:hAnsi="宋体"/>
                <w:b/>
                <w:sz w:val="21"/>
                <w:szCs w:val="21"/>
              </w:rPr>
            </w:pPr>
            <w:bookmarkStart w:id="17" w:name="专业代码"/>
            <w:r>
              <w:rPr>
                <w:rFonts w:ascii="宋体" w:hAnsi="宋体"/>
                <w:b/>
                <w:sz w:val="21"/>
                <w:szCs w:val="21"/>
              </w:rPr>
              <w:t>Q：28.03.01;28.04.02;28.05.01</w:t>
            </w:r>
          </w:p>
          <w:p>
            <w:pPr>
              <w:spacing w:line="260" w:lineRule="exact"/>
              <w:jc w:val="left"/>
              <w:rPr>
                <w:rFonts w:ascii="宋体" w:hAnsi="宋体"/>
                <w:b/>
                <w:sz w:val="21"/>
                <w:szCs w:val="21"/>
              </w:rPr>
            </w:pPr>
            <w:r>
              <w:rPr>
                <w:rFonts w:ascii="宋体" w:hAnsi="宋体"/>
                <w:b/>
                <w:sz w:val="21"/>
                <w:szCs w:val="21"/>
              </w:rPr>
              <w:t>E：28.03.01;28.04.02;28.05.01</w:t>
            </w:r>
          </w:p>
          <w:p>
            <w:pPr>
              <w:spacing w:line="260" w:lineRule="exact"/>
              <w:jc w:val="left"/>
              <w:rPr>
                <w:rFonts w:ascii="宋体" w:hAnsi="宋体"/>
                <w:b/>
                <w:sz w:val="21"/>
                <w:szCs w:val="21"/>
              </w:rPr>
            </w:pPr>
            <w:r>
              <w:rPr>
                <w:rFonts w:ascii="宋体" w:hAnsi="宋体"/>
                <w:b/>
                <w:sz w:val="21"/>
                <w:szCs w:val="21"/>
              </w:rPr>
              <w:t>O：28.03.01;28.04.02;28.05.01</w:t>
            </w:r>
            <w:bookmarkEnd w:id="17"/>
          </w:p>
        </w:tc>
        <w:tc>
          <w:tcPr>
            <w:tcW w:w="1109" w:type="dxa"/>
            <w:vAlign w:val="center"/>
          </w:tcPr>
          <w:p>
            <w:pPr>
              <w:spacing w:line="260" w:lineRule="exact"/>
              <w:jc w:val="left"/>
              <w:rPr>
                <w:rFonts w:ascii="宋体" w:hAnsi="宋体"/>
                <w:b/>
                <w:sz w:val="21"/>
                <w:szCs w:val="21"/>
              </w:rPr>
            </w:pPr>
            <w:r>
              <w:rPr>
                <w:rFonts w:hint="eastAsia" w:ascii="宋体" w:hAnsi="宋体"/>
                <w:b/>
                <w:sz w:val="21"/>
                <w:szCs w:val="21"/>
              </w:rPr>
              <w:t>证书有</w:t>
            </w:r>
          </w:p>
          <w:p>
            <w:pPr>
              <w:spacing w:line="260" w:lineRule="exact"/>
              <w:jc w:val="left"/>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b/>
                <w:sz w:val="21"/>
                <w:lang w:val="en-US"/>
              </w:rPr>
            </w:pPr>
            <w:r>
              <w:rPr>
                <w:rFonts w:hint="eastAsia" w:asciiTheme="minorEastAsia" w:hAnsiTheme="minorEastAsia" w:eastAsiaTheme="minorEastAsia" w:cstheme="minorEastAsia"/>
                <w:b/>
                <w:color w:val="auto"/>
                <w:sz w:val="21"/>
                <w:szCs w:val="21"/>
                <w:lang w:val="en-US" w:eastAsia="zh-CN"/>
              </w:rPr>
              <w:t>2019年8月5日-12日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hint="default" w:ascii="宋体" w:hAnsi="宋体" w:eastAsia="宋体"/>
          <w:b/>
          <w:sz w:val="21"/>
          <w:szCs w:val="21"/>
          <w:lang w:val="en-US" w:eastAsia="zh-CN"/>
        </w:rPr>
      </w:pPr>
      <w:r>
        <w:rPr>
          <w:rFonts w:hint="eastAsia" w:ascii="宋体" w:hAnsi="宋体"/>
          <w:b/>
          <w:sz w:val="21"/>
          <w:szCs w:val="21"/>
        </w:rPr>
        <w:sym w:font="Wingdings 2" w:char="0052"/>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r>
        <w:rPr>
          <w:rFonts w:hint="eastAsia" w:ascii="宋体" w:hAnsi="宋体"/>
          <w:b/>
          <w:sz w:val="21"/>
          <w:szCs w:val="21"/>
          <w:lang w:eastAsia="zh-CN"/>
        </w:rPr>
        <w:t>：</w:t>
      </w:r>
      <w:r>
        <w:rPr>
          <w:rFonts w:hint="eastAsia" w:ascii="宋体" w:hAnsi="宋体"/>
          <w:b/>
          <w:sz w:val="21"/>
          <w:szCs w:val="21"/>
          <w:lang w:val="en-US" w:eastAsia="zh-CN"/>
        </w:rPr>
        <w:t>见多场所清单</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Times New Roman" w:hAnsi="宋体"/>
                <w:sz w:val="21"/>
                <w:szCs w:val="21"/>
                <w:lang w:eastAsia="zh-CN"/>
              </w:rPr>
            </w:pPr>
            <w:r>
              <w:rPr>
                <w:rFonts w:ascii="Times New Roman" w:hAnsi="宋体"/>
                <w:sz w:val="21"/>
                <w:szCs w:val="21"/>
                <w:lang w:val="zh-CN"/>
              </w:rPr>
              <w:t>基本情况：</w:t>
            </w:r>
            <w:r>
              <w:rPr>
                <w:rFonts w:hint="eastAsia" w:ascii="Times New Roman" w:hAnsi="宋体"/>
                <w:sz w:val="21"/>
                <w:szCs w:val="21"/>
              </w:rPr>
              <w:t>江西宏东建设有限公司</w:t>
            </w:r>
            <w:r>
              <w:rPr>
                <w:rFonts w:ascii="Times New Roman" w:hAnsi="宋体"/>
                <w:sz w:val="21"/>
                <w:szCs w:val="21"/>
              </w:rPr>
              <w:t>，成立于</w:t>
            </w:r>
            <w:r>
              <w:rPr>
                <w:rFonts w:ascii="Times New Roman" w:hAnsi="Times New Roman"/>
                <w:sz w:val="21"/>
                <w:szCs w:val="21"/>
              </w:rPr>
              <w:t>20</w:t>
            </w:r>
            <w:r>
              <w:rPr>
                <w:rFonts w:hint="eastAsia" w:ascii="Times New Roman" w:hAnsi="Times New Roman"/>
                <w:sz w:val="21"/>
                <w:szCs w:val="21"/>
              </w:rPr>
              <w:t>15</w:t>
            </w:r>
            <w:r>
              <w:rPr>
                <w:rFonts w:ascii="Times New Roman" w:hAnsi="宋体"/>
                <w:sz w:val="21"/>
                <w:szCs w:val="21"/>
              </w:rPr>
              <w:t>年</w:t>
            </w:r>
            <w:r>
              <w:rPr>
                <w:rFonts w:hint="eastAsia" w:ascii="Times New Roman" w:hAnsi="Times New Roman"/>
                <w:sz w:val="21"/>
                <w:szCs w:val="21"/>
              </w:rPr>
              <w:t>7</w:t>
            </w:r>
            <w:r>
              <w:rPr>
                <w:rFonts w:ascii="Times New Roman" w:hAnsi="宋体"/>
                <w:sz w:val="21"/>
                <w:szCs w:val="21"/>
              </w:rPr>
              <w:t>月</w:t>
            </w:r>
            <w:r>
              <w:rPr>
                <w:rFonts w:ascii="Times New Roman" w:hAnsi="Times New Roman"/>
                <w:sz w:val="21"/>
                <w:szCs w:val="21"/>
              </w:rPr>
              <w:t>7</w:t>
            </w:r>
            <w:r>
              <w:rPr>
                <w:rFonts w:ascii="Times New Roman" w:hAnsi="宋体"/>
                <w:sz w:val="21"/>
                <w:szCs w:val="21"/>
              </w:rPr>
              <w:t>日，注册资金</w:t>
            </w:r>
            <w:r>
              <w:rPr>
                <w:rFonts w:hint="eastAsia" w:ascii="Times New Roman" w:hAnsi="Times New Roman"/>
                <w:sz w:val="21"/>
                <w:szCs w:val="21"/>
              </w:rPr>
              <w:t>800</w:t>
            </w:r>
            <w:r>
              <w:rPr>
                <w:rFonts w:ascii="Times New Roman" w:hAnsi="宋体"/>
                <w:sz w:val="21"/>
                <w:szCs w:val="21"/>
              </w:rPr>
              <w:t>万元，注册地址：</w:t>
            </w:r>
            <w:r>
              <w:rPr>
                <w:rFonts w:hint="eastAsia" w:ascii="Times New Roman" w:hAnsi="宋体"/>
                <w:sz w:val="21"/>
                <w:szCs w:val="21"/>
              </w:rPr>
              <w:t>江西省抚州市东乡区孝岗镇龙山北路120号</w:t>
            </w:r>
            <w:r>
              <w:rPr>
                <w:rFonts w:ascii="Times New Roman" w:hAnsi="宋体"/>
                <w:sz w:val="21"/>
                <w:szCs w:val="21"/>
              </w:rPr>
              <w:t>，主要从事</w:t>
            </w:r>
            <w:r>
              <w:rPr>
                <w:rFonts w:hint="eastAsia" w:ascii="Times New Roman" w:hAnsi="宋体"/>
                <w:sz w:val="21"/>
                <w:szCs w:val="21"/>
              </w:rPr>
              <w:t>资质范围内水利水电工程施工总承包、市政公用工程施工总承包</w:t>
            </w:r>
            <w:r>
              <w:rPr>
                <w:rFonts w:ascii="Times New Roman" w:hAnsi="宋体"/>
                <w:sz w:val="21"/>
                <w:szCs w:val="21"/>
              </w:rPr>
              <w:t>等业务</w:t>
            </w:r>
            <w:r>
              <w:rPr>
                <w:rFonts w:hint="eastAsia" w:ascii="Times New Roman" w:hAnsi="宋体"/>
                <w:sz w:val="21"/>
                <w:szCs w:val="21"/>
                <w:lang w:eastAsia="zh-CN"/>
              </w:rPr>
              <w:t>。</w:t>
            </w:r>
          </w:p>
          <w:p>
            <w:pPr>
              <w:spacing w:line="320" w:lineRule="exact"/>
              <w:rPr>
                <w:rFonts w:ascii="Times New Roman" w:hAnsi="Times New Roman"/>
                <w:sz w:val="21"/>
                <w:szCs w:val="21"/>
                <w:lang w:val="zh-CN"/>
              </w:rPr>
            </w:pPr>
            <w:r>
              <w:rPr>
                <w:rFonts w:ascii="Times New Roman" w:hAnsi="宋体"/>
                <w:sz w:val="21"/>
                <w:szCs w:val="21"/>
                <w:lang w:val="zh-CN"/>
              </w:rPr>
              <w:t>公司高层通过及时了解国家相关政策、与客户</w:t>
            </w:r>
            <w:r>
              <w:rPr>
                <w:rFonts w:ascii="Times New Roman" w:hAnsi="Times New Roman"/>
                <w:sz w:val="21"/>
                <w:szCs w:val="21"/>
                <w:lang w:val="zh-CN"/>
              </w:rPr>
              <w:t>/</w:t>
            </w:r>
            <w:r>
              <w:rPr>
                <w:rFonts w:ascii="Times New Roman" w:hAnsi="宋体"/>
                <w:sz w:val="21"/>
                <w:szCs w:val="21"/>
                <w:lang w:val="zh-CN"/>
              </w:rPr>
              <w:t>同行业</w:t>
            </w:r>
            <w:r>
              <w:rPr>
                <w:rFonts w:ascii="Times New Roman" w:hAnsi="Times New Roman"/>
                <w:sz w:val="21"/>
                <w:szCs w:val="21"/>
                <w:lang w:val="zh-CN"/>
              </w:rPr>
              <w:t>/</w:t>
            </w:r>
            <w:r>
              <w:rPr>
                <w:rFonts w:ascii="Times New Roman" w:hAnsi="宋体"/>
                <w:sz w:val="21"/>
                <w:szCs w:val="21"/>
                <w:lang w:val="zh-CN"/>
              </w:rPr>
              <w:t>上下游产业的交流等方式认识公司的所处的环境，并制定经营思路。</w:t>
            </w:r>
          </w:p>
          <w:p>
            <w:pPr>
              <w:spacing w:line="320" w:lineRule="exact"/>
              <w:rPr>
                <w:rFonts w:ascii="Times New Roman" w:hAnsi="Times New Roman"/>
                <w:sz w:val="21"/>
                <w:szCs w:val="21"/>
                <w:lang w:val="zh-CN"/>
              </w:rPr>
            </w:pPr>
            <w:r>
              <w:rPr>
                <w:rFonts w:ascii="Times New Roman" w:hAnsi="宋体"/>
                <w:sz w:val="21"/>
                <w:szCs w:val="21"/>
                <w:lang w:val="zh-CN"/>
              </w:rPr>
              <w:t>总经理介绍目前对公司影响较大的是自去年</w:t>
            </w:r>
            <w:r>
              <w:rPr>
                <w:rFonts w:ascii="Times New Roman" w:hAnsi="Times New Roman"/>
                <w:sz w:val="21"/>
                <w:szCs w:val="21"/>
              </w:rPr>
              <w:t>12</w:t>
            </w:r>
            <w:r>
              <w:rPr>
                <w:rFonts w:ascii="Times New Roman" w:hAnsi="宋体"/>
                <w:sz w:val="21"/>
                <w:szCs w:val="21"/>
              </w:rPr>
              <w:t>月份以来新冠肺炎疫情在全国乃至全球的流行各行各业都受到很大的冲击，今年春节过后相应国家政策实行全面停产停工，自今年三月上旬以后才陆续进行了复工，但目前外地人员（主要是劳务人员）还未全员到位，人员匮乏；考虑到疫情影响的今年</w:t>
            </w:r>
            <w:r>
              <w:rPr>
                <w:rFonts w:ascii="Times New Roman" w:hAnsi="宋体"/>
                <w:sz w:val="21"/>
                <w:szCs w:val="21"/>
                <w:lang w:val="zh-CN"/>
              </w:rPr>
              <w:t>国内经济政策环境，可能会工程回款比较慢；同行竞争加剧；原材料、人力成本增加，行业利润会的少、环保监察力度增大在环境和安全方面投入增大等。</w:t>
            </w:r>
          </w:p>
          <w:p>
            <w:pPr>
              <w:spacing w:line="320" w:lineRule="exact"/>
              <w:rPr>
                <w:rFonts w:ascii="Times New Roman" w:hAnsi="Times New Roman"/>
                <w:sz w:val="21"/>
                <w:szCs w:val="21"/>
                <w:lang w:val="zh-CN"/>
              </w:rPr>
            </w:pPr>
            <w:r>
              <w:rPr>
                <w:rFonts w:ascii="Times New Roman" w:hAnsi="宋体"/>
                <w:sz w:val="21"/>
                <w:szCs w:val="21"/>
                <w:lang w:val="zh-CN"/>
              </w:rPr>
              <w:t>另外施工特点为点多、面散，环境、安全问题突出，也是公司施工的风险点，因此全体员工秉承：诚实守信、环境保护、安全第一的管理理念。</w:t>
            </w:r>
            <w:r>
              <w:rPr>
                <w:rFonts w:ascii="Times New Roman" w:hAnsi="Times New Roman"/>
                <w:sz w:val="21"/>
                <w:szCs w:val="21"/>
                <w:lang w:val="zh-CN"/>
              </w:rPr>
              <w:t xml:space="preserve">   </w:t>
            </w:r>
          </w:p>
          <w:p>
            <w:pPr>
              <w:spacing w:line="240" w:lineRule="exact"/>
              <w:rPr>
                <w:rFonts w:hint="eastAsia" w:ascii="Times New Roman" w:hAnsi="宋体"/>
                <w:lang w:eastAsia="zh-CN"/>
              </w:rPr>
            </w:pPr>
            <w:r>
              <w:rPr>
                <w:rFonts w:ascii="Times New Roman" w:hAnsi="宋体"/>
                <w:sz w:val="21"/>
                <w:szCs w:val="21"/>
                <w:lang w:val="zh-CN"/>
              </w:rPr>
              <w:t>应对措施，努力将现有的工程打造成样板工程，提升口碑，以稳定并扩大</w:t>
            </w:r>
            <w:r>
              <w:rPr>
                <w:rFonts w:ascii="Times New Roman" w:hAnsi="宋体"/>
                <w:sz w:val="21"/>
                <w:szCs w:val="21"/>
              </w:rPr>
              <w:t>相关</w:t>
            </w:r>
            <w:r>
              <w:rPr>
                <w:rFonts w:ascii="Times New Roman" w:hAnsi="宋体"/>
                <w:sz w:val="21"/>
                <w:szCs w:val="21"/>
                <w:lang w:val="zh-CN"/>
              </w:rPr>
              <w:t>业务，通过培训增强公司标书的编写能力，增加在投标过程中的中标概率</w:t>
            </w:r>
            <w:r>
              <w:rPr>
                <w:rFonts w:ascii="Times New Roman" w:hAnsi="Times New Roman"/>
                <w:sz w:val="21"/>
                <w:szCs w:val="21"/>
                <w:lang w:val="zh-CN"/>
              </w:rPr>
              <w:t>,</w:t>
            </w:r>
            <w:r>
              <w:rPr>
                <w:rFonts w:ascii="Times New Roman" w:hAnsi="宋体"/>
                <w:sz w:val="21"/>
                <w:szCs w:val="21"/>
                <w:lang w:val="zh-CN"/>
              </w:rPr>
              <w:t>积极组织公司员工进行专业培训，提升员工职业技能，提高工作效率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hint="eastAsia" w:ascii="Times New Roman" w:hAnsi="宋体"/>
                <w:sz w:val="21"/>
                <w:szCs w:val="21"/>
                <w:lang w:val="zh-CN" w:eastAsia="zh-CN"/>
              </w:rPr>
            </w:pPr>
            <w:r>
              <w:rPr>
                <w:rFonts w:hint="eastAsia" w:ascii="Times New Roman" w:hAnsi="宋体"/>
                <w:sz w:val="21"/>
                <w:szCs w:val="21"/>
                <w:lang w:val="zh-CN" w:eastAsia="zh-CN"/>
              </w:rPr>
              <w:t>公司高层通过及时了解国家相关政策、与客户/同行业/上下游产业的交流等方式认识公司的所处的环境，并制定经营思路。</w:t>
            </w:r>
          </w:p>
          <w:p>
            <w:pPr>
              <w:spacing w:line="240" w:lineRule="exact"/>
              <w:rPr>
                <w:rFonts w:hint="eastAsia" w:ascii="Times New Roman" w:hAnsi="宋体"/>
                <w:sz w:val="21"/>
                <w:szCs w:val="21"/>
                <w:lang w:val="zh-CN" w:eastAsia="zh-CN"/>
              </w:rPr>
            </w:pPr>
            <w:r>
              <w:rPr>
                <w:rFonts w:hint="eastAsia" w:ascii="Times New Roman" w:hAnsi="宋体"/>
                <w:sz w:val="21"/>
                <w:szCs w:val="21"/>
                <w:lang w:val="zh-CN" w:eastAsia="zh-CN"/>
              </w:rPr>
              <w:t xml:space="preserve">总经理介绍目前对公司影响较大的是自去年12月份以来新冠肺炎疫情在全国乃至全球的流行各行各业都受到很大的冲击，今年春节过后相应国家政策实行全面停产停工，自今年三月上旬以后才陆续进行了复工。   </w:t>
            </w:r>
          </w:p>
          <w:p>
            <w:pPr>
              <w:spacing w:line="240" w:lineRule="exact"/>
              <w:rPr>
                <w:rFonts w:hint="eastAsia" w:ascii="宋体" w:hAnsi="宋体"/>
                <w:b/>
                <w:sz w:val="21"/>
                <w:szCs w:val="21"/>
              </w:rPr>
            </w:pPr>
            <w:r>
              <w:rPr>
                <w:rFonts w:hint="eastAsia" w:ascii="Times New Roman" w:hAnsi="宋体"/>
                <w:sz w:val="21"/>
                <w:szCs w:val="21"/>
                <w:lang w:val="zh-CN" w:eastAsia="zh-CN"/>
              </w:rPr>
              <w:t>应对措施，努力将现有的工程打造成样板工程，提升口碑，以稳定并扩大相关业务，通过培训增强公司标书的编写能力，增加在投标过程中的中标概率,积极组织公司员工进行专业培训，提升员工职业技能，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环境</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40" w:lineRule="exact"/>
              <w:rPr>
                <w:rFonts w:hint="eastAsia" w:ascii="Times New Roman" w:hAnsi="宋体"/>
                <w:sz w:val="21"/>
                <w:szCs w:val="21"/>
                <w:lang w:val="zh-CN" w:eastAsia="zh-CN"/>
              </w:rPr>
            </w:pPr>
            <w:r>
              <w:rPr>
                <w:rFonts w:ascii="Times New Roman" w:hAnsi="Times New Roman"/>
              </w:rPr>
              <w:t>1</w:t>
            </w:r>
            <w:r>
              <w:rPr>
                <w:rFonts w:hint="eastAsia" w:ascii="Times New Roman" w:hAnsi="宋体"/>
                <w:sz w:val="21"/>
                <w:szCs w:val="21"/>
                <w:lang w:val="zh-CN" w:eastAsia="zh-CN"/>
              </w:rPr>
              <w:t>.管理方针：遵守国家法律，重视环境保护，确保施工安全，争创优质工程，深化企业管理，力求持续发展。.</w:t>
            </w:r>
          </w:p>
          <w:p>
            <w:pPr>
              <w:spacing w:line="240" w:lineRule="exact"/>
              <w:rPr>
                <w:rFonts w:hint="eastAsia" w:ascii="Times New Roman" w:hAnsi="宋体"/>
                <w:sz w:val="21"/>
                <w:szCs w:val="21"/>
                <w:lang w:val="zh-CN" w:eastAsia="zh-CN"/>
              </w:rPr>
            </w:pPr>
            <w:r>
              <w:rPr>
                <w:rFonts w:hint="eastAsia" w:ascii="Times New Roman" w:hAnsi="宋体"/>
                <w:sz w:val="21"/>
                <w:szCs w:val="21"/>
                <w:lang w:val="zh-CN" w:eastAsia="zh-CN"/>
              </w:rPr>
              <w:t>2. 管理方针与企业的经营宗旨相适应，协调；</w:t>
            </w:r>
          </w:p>
          <w:p>
            <w:pPr>
              <w:spacing w:line="240" w:lineRule="exact"/>
              <w:rPr>
                <w:rFonts w:hint="eastAsia" w:ascii="宋体" w:hAnsi="宋体"/>
                <w:b/>
                <w:sz w:val="21"/>
                <w:szCs w:val="21"/>
              </w:rPr>
            </w:pPr>
            <w:r>
              <w:rPr>
                <w:rFonts w:hint="eastAsia" w:ascii="Times New Roman" w:hAnsi="宋体"/>
                <w:sz w:val="21"/>
                <w:szCs w:val="21"/>
                <w:lang w:val="zh-CN" w:eastAsia="zh-CN"/>
              </w:rPr>
              <w:t>3. 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spacing w:line="240" w:lineRule="exact"/>
              <w:ind w:firstLine="420" w:firstLineChars="200"/>
              <w:rPr>
                <w:rFonts w:hint="eastAsia" w:ascii="Times New Roman" w:hAnsi="宋体"/>
                <w:sz w:val="21"/>
                <w:szCs w:val="21"/>
                <w:lang w:val="zh-CN" w:eastAsia="zh-CN"/>
              </w:rPr>
            </w:pPr>
            <w:r>
              <w:rPr>
                <w:rFonts w:hint="eastAsia" w:ascii="Times New Roman" w:hAnsi="宋体"/>
                <w:sz w:val="21"/>
                <w:szCs w:val="21"/>
                <w:lang w:val="zh-CN" w:eastAsia="zh-CN"/>
              </w:rPr>
              <w:t>查《风险管理控制程序》规定风险的识别、分析、评价和控制的过程和方法，以保证风险管理的有效性，从而确保质量管理体系能够实现其期望的结果；增强有利影响；避免或减少不利影响；实现改进。</w:t>
            </w:r>
          </w:p>
          <w:p>
            <w:pPr>
              <w:spacing w:line="240" w:lineRule="exact"/>
              <w:rPr>
                <w:rFonts w:hint="eastAsia" w:ascii="Times New Roman" w:hAnsi="宋体"/>
                <w:sz w:val="21"/>
                <w:szCs w:val="21"/>
                <w:lang w:val="zh-CN" w:eastAsia="zh-CN"/>
              </w:rPr>
            </w:pPr>
            <w:r>
              <w:rPr>
                <w:rFonts w:hint="eastAsia" w:ascii="Times New Roman" w:hAnsi="宋体"/>
                <w:sz w:val="21"/>
                <w:szCs w:val="21"/>
                <w:lang w:val="zh-CN" w:eastAsia="zh-CN"/>
              </w:rPr>
              <w:t>邓总介绍：在策划管理体系时，领导层考虑了公司运行QEO（J）标准所处的环境，包括上述4.1识别的内外部环境。手册里有对风险和机遇应对控制的要求。</w:t>
            </w:r>
          </w:p>
          <w:p>
            <w:pPr>
              <w:spacing w:line="240" w:lineRule="exact"/>
              <w:rPr>
                <w:rFonts w:hint="eastAsia" w:ascii="宋体" w:hAnsi="宋体"/>
                <w:b/>
                <w:sz w:val="21"/>
                <w:szCs w:val="21"/>
              </w:rPr>
            </w:pPr>
            <w:r>
              <w:rPr>
                <w:rFonts w:hint="eastAsia" w:ascii="Times New Roman" w:hAnsi="宋体"/>
                <w:sz w:val="21"/>
                <w:szCs w:val="21"/>
                <w:lang w:val="zh-CN" w:eastAsia="zh-CN"/>
              </w:rPr>
              <w:t>现在已开工的工地，制定有“疫情防控工作方案”对风险识别和采取的措施可应用在实际的体系运行中。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sym w:font="Wingdings 2" w:char="0052"/>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hint="eastAsia" w:ascii="宋体" w:hAnsi="宋体"/>
                <w:b/>
                <w:color w:val="auto"/>
                <w:sz w:val="21"/>
                <w:szCs w:val="21"/>
              </w:rPr>
            </w:pPr>
            <w:r>
              <w:rPr>
                <w:rFonts w:hint="eastAsia" w:ascii="宋体" w:hAnsi="宋体"/>
                <w:b/>
                <w:sz w:val="21"/>
                <w:szCs w:val="21"/>
              </w:rPr>
              <w:t>质量管理</w:t>
            </w:r>
            <w:r>
              <w:rPr>
                <w:rFonts w:hint="eastAsia" w:ascii="宋体" w:hAnsi="宋体"/>
                <w:b/>
                <w:color w:val="auto"/>
                <w:sz w:val="21"/>
                <w:szCs w:val="21"/>
              </w:rPr>
              <w:t>体系过程有：</w:t>
            </w:r>
          </w:p>
          <w:p>
            <w:pPr>
              <w:pStyle w:val="2"/>
              <w:spacing w:line="360" w:lineRule="auto"/>
              <w:rPr>
                <w:rFonts w:hint="eastAsia" w:eastAsia="宋体"/>
                <w:color w:val="auto"/>
                <w:sz w:val="21"/>
                <w:szCs w:val="21"/>
                <w:highlight w:val="none"/>
                <w:lang w:eastAsia="zh-CN"/>
              </w:rPr>
            </w:pPr>
            <w:r>
              <w:rPr>
                <w:rFonts w:hint="eastAsia"/>
                <w:color w:val="auto"/>
                <w:sz w:val="21"/>
                <w:szCs w:val="21"/>
                <w:highlight w:val="none"/>
              </w:rPr>
              <w:t>水利水电工程施工流程</w:t>
            </w:r>
            <w:r>
              <w:rPr>
                <w:rFonts w:hint="eastAsia"/>
                <w:color w:val="auto"/>
                <w:sz w:val="21"/>
                <w:szCs w:val="21"/>
                <w:highlight w:val="none"/>
                <w:lang w:eastAsia="zh-CN"/>
              </w:rPr>
              <w:t>：</w:t>
            </w:r>
          </w:p>
          <w:p>
            <w:pPr>
              <w:pStyle w:val="2"/>
              <w:spacing w:line="360" w:lineRule="auto"/>
              <w:ind w:firstLine="460" w:firstLineChars="200"/>
              <w:rPr>
                <w:sz w:val="21"/>
                <w:szCs w:val="21"/>
              </w:rPr>
            </w:pPr>
            <w:r>
              <w:rPr>
                <w:rFonts w:hint="eastAsia"/>
                <w:sz w:val="21"/>
                <w:szCs w:val="21"/>
                <w:highlight w:val="none"/>
              </w:rPr>
              <w:t>测量放线</w:t>
            </w:r>
            <w:r>
              <w:rPr>
                <w:rFonts w:hint="eastAsia" w:ascii="宋体" w:hAnsi="宋体" w:eastAsia="宋体" w:cs="宋体"/>
                <w:b w:val="0"/>
                <w:bCs/>
                <w:color w:val="auto"/>
                <w:sz w:val="21"/>
                <w:szCs w:val="21"/>
                <w:highlight w:val="none"/>
              </w:rPr>
              <w:t>→</w:t>
            </w:r>
            <w:r>
              <w:rPr>
                <w:rFonts w:hint="eastAsia"/>
                <w:sz w:val="21"/>
                <w:szCs w:val="21"/>
                <w:highlight w:val="none"/>
              </w:rPr>
              <w:t>土方开挖回填</w:t>
            </w:r>
            <w:r>
              <w:rPr>
                <w:rFonts w:hint="eastAsia" w:ascii="宋体" w:hAnsi="宋体" w:eastAsia="宋体" w:cs="宋体"/>
                <w:b w:val="0"/>
                <w:bCs/>
                <w:color w:val="auto"/>
                <w:sz w:val="21"/>
                <w:szCs w:val="21"/>
                <w:highlight w:val="none"/>
              </w:rPr>
              <w:t>→</w:t>
            </w:r>
            <w:r>
              <w:rPr>
                <w:rFonts w:hint="eastAsia"/>
                <w:sz w:val="21"/>
                <w:szCs w:val="21"/>
                <w:highlight w:val="none"/>
              </w:rPr>
              <w:t>清淤</w:t>
            </w:r>
            <w:r>
              <w:rPr>
                <w:rFonts w:hint="eastAsia" w:ascii="宋体" w:hAnsi="宋体" w:eastAsia="宋体" w:cs="宋体"/>
                <w:b w:val="0"/>
                <w:bCs/>
                <w:color w:val="auto"/>
                <w:sz w:val="21"/>
                <w:szCs w:val="21"/>
                <w:highlight w:val="none"/>
              </w:rPr>
              <w:t>→</w:t>
            </w:r>
            <w:r>
              <w:rPr>
                <w:rFonts w:hint="eastAsia"/>
                <w:sz w:val="21"/>
                <w:szCs w:val="21"/>
                <w:highlight w:val="none"/>
              </w:rPr>
              <w:t>砂石垫层</w:t>
            </w:r>
            <w:r>
              <w:rPr>
                <w:rFonts w:hint="eastAsia" w:ascii="宋体" w:hAnsi="宋体" w:eastAsia="宋体" w:cs="宋体"/>
                <w:b w:val="0"/>
                <w:bCs/>
                <w:color w:val="auto"/>
                <w:sz w:val="21"/>
                <w:szCs w:val="21"/>
                <w:highlight w:val="none"/>
              </w:rPr>
              <w:t>→</w:t>
            </w:r>
            <w:r>
              <w:rPr>
                <w:rFonts w:hint="eastAsia"/>
                <w:sz w:val="21"/>
                <w:szCs w:val="21"/>
                <w:highlight w:val="none"/>
              </w:rPr>
              <w:t>砼预制块护坡</w:t>
            </w:r>
            <w:r>
              <w:rPr>
                <w:rFonts w:hint="eastAsia" w:ascii="宋体" w:hAnsi="宋体" w:eastAsia="宋体" w:cs="宋体"/>
                <w:b w:val="0"/>
                <w:bCs/>
                <w:color w:val="auto"/>
                <w:sz w:val="21"/>
                <w:szCs w:val="21"/>
                <w:highlight w:val="none"/>
              </w:rPr>
              <w:t>→</w:t>
            </w:r>
            <w:r>
              <w:rPr>
                <w:rFonts w:hint="eastAsia"/>
                <w:sz w:val="21"/>
                <w:szCs w:val="21"/>
                <w:highlight w:val="none"/>
              </w:rPr>
              <w:t>沥青填缝</w:t>
            </w:r>
            <w:r>
              <w:rPr>
                <w:rFonts w:hint="eastAsia" w:ascii="宋体" w:hAnsi="宋体" w:eastAsia="宋体" w:cs="宋体"/>
                <w:b w:val="0"/>
                <w:bCs/>
                <w:color w:val="auto"/>
                <w:sz w:val="21"/>
                <w:szCs w:val="21"/>
                <w:highlight w:val="none"/>
              </w:rPr>
              <w:t>→</w:t>
            </w:r>
            <w:r>
              <w:rPr>
                <w:rFonts w:hint="eastAsia"/>
                <w:sz w:val="21"/>
                <w:szCs w:val="21"/>
                <w:highlight w:val="none"/>
              </w:rPr>
              <w:t>竣工交验</w:t>
            </w:r>
          </w:p>
          <w:p>
            <w:pPr>
              <w:pStyle w:val="2"/>
              <w:spacing w:line="360" w:lineRule="auto"/>
              <w:rPr>
                <w:rFonts w:hint="eastAsia"/>
                <w:sz w:val="21"/>
                <w:szCs w:val="21"/>
                <w:lang w:val="en-US" w:eastAsia="zh-CN"/>
              </w:rPr>
            </w:pPr>
            <w:r>
              <w:rPr>
                <w:rFonts w:hint="eastAsia"/>
                <w:sz w:val="21"/>
                <w:szCs w:val="21"/>
                <w:lang w:val="en-US" w:eastAsia="zh-CN"/>
              </w:rPr>
              <w:t>市政施工工艺流程：</w:t>
            </w:r>
          </w:p>
          <w:p>
            <w:pPr>
              <w:spacing w:line="360" w:lineRule="auto"/>
              <w:ind w:firstLine="420" w:firstLineChars="200"/>
              <w:rPr>
                <w:rFonts w:hint="default"/>
                <w:sz w:val="21"/>
                <w:szCs w:val="21"/>
                <w:lang w:val="en-US" w:eastAsia="zh-CN"/>
              </w:rPr>
            </w:pPr>
            <w:r>
              <w:rPr>
                <w:rFonts w:hint="eastAsia" w:ascii="宋体" w:hAnsi="宋体" w:eastAsia="宋体" w:cs="宋体"/>
                <w:b w:val="0"/>
                <w:bCs/>
                <w:sz w:val="21"/>
                <w:szCs w:val="21"/>
              </w:rPr>
              <w:t>土石方开挖</w:t>
            </w:r>
            <w:r>
              <w:rPr>
                <w:rFonts w:hint="eastAsia" w:ascii="宋体" w:hAnsi="宋体" w:eastAsia="宋体" w:cs="宋体"/>
                <w:b w:val="0"/>
                <w:bCs/>
                <w:color w:val="auto"/>
                <w:sz w:val="21"/>
                <w:szCs w:val="21"/>
                <w:highlight w:val="none"/>
              </w:rPr>
              <w:t>→</w:t>
            </w:r>
            <w:r>
              <w:rPr>
                <w:rFonts w:hint="eastAsia" w:ascii="宋体" w:hAnsi="宋体" w:eastAsia="宋体" w:cs="宋体"/>
                <w:b w:val="0"/>
                <w:bCs/>
                <w:sz w:val="21"/>
                <w:szCs w:val="21"/>
              </w:rPr>
              <w:t>土方开挖施工</w:t>
            </w:r>
            <w:r>
              <w:rPr>
                <w:rFonts w:hint="eastAsia" w:ascii="宋体" w:hAnsi="宋体" w:eastAsia="宋体" w:cs="宋体"/>
                <w:b w:val="0"/>
                <w:bCs/>
                <w:color w:val="auto"/>
                <w:sz w:val="21"/>
                <w:szCs w:val="21"/>
                <w:highlight w:val="none"/>
              </w:rPr>
              <w:t>→</w:t>
            </w:r>
            <w:r>
              <w:rPr>
                <w:rFonts w:hint="eastAsia" w:ascii="宋体" w:hAnsi="宋体" w:eastAsia="宋体" w:cs="宋体"/>
                <w:b w:val="0"/>
                <w:bCs/>
                <w:sz w:val="21"/>
                <w:szCs w:val="21"/>
              </w:rPr>
              <w:t>浆砌石体、干砌石体、T型槽砌筑</w:t>
            </w:r>
            <w:r>
              <w:rPr>
                <w:rFonts w:hint="eastAsia" w:ascii="宋体" w:hAnsi="宋体" w:eastAsia="宋体" w:cs="宋体"/>
                <w:b w:val="0"/>
                <w:bCs/>
                <w:color w:val="auto"/>
                <w:sz w:val="21"/>
                <w:szCs w:val="21"/>
                <w:highlight w:val="none"/>
              </w:rPr>
              <w:t>→</w:t>
            </w:r>
            <w:r>
              <w:rPr>
                <w:rFonts w:hint="eastAsia" w:ascii="宋体" w:hAnsi="宋体" w:eastAsia="宋体" w:cs="宋体"/>
                <w:b w:val="0"/>
                <w:bCs/>
                <w:sz w:val="21"/>
                <w:szCs w:val="21"/>
              </w:rPr>
              <w:t xml:space="preserve"> 砼及钢筋砼浇筑</w:t>
            </w:r>
            <w:r>
              <w:rPr>
                <w:rFonts w:hint="eastAsia" w:ascii="宋体" w:hAnsi="宋体" w:eastAsia="宋体" w:cs="宋体"/>
                <w:b w:val="0"/>
                <w:bCs/>
                <w:color w:val="auto"/>
                <w:sz w:val="21"/>
                <w:szCs w:val="21"/>
                <w:highlight w:val="none"/>
              </w:rPr>
              <w:t>→</w:t>
            </w:r>
            <w:r>
              <w:rPr>
                <w:rFonts w:hint="eastAsia" w:ascii="宋体" w:hAnsi="宋体"/>
                <w:sz w:val="21"/>
                <w:szCs w:val="21"/>
              </w:rPr>
              <w:t>砂卵石垫层</w:t>
            </w:r>
            <w:r>
              <w:rPr>
                <w:rFonts w:hint="eastAsia" w:ascii="宋体" w:hAnsi="宋体" w:eastAsia="宋体" w:cs="宋体"/>
                <w:b w:val="0"/>
                <w:bCs/>
                <w:color w:val="auto"/>
                <w:sz w:val="21"/>
                <w:szCs w:val="21"/>
                <w:highlight w:val="none"/>
              </w:rPr>
              <w:t>→</w:t>
            </w:r>
            <w:r>
              <w:rPr>
                <w:rFonts w:hint="eastAsia" w:ascii="宋体" w:hAnsi="宋体"/>
                <w:sz w:val="21"/>
                <w:szCs w:val="21"/>
              </w:rPr>
              <w:t>土方回填</w:t>
            </w:r>
            <w:r>
              <w:rPr>
                <w:rFonts w:hint="eastAsia" w:ascii="宋体" w:hAnsi="宋体" w:eastAsia="宋体" w:cs="宋体"/>
                <w:b w:val="0"/>
                <w:bCs/>
                <w:sz w:val="21"/>
                <w:szCs w:val="21"/>
              </w:rPr>
              <w:t xml:space="preserve"> </w:t>
            </w:r>
            <w:r>
              <w:rPr>
                <w:rFonts w:hint="eastAsia"/>
                <w:color w:val="auto"/>
                <w:sz w:val="21"/>
                <w:szCs w:val="21"/>
                <w:highlight w:val="none"/>
              </w:rPr>
              <w:t>。</w:t>
            </w:r>
          </w:p>
          <w:p>
            <w:pPr>
              <w:spacing w:line="360" w:lineRule="auto"/>
              <w:rPr>
                <w:rFonts w:hint="default" w:eastAsia="宋体"/>
                <w:sz w:val="21"/>
                <w:szCs w:val="21"/>
                <w:highlight w:val="none"/>
                <w:lang w:val="en-US" w:eastAsia="zh-CN"/>
              </w:rPr>
            </w:pPr>
            <w:r>
              <w:rPr>
                <w:rFonts w:hint="eastAsia"/>
                <w:sz w:val="21"/>
                <w:szCs w:val="21"/>
                <w:highlight w:val="none"/>
              </w:rPr>
              <w:t>确认过程：</w:t>
            </w:r>
            <w:r>
              <w:rPr>
                <w:rFonts w:hint="eastAsia" w:ascii="宋体" w:hAnsi="宋体" w:eastAsia="宋体" w:cs="宋体"/>
                <w:b w:val="0"/>
                <w:bCs/>
                <w:sz w:val="21"/>
                <w:szCs w:val="21"/>
              </w:rPr>
              <w:t>砼浇筑</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土方开挖、隐蔽工程等</w:t>
            </w:r>
          </w:p>
          <w:p>
            <w:pPr>
              <w:spacing w:line="360" w:lineRule="auto"/>
              <w:rPr>
                <w:rFonts w:hint="eastAsia"/>
                <w:sz w:val="21"/>
                <w:szCs w:val="21"/>
                <w:highlight w:val="none"/>
              </w:rPr>
            </w:pPr>
            <w:r>
              <w:rPr>
                <w:rFonts w:hint="eastAsia"/>
                <w:sz w:val="21"/>
                <w:szCs w:val="21"/>
                <w:highlight w:val="none"/>
              </w:rPr>
              <w:t>管控措施：施工方案、技术措施</w:t>
            </w:r>
          </w:p>
          <w:p>
            <w:pPr>
              <w:spacing w:line="360" w:lineRule="auto"/>
              <w:rPr>
                <w:rFonts w:hint="eastAsia"/>
                <w:sz w:val="21"/>
                <w:szCs w:val="21"/>
                <w:highlight w:val="none"/>
              </w:rPr>
            </w:pPr>
            <w:r>
              <w:rPr>
                <w:rFonts w:hint="eastAsia"/>
                <w:sz w:val="21"/>
                <w:szCs w:val="21"/>
                <w:highlight w:val="none"/>
              </w:rPr>
              <w:t>外包过程：无</w:t>
            </w:r>
          </w:p>
          <w:p>
            <w:pPr>
              <w:pStyle w:val="2"/>
              <w:rPr>
                <w:rFonts w:ascii="宋体" w:hAnsi="宋体"/>
                <w:b/>
                <w:sz w:val="21"/>
                <w:szCs w:val="21"/>
              </w:rPr>
            </w:pPr>
            <w:r>
              <w:rPr>
                <w:rFonts w:hint="eastAsia" w:ascii="宋体" w:hAnsi="宋体" w:eastAsia="宋体" w:cs="宋体"/>
                <w:sz w:val="21"/>
                <w:szCs w:val="21"/>
                <w:u w:val="single"/>
              </w:rPr>
              <w:t>不适用条款识别，不适用条款为8.3</w:t>
            </w:r>
            <w:r>
              <w:rPr>
                <w:rFonts w:hint="eastAsia" w:ascii="宋体" w:hAnsi="宋体" w:eastAsia="宋体" w:cs="宋体"/>
                <w:sz w:val="21"/>
                <w:szCs w:val="21"/>
              </w:rPr>
              <w:t>，</w:t>
            </w:r>
            <w:r>
              <w:rPr>
                <w:rFonts w:hint="eastAsia" w:ascii="宋体" w:hAnsi="宋体" w:eastAsia="宋体" w:cs="宋体"/>
                <w:bCs/>
                <w:sz w:val="21"/>
                <w:szCs w:val="21"/>
              </w:rPr>
              <w:t>说明:</w:t>
            </w:r>
            <w:r>
              <w:rPr>
                <w:rFonts w:hint="eastAsia" w:ascii="宋体" w:hAnsi="宋体" w:eastAsia="宋体" w:cs="宋体"/>
                <w:sz w:val="21"/>
                <w:szCs w:val="21"/>
              </w:rPr>
              <w:t>公司所承建的工程项目，工程设计阶段均是由建设单位委托设计单位承担，所以本手册对GB/T19001-2016标准8.3条款和GB/T50430-2017规范10.3条款的要求予以删减。该删减既不影响公司提供满足行业标准和客户要求的工程项目，也不减少公司满足法律和法规要求的责任（在建筑施工前有对图纸进行会审及建筑施工过程中提出设计更改的权利与义务）</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6. </w:t>
            </w:r>
            <w:r>
              <w:rPr>
                <w:rFonts w:hint="eastAsia" w:asciiTheme="minorEastAsia" w:hAnsiTheme="minorEastAsia" w:eastAsiaTheme="minorEastAsia" w:cstheme="minorEastAsia"/>
                <w:b/>
                <w:sz w:val="21"/>
                <w:szCs w:val="21"/>
              </w:rPr>
              <w:sym w:font="Wingdings 2" w:char="0052"/>
            </w:r>
            <w:r>
              <w:rPr>
                <w:rFonts w:hint="eastAsia" w:asciiTheme="minorEastAsia" w:hAnsiTheme="minorEastAsia" w:eastAsiaTheme="minorEastAsia" w:cstheme="minorEastAsia"/>
                <w:b/>
                <w:sz w:val="21"/>
                <w:szCs w:val="21"/>
              </w:rPr>
              <w:t>EMS环境因素</w:t>
            </w:r>
          </w:p>
          <w:p>
            <w:pPr>
              <w:spacing w:line="3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rPr>
              <w:t>提供有《环境因素识别与评价控制程序》，内容包括环境因的识别、评价、汇总；重要环境因素的控制。识别环境因素：土方开挖、场地平整、</w:t>
            </w:r>
            <w:r>
              <w:rPr>
                <w:rFonts w:hint="eastAsia" w:asciiTheme="minorEastAsia" w:hAnsiTheme="minorEastAsia" w:eastAsiaTheme="minorEastAsia" w:cstheme="minorEastAsia"/>
                <w:sz w:val="21"/>
                <w:szCs w:val="21"/>
                <w:lang w:val="en-US" w:eastAsia="zh-CN"/>
              </w:rPr>
              <w:t>管道安装</w:t>
            </w:r>
            <w:r>
              <w:rPr>
                <w:rFonts w:hint="eastAsia" w:asciiTheme="minorEastAsia" w:hAnsiTheme="minorEastAsia" w:eastAsiaTheme="minorEastAsia" w:cstheme="minorEastAsia"/>
                <w:sz w:val="21"/>
                <w:szCs w:val="21"/>
              </w:rPr>
              <w:t>等产生的建筑固废废水排放、粉尘、油漆的挥发、机械切割产生噪声、能源资源的消耗</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；评价重要环境因素有以下：1）火灾、爆炸的发生；2）电消耗；3）固废（含危险固废）的排放；4）粉尘排放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5）噪音，</w:t>
            </w:r>
            <w:r>
              <w:rPr>
                <w:rFonts w:hint="eastAsia" w:asciiTheme="minorEastAsia" w:hAnsiTheme="minorEastAsia" w:eastAsiaTheme="minorEastAsia" w:cstheme="minorEastAsia"/>
                <w:sz w:val="21"/>
                <w:szCs w:val="21"/>
              </w:rPr>
              <w:t>对于识别出的重要环境因素，遵守公司制定管理方案，详察看</w:t>
            </w:r>
            <w:r>
              <w:rPr>
                <w:rFonts w:hint="eastAsia" w:asciiTheme="minorEastAsia" w:hAnsiTheme="minorEastAsia" w:eastAsiaTheme="minorEastAsia" w:cstheme="minorEastAsia"/>
                <w:sz w:val="21"/>
                <w:szCs w:val="21"/>
                <w:lang w:val="en-US" w:eastAsia="zh-CN"/>
              </w:rPr>
              <w:t>综合</w:t>
            </w:r>
            <w:r>
              <w:rPr>
                <w:rFonts w:hint="eastAsia" w:asciiTheme="minorEastAsia" w:hAnsiTheme="minorEastAsia" w:eastAsiaTheme="minorEastAsia" w:cstheme="minorEastAsia"/>
                <w:sz w:val="21"/>
                <w:szCs w:val="21"/>
              </w:rPr>
              <w:t>部</w:t>
            </w:r>
            <w:r>
              <w:rPr>
                <w:rFonts w:hint="eastAsia" w:asciiTheme="minorEastAsia" w:hAnsiTheme="minorEastAsia" w:eastAsiaTheme="minorEastAsia" w:cstheme="minorEastAsia"/>
                <w:sz w:val="21"/>
                <w:szCs w:val="21"/>
                <w:lang w:val="en-US" w:eastAsia="zh-CN"/>
              </w:rPr>
              <w:t>环境因素识别、评价</w:t>
            </w:r>
            <w:r>
              <w:rPr>
                <w:rFonts w:hint="eastAsia" w:asciiTheme="minorEastAsia" w:hAnsiTheme="minorEastAsia" w:eastAsiaTheme="minorEastAsia" w:cstheme="minorEastAsia"/>
                <w:sz w:val="21"/>
                <w:szCs w:val="21"/>
              </w:rPr>
              <w:t>。 评价准确。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7. </w:t>
            </w:r>
            <w:r>
              <w:rPr>
                <w:rFonts w:hint="eastAsia" w:asciiTheme="minorEastAsia" w:hAnsiTheme="minorEastAsia" w:eastAsiaTheme="minorEastAsia" w:cstheme="minorEastAsia"/>
                <w:b/>
                <w:sz w:val="21"/>
                <w:szCs w:val="21"/>
              </w:rPr>
              <w:sym w:font="Wingdings 2" w:char="0052"/>
            </w:r>
            <w:r>
              <w:rPr>
                <w:rFonts w:hint="eastAsia" w:asciiTheme="minorEastAsia" w:hAnsiTheme="minorEastAsia" w:eastAsiaTheme="minorEastAsia" w:cstheme="minorEastAsia"/>
                <w:b/>
                <w:sz w:val="21"/>
                <w:szCs w:val="21"/>
              </w:rPr>
              <w:t>OHSMS职业健康安全危险源</w:t>
            </w:r>
          </w:p>
          <w:p>
            <w:pPr>
              <w:spacing w:line="24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（职业健康安全危险源辨识是否充分、风险评价合理性，以及风险评价动态变更的及时性等）</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公司的《危险源辨识与风险评价管理程序》，规定了危险源识别方法、评价准则和控制方法。</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rPr>
              <w:t>由综合部组织进行了危险源识别评价，重大危险源：火灾事故的发生、触电、噪声伤害、中暑、溺水、坍塌、意外伤害、物体打击、高空坠落机械/车辆伤害等，评价准确。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rPr>
              <w:sym w:font="Wingdings 2" w:char="0052"/>
            </w:r>
            <w:r>
              <w:rPr>
                <w:rFonts w:hint="eastAsia" w:ascii="宋体" w:hAnsi="宋体"/>
                <w:b/>
                <w:szCs w:val="21"/>
              </w:rPr>
              <w:t>环境因素</w:t>
            </w:r>
            <w:r>
              <w:rPr>
                <w:rFonts w:hint="eastAsia" w:ascii="宋体" w:hAnsi="宋体"/>
                <w:b/>
                <w:szCs w:val="21"/>
              </w:rPr>
              <w:sym w:font="Wingdings 2" w:char="0052"/>
            </w:r>
            <w:r>
              <w:rPr>
                <w:rFonts w:hint="eastAsia" w:ascii="宋体" w:hAnsi="宋体"/>
                <w:b/>
                <w:szCs w:val="21"/>
              </w:rPr>
              <w:t>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法律法规的宣传方式：通过培训、开会、发文件等形式将法律法规要求传达</w:t>
            </w:r>
            <w:r>
              <w:rPr>
                <w:rFonts w:hint="eastAsia" w:ascii="宋体" w:hAnsi="宋体"/>
                <w:b/>
                <w:szCs w:val="21"/>
                <w:lang w:eastAsia="zh-CN"/>
              </w:rPr>
              <w:t>。</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val="0"/>
                <w:bCs/>
                <w:color w:val="auto"/>
                <w:sz w:val="21"/>
                <w:szCs w:val="21"/>
              </w:rPr>
            </w:pPr>
            <w:r>
              <w:rPr>
                <w:rFonts w:ascii="宋体" w:hAnsi="宋体"/>
                <w:b/>
                <w:sz w:val="21"/>
                <w:szCs w:val="21"/>
              </w:rPr>
              <w:t xml:space="preserve">5. </w:t>
            </w:r>
            <w:r>
              <w:rPr>
                <w:rFonts w:hint="eastAsia" w:ascii="宋体" w:hAnsi="宋体"/>
                <w:b w:val="0"/>
                <w:bCs/>
                <w:color w:val="auto"/>
                <w:sz w:val="21"/>
                <w:szCs w:val="21"/>
              </w:rPr>
              <w:t>目标、方案</w:t>
            </w:r>
          </w:p>
          <w:p>
            <w:pPr>
              <w:spacing w:line="300" w:lineRule="exact"/>
              <w:rPr>
                <w:rFonts w:ascii="宋体" w:hAnsi="宋体"/>
                <w:b w:val="0"/>
                <w:bCs/>
                <w:color w:val="auto"/>
                <w:sz w:val="21"/>
                <w:szCs w:val="21"/>
              </w:rPr>
            </w:pPr>
          </w:p>
          <w:p>
            <w:pPr>
              <w:spacing w:line="240" w:lineRule="exact"/>
              <w:rPr>
                <w:rFonts w:hint="eastAsia" w:ascii="宋体" w:hAnsi="宋体"/>
                <w:b w:val="0"/>
                <w:bCs/>
                <w:color w:val="auto"/>
                <w:sz w:val="21"/>
                <w:szCs w:val="21"/>
              </w:rPr>
            </w:pPr>
            <w:r>
              <w:rPr>
                <w:rFonts w:hint="eastAsia" w:ascii="宋体" w:hAnsi="宋体"/>
                <w:b w:val="0"/>
                <w:bCs/>
                <w:color w:val="auto"/>
                <w:sz w:val="21"/>
                <w:szCs w:val="21"/>
              </w:rPr>
              <w:t xml:space="preserve">单项工程一次交验合格率100% </w:t>
            </w:r>
          </w:p>
          <w:p>
            <w:pPr>
              <w:spacing w:line="240" w:lineRule="exact"/>
              <w:rPr>
                <w:rFonts w:hint="eastAsia" w:ascii="宋体" w:hAnsi="宋体"/>
                <w:b w:val="0"/>
                <w:bCs/>
                <w:color w:val="auto"/>
                <w:sz w:val="21"/>
                <w:szCs w:val="21"/>
              </w:rPr>
            </w:pPr>
            <w:r>
              <w:rPr>
                <w:rFonts w:hint="eastAsia" w:ascii="宋体" w:hAnsi="宋体"/>
                <w:b w:val="0"/>
                <w:bCs/>
                <w:color w:val="auto"/>
                <w:sz w:val="21"/>
                <w:szCs w:val="21"/>
              </w:rPr>
              <w:t xml:space="preserve">顾客满意率≥95% </w:t>
            </w:r>
          </w:p>
          <w:p>
            <w:pPr>
              <w:spacing w:line="240" w:lineRule="exact"/>
              <w:rPr>
                <w:rFonts w:hint="eastAsia" w:ascii="宋体" w:hAnsi="宋体"/>
                <w:b w:val="0"/>
                <w:bCs/>
                <w:color w:val="auto"/>
                <w:sz w:val="21"/>
                <w:szCs w:val="21"/>
              </w:rPr>
            </w:pPr>
            <w:r>
              <w:rPr>
                <w:rFonts w:hint="eastAsia" w:ascii="宋体" w:hAnsi="宋体"/>
                <w:b w:val="0"/>
                <w:bCs/>
                <w:color w:val="auto"/>
                <w:sz w:val="21"/>
                <w:szCs w:val="21"/>
              </w:rPr>
              <w:t xml:space="preserve">施工噪声:投诉率为0 </w:t>
            </w:r>
          </w:p>
          <w:p>
            <w:pPr>
              <w:spacing w:line="240" w:lineRule="exact"/>
              <w:rPr>
                <w:rFonts w:hint="eastAsia" w:ascii="宋体" w:hAnsi="宋体"/>
                <w:b w:val="0"/>
                <w:bCs/>
                <w:color w:val="auto"/>
                <w:sz w:val="21"/>
                <w:szCs w:val="21"/>
              </w:rPr>
            </w:pPr>
            <w:r>
              <w:rPr>
                <w:rFonts w:hint="eastAsia" w:ascii="宋体" w:hAnsi="宋体"/>
                <w:b w:val="0"/>
                <w:bCs/>
                <w:color w:val="auto"/>
                <w:sz w:val="21"/>
                <w:szCs w:val="21"/>
              </w:rPr>
              <w:t xml:space="preserve">固体废弃物分类处置率100% </w:t>
            </w:r>
          </w:p>
          <w:p>
            <w:pPr>
              <w:spacing w:line="240" w:lineRule="exact"/>
              <w:rPr>
                <w:rFonts w:hint="eastAsia" w:ascii="宋体" w:hAnsi="宋体"/>
                <w:b w:val="0"/>
                <w:bCs/>
                <w:color w:val="auto"/>
                <w:sz w:val="21"/>
                <w:szCs w:val="21"/>
              </w:rPr>
            </w:pPr>
            <w:r>
              <w:rPr>
                <w:rFonts w:hint="eastAsia" w:ascii="宋体" w:hAnsi="宋体"/>
                <w:b w:val="0"/>
                <w:bCs/>
                <w:color w:val="auto"/>
                <w:sz w:val="21"/>
                <w:szCs w:val="21"/>
              </w:rPr>
              <w:t xml:space="preserve">危险源整改率达100% </w:t>
            </w:r>
          </w:p>
          <w:p>
            <w:pPr>
              <w:spacing w:line="240" w:lineRule="exact"/>
              <w:rPr>
                <w:rFonts w:ascii="宋体" w:hAnsi="宋体"/>
                <w:b/>
                <w:sz w:val="21"/>
                <w:szCs w:val="21"/>
              </w:rPr>
            </w:pPr>
            <w:r>
              <w:rPr>
                <w:rFonts w:hint="eastAsia" w:ascii="宋体" w:hAnsi="宋体"/>
                <w:b w:val="0"/>
                <w:bCs/>
                <w:color w:val="auto"/>
                <w:sz w:val="21"/>
                <w:szCs w:val="21"/>
              </w:rPr>
              <w:t xml:space="preserve">重伤率不超过0.6‰，轻伤人数单位工程控制≤5次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spacing w:line="320" w:lineRule="exact"/>
              <w:rPr>
                <w:rFonts w:ascii="Times New Roman" w:hAnsi="Times New Roman"/>
                <w:sz w:val="21"/>
                <w:szCs w:val="21"/>
              </w:rPr>
            </w:pPr>
            <w:r>
              <w:rPr>
                <w:rFonts w:ascii="Times New Roman" w:hAnsi="Times New Roman"/>
                <w:sz w:val="21"/>
                <w:szCs w:val="21"/>
              </w:rPr>
              <w:t>查《文件和资料管理程序 》、《记录管理程序》等对成文信息有相关规定，符合标准要求。</w:t>
            </w:r>
          </w:p>
          <w:p>
            <w:pPr>
              <w:spacing w:line="320" w:lineRule="exact"/>
              <w:rPr>
                <w:rFonts w:ascii="Times New Roman" w:hAnsi="Times New Roman"/>
                <w:sz w:val="21"/>
                <w:szCs w:val="21"/>
              </w:rPr>
            </w:pPr>
            <w:r>
              <w:rPr>
                <w:rFonts w:ascii="Times New Roman" w:hAnsi="Times New Roman"/>
                <w:sz w:val="21"/>
                <w:szCs w:val="21"/>
              </w:rPr>
              <w:t>文件的分类：</w:t>
            </w:r>
          </w:p>
          <w:p>
            <w:pPr>
              <w:spacing w:line="320" w:lineRule="exact"/>
              <w:rPr>
                <w:rFonts w:hint="eastAsia" w:ascii="Times New Roman" w:hAnsi="Times New Roman"/>
                <w:sz w:val="21"/>
                <w:szCs w:val="21"/>
              </w:rPr>
            </w:pPr>
            <w:r>
              <w:rPr>
                <w:rFonts w:hint="eastAsia" w:ascii="Times New Roman" w:hAnsi="Times New Roman"/>
                <w:sz w:val="21"/>
                <w:szCs w:val="21"/>
              </w:rPr>
              <w:t>1.管理手册</w:t>
            </w:r>
            <w:r>
              <w:rPr>
                <w:sz w:val="21"/>
                <w:szCs w:val="21"/>
              </w:rPr>
              <w:t>HDJS-QEOM-2019</w:t>
            </w:r>
            <w:r>
              <w:rPr>
                <w:rFonts w:hint="eastAsia" w:ascii="Times New Roman" w:hAnsi="Times New Roman"/>
                <w:sz w:val="21"/>
                <w:szCs w:val="21"/>
              </w:rPr>
              <w:t>-B/0版，2019年1月10日发表实施（含管理方针、目标）</w:t>
            </w:r>
          </w:p>
          <w:p>
            <w:pPr>
              <w:spacing w:line="320" w:lineRule="exact"/>
              <w:rPr>
                <w:rFonts w:hint="eastAsia" w:ascii="Times New Roman" w:hAnsi="Times New Roman"/>
                <w:sz w:val="21"/>
                <w:szCs w:val="21"/>
              </w:rPr>
            </w:pPr>
            <w:r>
              <w:rPr>
                <w:rFonts w:hint="eastAsia" w:ascii="Times New Roman" w:hAnsi="Times New Roman"/>
                <w:sz w:val="21"/>
                <w:szCs w:val="21"/>
              </w:rPr>
              <w:t>2.程序文件</w:t>
            </w:r>
            <w:r>
              <w:rPr>
                <w:sz w:val="21"/>
                <w:szCs w:val="21"/>
              </w:rPr>
              <w:t>HDJS</w:t>
            </w:r>
            <w:r>
              <w:rPr>
                <w:rFonts w:ascii="Times New Roman" w:hAnsi="Times New Roman"/>
                <w:sz w:val="21"/>
                <w:szCs w:val="21"/>
              </w:rPr>
              <w:t>-QEOP-20</w:t>
            </w:r>
            <w:r>
              <w:rPr>
                <w:rFonts w:hint="eastAsia" w:ascii="Times New Roman" w:hAnsi="Times New Roman"/>
                <w:sz w:val="21"/>
                <w:szCs w:val="21"/>
              </w:rPr>
              <w:t>19-B/0含43个文件，包括标准要求的程序</w:t>
            </w:r>
          </w:p>
          <w:p>
            <w:pPr>
              <w:spacing w:line="320" w:lineRule="exact"/>
              <w:rPr>
                <w:rFonts w:ascii="Times New Roman" w:hAnsi="Times New Roman"/>
                <w:sz w:val="21"/>
                <w:szCs w:val="21"/>
              </w:rPr>
            </w:pPr>
            <w:r>
              <w:rPr>
                <w:rFonts w:hint="eastAsia" w:ascii="Times New Roman" w:hAnsi="Times New Roman"/>
                <w:sz w:val="21"/>
                <w:szCs w:val="21"/>
              </w:rPr>
              <w:t>3.管理制度：包括目标管理制度、施工机具管理制度、安全生产管理制度、工程技术管理制度等</w:t>
            </w:r>
            <w:r>
              <w:rPr>
                <w:rFonts w:ascii="Times New Roman" w:hAnsi="Times New Roman"/>
                <w:sz w:val="21"/>
                <w:szCs w:val="21"/>
              </w:rPr>
              <w:t>。</w:t>
            </w:r>
          </w:p>
          <w:p>
            <w:pPr>
              <w:spacing w:line="320" w:lineRule="exact"/>
              <w:rPr>
                <w:rFonts w:ascii="Times New Roman" w:hAnsi="Times New Roman"/>
                <w:sz w:val="21"/>
                <w:szCs w:val="21"/>
              </w:rPr>
            </w:pPr>
            <w:r>
              <w:rPr>
                <w:rFonts w:ascii="Times New Roman" w:hAnsi="Times New Roman"/>
                <w:sz w:val="21"/>
                <w:szCs w:val="21"/>
              </w:rPr>
              <w:t>4.体系运行所需要的记录。</w:t>
            </w:r>
          </w:p>
          <w:p>
            <w:pPr>
              <w:spacing w:line="320" w:lineRule="exact"/>
              <w:rPr>
                <w:rFonts w:ascii="Times New Roman" w:hAnsi="Times New Roman"/>
                <w:sz w:val="21"/>
                <w:szCs w:val="21"/>
              </w:rPr>
            </w:pPr>
            <w:r>
              <w:rPr>
                <w:rFonts w:ascii="Times New Roman" w:hAnsi="Times New Roman"/>
                <w:sz w:val="21"/>
                <w:szCs w:val="21"/>
              </w:rPr>
              <w:t>文件的控制：</w:t>
            </w:r>
          </w:p>
          <w:p>
            <w:pPr>
              <w:spacing w:line="320" w:lineRule="exact"/>
              <w:rPr>
                <w:rFonts w:ascii="Times New Roman" w:hAnsi="Times New Roman"/>
                <w:sz w:val="21"/>
                <w:szCs w:val="21"/>
              </w:rPr>
            </w:pPr>
            <w:r>
              <w:rPr>
                <w:rFonts w:ascii="Times New Roman" w:hAnsi="Times New Roman"/>
                <w:sz w:val="21"/>
                <w:szCs w:val="21"/>
              </w:rPr>
              <w:t>提供了《文件收发记录》，内容包括文件编号、版本、文件名称、分发号、交件人、签收、交接时间、备注。有管理手册、程序文件、作业文件汇编和外来文件的发放记录，有各部门的签收。从发放记录看，发放适宜，相关部门能获得。</w:t>
            </w:r>
          </w:p>
          <w:p>
            <w:pPr>
              <w:spacing w:line="320" w:lineRule="exact"/>
              <w:rPr>
                <w:rFonts w:ascii="Times New Roman" w:hAnsi="Times New Roman"/>
                <w:sz w:val="21"/>
                <w:szCs w:val="21"/>
              </w:rPr>
            </w:pPr>
            <w:r>
              <w:rPr>
                <w:rFonts w:ascii="Times New Roman" w:hAnsi="Times New Roman"/>
                <w:sz w:val="21"/>
                <w:szCs w:val="21"/>
              </w:rPr>
              <w:t>存储、保护：体系文件由使用部门自行保存、专人管理。</w:t>
            </w:r>
            <w:r>
              <w:rPr>
                <w:rFonts w:hint="eastAsia" w:ascii="Times New Roman" w:hAnsi="Times New Roman"/>
                <w:sz w:val="21"/>
                <w:szCs w:val="21"/>
              </w:rPr>
              <w:t>办公室</w:t>
            </w:r>
            <w:r>
              <w:rPr>
                <w:rFonts w:ascii="Times New Roman" w:hAnsi="Times New Roman"/>
                <w:sz w:val="21"/>
                <w:szCs w:val="21"/>
              </w:rPr>
              <w:t>体系文件在内部发布，部门领导及相关人员也可共享，系统规定了访问了权限、修改及审批权限，并有一定的保密要求。</w:t>
            </w:r>
          </w:p>
          <w:p>
            <w:pPr>
              <w:spacing w:line="320" w:lineRule="exact"/>
              <w:rPr>
                <w:rFonts w:ascii="Times New Roman" w:hAnsi="Times New Roman"/>
                <w:sz w:val="21"/>
                <w:szCs w:val="21"/>
              </w:rPr>
            </w:pPr>
            <w:r>
              <w:rPr>
                <w:rFonts w:ascii="Times New Roman" w:hAnsi="Times New Roman"/>
                <w:sz w:val="21"/>
                <w:szCs w:val="21"/>
              </w:rPr>
              <w:t>手册及《文件和资料管理程序》中对文件的更改、保留与处置均做了相应的规定。</w:t>
            </w:r>
          </w:p>
          <w:p>
            <w:pPr>
              <w:spacing w:line="320" w:lineRule="exact"/>
              <w:rPr>
                <w:rFonts w:ascii="宋体" w:hAnsi="宋体"/>
                <w:b/>
                <w:sz w:val="21"/>
                <w:szCs w:val="21"/>
              </w:rPr>
            </w:pPr>
            <w:r>
              <w:rPr>
                <w:rFonts w:ascii="Times New Roman" w:hAnsi="Times New Roman"/>
                <w:sz w:val="21"/>
                <w:szCs w:val="21"/>
              </w:rPr>
              <w:t>外来文件包括：质量法、合同法、环境保护法、环境噪声污染防治法、劳动法、消防法、环境空气质量标准、固体废弃物环境防治法、仓库防火安全管理规则、劳动保护用品管理规定、</w:t>
            </w:r>
            <w:r>
              <w:rPr>
                <w:rFonts w:ascii="Times New Roman" w:hAnsi="Times New Roman"/>
                <w:color w:val="000000"/>
                <w:sz w:val="21"/>
                <w:szCs w:val="21"/>
              </w:rPr>
              <w:t>GB3095-2012《环境空气质量标准》、GB12523-2011《建筑施工场界环境噪声排放标准》、</w:t>
            </w:r>
            <w:r>
              <w:rPr>
                <w:rFonts w:ascii="Times New Roman" w:hAnsi="Times New Roman"/>
                <w:sz w:val="21"/>
                <w:szCs w:val="21"/>
              </w:rPr>
              <w:t>GBZ2-2007《工作场所有害因素职业接触限值》、GB/T 24001-2016《环境管理体系 要求及使用指南》、GB/T 45001-2020《职业健康安全管理体系 要求及使用指南》等。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宋体" w:hAnsi="宋体"/>
                <w:sz w:val="20"/>
              </w:rPr>
              <w:t>公司编制文件化的组织架构和岗位说明书，确定并配备所需的人员，以有效实施三标一体化管理体系并运行和控制其过程。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ind w:firstLine="420" w:firstLineChars="200"/>
              <w:rPr>
                <w:rFonts w:ascii="宋体" w:hAnsi="宋体"/>
                <w:b/>
                <w:sz w:val="21"/>
                <w:szCs w:val="21"/>
              </w:rPr>
            </w:pPr>
            <w:r>
              <w:rPr>
                <w:rFonts w:hint="eastAsia" w:ascii="Times New Roman" w:hAnsi="宋体"/>
                <w:sz w:val="21"/>
                <w:szCs w:val="21"/>
              </w:rPr>
              <w:t>手持式风钻、挖掘机、推土机、自卸汽车、胶轮架子车、砼搅拌机、灰浆搅拌机、振捣器、振捣器、载重汽车、汽车起重机、蛙式打夯机、钢筋调直机、钢筋切断机、钢筋弯曲机、电焊机、对焊机、柴油发电机、水 泵、全站仪、水准仪</w:t>
            </w:r>
            <w:r>
              <w:rPr>
                <w:rFonts w:ascii="Times New Roman" w:hAnsi="宋体"/>
                <w:sz w:val="21"/>
                <w:szCs w:val="21"/>
              </w:rPr>
              <w:t>等</w:t>
            </w:r>
            <w:r>
              <w:rPr>
                <w:rFonts w:ascii="Times New Roman" w:hAnsi="宋体"/>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办公区环境的维护，光线充足、温度适宜，配有绿植、暖气、引水机等，办公环境满足要求。</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各项目部负责对施工作业环境（包括分包方）实施</w:t>
            </w:r>
            <w:r>
              <w:rPr>
                <w:rFonts w:hint="eastAsia" w:asciiTheme="minorEastAsia" w:hAnsiTheme="minorEastAsia" w:eastAsiaTheme="minorEastAsia" w:cstheme="minorEastAsia"/>
                <w:spacing w:val="6"/>
                <w:sz w:val="21"/>
                <w:szCs w:val="21"/>
              </w:rPr>
              <w:t>管理。对施工现场办公、生活环境要求：安全适用，卫生健康，整洁舒适；对施工场地机具设备、各类原材料及半成品堆放布置要求井然有序；推行现场文明施工；制定冬雨季施工制定技术措施,做好冬季“四防”和夏季“四防”工作等。</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sym w:font="Wingdings 2" w:char="F098"/>
            </w:r>
            <w:r>
              <w:rPr>
                <w:rFonts w:hint="eastAsia" w:asciiTheme="minorEastAsia" w:hAnsiTheme="minorEastAsia" w:eastAsiaTheme="minorEastAsia" w:cstheme="minorEastAsia"/>
                <w:spacing w:val="6"/>
                <w:sz w:val="21"/>
                <w:szCs w:val="21"/>
              </w:rPr>
              <w:t>办公室关注公司从业人员的心里因素及所处社会环境的变化，包括：地域环境、社会环境的变化；各部门管理人员应充分关注各级从业人员心里因素的异常变化，掌握公司员工相关因素的反馈信息，必要时制定相关措施。</w:t>
            </w:r>
          </w:p>
          <w:p>
            <w:pPr>
              <w:autoSpaceDE w:val="0"/>
              <w:autoSpaceDN w:val="0"/>
              <w:adjustRightInd w:val="0"/>
              <w:snapToGrid w:val="0"/>
              <w:spacing w:line="276"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sym w:font="Wingdings 2" w:char="F098"/>
            </w:r>
            <w:r>
              <w:rPr>
                <w:rFonts w:hint="eastAsia" w:asciiTheme="minorEastAsia" w:hAnsiTheme="minorEastAsia" w:eastAsiaTheme="minorEastAsia" w:cstheme="minorEastAsia"/>
                <w:spacing w:val="6"/>
                <w:sz w:val="21"/>
                <w:szCs w:val="21"/>
              </w:rPr>
              <w:t>项目部在施工组织设计、施工方案的编制审批时考虑这些因素，定期检查过程运行环境提供和保持情况，提出改进指导意见；项目部负责实施过程运行环境的提供和保持。</w:t>
            </w:r>
          </w:p>
          <w:p>
            <w:pPr>
              <w:spacing w:line="240" w:lineRule="exact"/>
              <w:rPr>
                <w:rFonts w:ascii="宋体" w:hAnsi="宋体"/>
                <w:b/>
                <w:sz w:val="21"/>
                <w:szCs w:val="21"/>
              </w:rPr>
            </w:pPr>
            <w:r>
              <w:rPr>
                <w:rFonts w:hint="eastAsia" w:asciiTheme="minorEastAsia" w:hAnsiTheme="minorEastAsia" w:eastAsiaTheme="minorEastAsia" w:cstheme="minorEastAsia"/>
                <w:bCs/>
                <w:sz w:val="21"/>
                <w:szCs w:val="21"/>
              </w:rPr>
              <w:sym w:font="Wingdings 2" w:char="F098"/>
            </w:r>
            <w:r>
              <w:rPr>
                <w:rFonts w:hint="eastAsia" w:asciiTheme="minorEastAsia" w:hAnsiTheme="minorEastAsia" w:eastAsiaTheme="minorEastAsia" w:cstheme="minorEastAsia"/>
                <w:bCs/>
                <w:sz w:val="21"/>
                <w:szCs w:val="21"/>
              </w:rPr>
              <w:t>现场观察</w:t>
            </w:r>
            <w:r>
              <w:rPr>
                <w:rFonts w:hint="eastAsia" w:asciiTheme="minorEastAsia" w:hAnsiTheme="minorEastAsia" w:eastAsiaTheme="minorEastAsia" w:cstheme="minorEastAsia"/>
                <w:bCs/>
                <w:sz w:val="21"/>
                <w:szCs w:val="21"/>
                <w:lang w:val="en-US" w:eastAsia="zh-CN"/>
              </w:rPr>
              <w:t>基本</w:t>
            </w:r>
            <w:r>
              <w:rPr>
                <w:rFonts w:hint="eastAsia" w:asciiTheme="minorEastAsia" w:hAnsiTheme="minorEastAsia" w:eastAsiaTheme="minorEastAsia" w:cstheme="minorEastAsia"/>
                <w:bCs/>
                <w:sz w:val="21"/>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210" w:firstLineChars="100"/>
              <w:rPr>
                <w:rFonts w:hint="default" w:ascii="宋体" w:hAnsi="宋体" w:eastAsia="宋体"/>
                <w:b/>
                <w:sz w:val="21"/>
                <w:szCs w:val="21"/>
                <w:lang w:val="en-US" w:eastAsia="zh-CN"/>
              </w:rPr>
            </w:pPr>
            <w:r>
              <w:rPr>
                <w:rFonts w:hint="eastAsia" w:ascii="Times New Roman" w:hAnsi="宋体"/>
                <w:sz w:val="21"/>
                <w:szCs w:val="21"/>
              </w:rPr>
              <w:t>全站仪、水准仪</w:t>
            </w:r>
            <w:r>
              <w:rPr>
                <w:rFonts w:ascii="Times New Roman" w:hAnsi="宋体"/>
                <w:sz w:val="21"/>
                <w:szCs w:val="21"/>
              </w:rPr>
              <w:t>等</w:t>
            </w:r>
            <w:r>
              <w:rPr>
                <w:rFonts w:hint="eastAsia" w:hAnsi="宋体"/>
                <w:sz w:val="21"/>
                <w:szCs w:val="21"/>
                <w:lang w:eastAsia="zh-CN"/>
              </w:rPr>
              <w:t>，</w:t>
            </w:r>
            <w:r>
              <w:rPr>
                <w:rFonts w:hint="eastAsia" w:hAnsi="宋体"/>
                <w:sz w:val="21"/>
                <w:szCs w:val="21"/>
                <w:lang w:val="en-US" w:eastAsia="zh-CN"/>
              </w:rPr>
              <w:t>进行了年度检定、校准。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pPr>
              <w:spacing w:line="360" w:lineRule="auto"/>
              <w:ind w:firstLine="400" w:firstLineChars="200"/>
              <w:rPr>
                <w:rFonts w:ascii="宋体"/>
                <w:sz w:val="20"/>
              </w:rPr>
            </w:pPr>
            <w:r>
              <w:rPr>
                <w:rFonts w:hint="eastAsia" w:ascii="宋体" w:hAnsi="宋体"/>
                <w:sz w:val="20"/>
              </w:rPr>
              <w:t>公司确定运行过程所需的知识，以获得合格产品和服务；公司的知识可以基于内部来源和外部来源，</w:t>
            </w:r>
          </w:p>
          <w:p>
            <w:pPr>
              <w:spacing w:line="360" w:lineRule="auto"/>
              <w:rPr>
                <w:rFonts w:ascii="宋体"/>
                <w:sz w:val="20"/>
              </w:rPr>
            </w:pPr>
            <w:r>
              <w:rPr>
                <w:rFonts w:hint="eastAsia" w:ascii="宋体" w:hAnsi="宋体"/>
                <w:sz w:val="20"/>
              </w:rPr>
              <w:t>公司为应对不断变化的需求和发展趋势，考虑现有的知识，确定如何获取理多必要的知识，并进行更新。</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sz w:val="21"/>
                <w:szCs w:val="21"/>
              </w:rPr>
            </w:pPr>
            <w:r>
              <w:rPr>
                <w:rFonts w:hint="eastAsia" w:ascii="宋体" w:hAnsi="宋体"/>
                <w:b/>
                <w:sz w:val="21"/>
                <w:szCs w:val="21"/>
              </w:rPr>
              <w:t>环保设施</w:t>
            </w:r>
            <w:r>
              <w:rPr>
                <w:rFonts w:hint="eastAsia" w:ascii="宋体" w:hAnsi="宋体"/>
                <w:b/>
                <w:sz w:val="21"/>
                <w:szCs w:val="21"/>
                <w:lang w:val="en-US" w:eastAsia="zh-CN"/>
              </w:rPr>
              <w:t>/</w:t>
            </w:r>
            <w:r>
              <w:rPr>
                <w:rFonts w:hint="eastAsia" w:ascii="宋体" w:hAnsi="宋体"/>
                <w:b/>
                <w:sz w:val="21"/>
                <w:szCs w:val="21"/>
              </w:rPr>
              <w:t>职业健康安全设施：</w:t>
            </w:r>
          </w:p>
          <w:p>
            <w:pPr>
              <w:spacing w:line="240" w:lineRule="exact"/>
              <w:rPr>
                <w:rFonts w:hint="eastAsia" w:ascii="宋体" w:hAnsi="宋体" w:eastAsia="宋体"/>
                <w:b/>
                <w:sz w:val="21"/>
                <w:szCs w:val="21"/>
                <w:lang w:val="en-US" w:eastAsia="zh-CN"/>
              </w:rPr>
            </w:pPr>
          </w:p>
          <w:p>
            <w:pPr>
              <w:spacing w:line="240" w:lineRule="exact"/>
              <w:rPr>
                <w:rFonts w:hint="default" w:ascii="宋体" w:hAnsi="宋体" w:eastAsia="宋体"/>
                <w:b w:val="0"/>
                <w:bCs/>
                <w:sz w:val="21"/>
                <w:szCs w:val="21"/>
                <w:lang w:val="en-US" w:eastAsia="zh-CN"/>
              </w:rPr>
            </w:pPr>
            <w:r>
              <w:rPr>
                <w:rFonts w:hint="default" w:ascii="宋体" w:hAnsi="宋体" w:eastAsia="宋体"/>
                <w:b w:val="0"/>
                <w:bCs/>
                <w:sz w:val="21"/>
                <w:szCs w:val="21"/>
                <w:lang w:val="en-US" w:eastAsia="zh-CN"/>
              </w:rPr>
              <w:t>环保设施包括：垃圾桶、消防管线、灭火器；</w:t>
            </w:r>
          </w:p>
          <w:p>
            <w:pPr>
              <w:spacing w:line="240" w:lineRule="exact"/>
              <w:rPr>
                <w:rFonts w:ascii="宋体" w:hAnsi="宋体"/>
                <w:b/>
                <w:sz w:val="21"/>
                <w:szCs w:val="21"/>
              </w:rPr>
            </w:pPr>
            <w:r>
              <w:rPr>
                <w:rFonts w:hint="default" w:ascii="宋体" w:hAnsi="宋体" w:eastAsia="宋体"/>
                <w:b w:val="0"/>
                <w:bCs/>
                <w:sz w:val="21"/>
                <w:szCs w:val="21"/>
                <w:lang w:val="en-US" w:eastAsia="zh-CN"/>
              </w:rPr>
              <w:t>安全设施配置主要有：围栏、标识牌、灭火器、消防器材等。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firstLine="400" w:firstLineChars="200"/>
              <w:rPr>
                <w:rFonts w:ascii="宋体" w:hAnsi="宋体"/>
                <w:b/>
                <w:sz w:val="21"/>
                <w:szCs w:val="21"/>
              </w:rPr>
            </w:pPr>
            <w:r>
              <w:rPr>
                <w:rFonts w:hint="eastAsia"/>
                <w:color w:val="000000"/>
                <w:sz w:val="20"/>
              </w:rPr>
              <w:t>方针符合组织的宗旨，</w:t>
            </w:r>
            <w:r>
              <w:rPr>
                <w:rFonts w:hint="eastAsia" w:ascii="宋体" w:hAnsi="宋体"/>
                <w:sz w:val="20"/>
              </w:rPr>
              <w:t>一体化管理方针形成文件传达到全体员工，确保得到有效控制，使全体员工正确理解并坚决执行，且应定期对其适宜性进行评审。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val="0"/>
                <w:bCs/>
                <w:sz w:val="21"/>
                <w:szCs w:val="21"/>
              </w:rPr>
            </w:pPr>
            <w:r>
              <w:rPr>
                <w:rFonts w:hint="eastAsia" w:ascii="宋体" w:hAnsi="宋体"/>
                <w:b w:val="0"/>
                <w:bCs/>
                <w:sz w:val="21"/>
                <w:szCs w:val="21"/>
              </w:rPr>
              <w:t>内部沟通的情况：内部沟通方式：内部沟通方式：文件、开会、微信等</w:t>
            </w:r>
          </w:p>
          <w:p>
            <w:pPr>
              <w:spacing w:line="240" w:lineRule="exact"/>
              <w:rPr>
                <w:rFonts w:ascii="宋体" w:hAnsi="宋体"/>
                <w:b w:val="0"/>
                <w:bCs/>
                <w:sz w:val="21"/>
                <w:szCs w:val="21"/>
              </w:rPr>
            </w:pPr>
            <w:r>
              <w:rPr>
                <w:rFonts w:hint="eastAsia" w:ascii="宋体" w:hAnsi="宋体"/>
                <w:b w:val="0"/>
                <w:bCs/>
                <w:sz w:val="21"/>
                <w:szCs w:val="21"/>
              </w:rPr>
              <w:t xml:space="preserve">                内部沟通的效果：有效</w:t>
            </w:r>
          </w:p>
          <w:p>
            <w:pPr>
              <w:spacing w:line="240" w:lineRule="exact"/>
              <w:rPr>
                <w:rFonts w:ascii="宋体" w:hAnsi="宋体"/>
                <w:b w:val="0"/>
                <w:bCs/>
                <w:sz w:val="21"/>
                <w:szCs w:val="21"/>
              </w:rPr>
            </w:pPr>
          </w:p>
          <w:p>
            <w:pPr>
              <w:spacing w:line="240" w:lineRule="exact"/>
              <w:rPr>
                <w:rFonts w:ascii="宋体" w:hAnsi="宋体"/>
                <w:b w:val="0"/>
                <w:bCs/>
                <w:sz w:val="21"/>
                <w:szCs w:val="21"/>
              </w:rPr>
            </w:pPr>
            <w:r>
              <w:rPr>
                <w:rFonts w:hint="eastAsia" w:ascii="宋体" w:hAnsi="宋体"/>
                <w:b w:val="0"/>
                <w:bCs/>
                <w:sz w:val="21"/>
                <w:szCs w:val="21"/>
              </w:rPr>
              <w:t>组织对外联络，关注顾客的感受情况（QMS）：顾客满意度评价、合同等</w:t>
            </w:r>
          </w:p>
          <w:p>
            <w:pPr>
              <w:spacing w:line="240" w:lineRule="exact"/>
              <w:rPr>
                <w:rFonts w:ascii="宋体" w:hAnsi="宋体"/>
                <w:b w:val="0"/>
                <w:bCs/>
                <w:sz w:val="21"/>
                <w:szCs w:val="21"/>
              </w:rPr>
            </w:pPr>
          </w:p>
          <w:p>
            <w:pPr>
              <w:spacing w:line="240" w:lineRule="exact"/>
              <w:rPr>
                <w:rFonts w:ascii="宋体" w:hAnsi="宋体"/>
                <w:b w:val="0"/>
                <w:bCs/>
                <w:sz w:val="21"/>
                <w:szCs w:val="21"/>
              </w:rPr>
            </w:pPr>
            <w:r>
              <w:rPr>
                <w:rFonts w:hint="eastAsia" w:ascii="宋体" w:hAnsi="宋体"/>
                <w:b w:val="0"/>
                <w:bCs/>
                <w:sz w:val="21"/>
                <w:szCs w:val="21"/>
              </w:rPr>
              <w:t>外部信息的接收、成文并答复的情况（E、S填写）：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pPr>
              <w:spacing w:line="240" w:lineRule="exact"/>
              <w:rPr>
                <w:rFonts w:ascii="宋体" w:hAnsi="宋体"/>
                <w:b w:val="0"/>
                <w:bCs/>
                <w:sz w:val="21"/>
                <w:szCs w:val="21"/>
              </w:rPr>
            </w:pPr>
          </w:p>
          <w:p>
            <w:pPr>
              <w:spacing w:line="240" w:lineRule="exact"/>
              <w:rPr>
                <w:rFonts w:ascii="宋体" w:hAnsi="宋体"/>
                <w:b w:val="0"/>
                <w:bCs/>
                <w:sz w:val="21"/>
                <w:szCs w:val="21"/>
              </w:rPr>
            </w:pPr>
            <w:r>
              <w:rPr>
                <w:rFonts w:hint="eastAsia" w:ascii="宋体" w:hAnsi="宋体"/>
                <w:b w:val="0"/>
                <w:bCs/>
                <w:sz w:val="21"/>
                <w:szCs w:val="21"/>
              </w:rPr>
              <w:t>重要环境因素信息对外交流情况（EMS填写）：告之员工和外来人员并张贴警示标记。</w:t>
            </w:r>
          </w:p>
          <w:p>
            <w:pPr>
              <w:spacing w:line="240" w:lineRule="exact"/>
              <w:rPr>
                <w:rFonts w:ascii="宋体" w:hAnsi="宋体"/>
                <w:b w:val="0"/>
                <w:bCs/>
                <w:sz w:val="21"/>
                <w:szCs w:val="21"/>
              </w:rPr>
            </w:pPr>
          </w:p>
          <w:p>
            <w:pPr>
              <w:spacing w:line="240" w:lineRule="exact"/>
              <w:rPr>
                <w:rFonts w:ascii="宋体" w:hAnsi="宋体"/>
                <w:b w:val="0"/>
                <w:bCs/>
                <w:sz w:val="21"/>
                <w:szCs w:val="21"/>
              </w:rPr>
            </w:pPr>
            <w:r>
              <w:rPr>
                <w:rFonts w:hint="eastAsia" w:ascii="宋体" w:hAnsi="宋体"/>
                <w:b w:val="0"/>
                <w:bCs/>
                <w:sz w:val="21"/>
                <w:szCs w:val="21"/>
              </w:rPr>
              <w:t>OHSMS事务代表协商和交流的情况（OHSMS填写）：告之员工谁是OHSMS事务代表，参与公司的职业健康安全事务。</w:t>
            </w:r>
          </w:p>
          <w:p>
            <w:pPr>
              <w:spacing w:line="240" w:lineRule="exact"/>
              <w:rPr>
                <w:rFonts w:ascii="宋体" w:hAnsi="宋体"/>
                <w:b w:val="0"/>
                <w:bCs/>
                <w:sz w:val="21"/>
                <w:szCs w:val="21"/>
              </w:rPr>
            </w:pPr>
          </w:p>
          <w:p>
            <w:pPr>
              <w:spacing w:line="240" w:lineRule="exact"/>
              <w:rPr>
                <w:rFonts w:ascii="宋体" w:hAnsi="宋体"/>
                <w:b/>
                <w:sz w:val="21"/>
                <w:szCs w:val="21"/>
              </w:rPr>
            </w:pPr>
            <w:r>
              <w:rPr>
                <w:rFonts w:hint="eastAsia" w:ascii="宋体" w:hAnsi="宋体"/>
                <w:b w:val="0"/>
                <w:bCs/>
                <w:sz w:val="21"/>
                <w:szCs w:val="21"/>
              </w:rPr>
              <w:t>与相关方协商的情况（OHSMS填写）：与承包方就影响他们的职业健康安全变更进行协商并确保与相关的外部相关方就有关的职业健康安全事务进行协商。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主要施工工艺流程：</w:t>
            </w:r>
          </w:p>
          <w:p>
            <w:pPr>
              <w:pStyle w:val="2"/>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水利水电工程施工流程</w:t>
            </w:r>
            <w:r>
              <w:rPr>
                <w:rFonts w:hint="eastAsia" w:asciiTheme="minorEastAsia" w:hAnsiTheme="minorEastAsia" w:eastAsiaTheme="minorEastAsia" w:cstheme="minorEastAsia"/>
                <w:sz w:val="21"/>
                <w:szCs w:val="21"/>
                <w:highlight w:val="none"/>
                <w:lang w:eastAsia="zh-CN"/>
              </w:rPr>
              <w:t>：</w:t>
            </w:r>
          </w:p>
          <w:p>
            <w:pPr>
              <w:pStyle w:val="2"/>
              <w:spacing w:line="360" w:lineRule="auto"/>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测量放线</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sz w:val="21"/>
                <w:szCs w:val="21"/>
                <w:highlight w:val="none"/>
              </w:rPr>
              <w:t>土方开挖回填</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sz w:val="21"/>
                <w:szCs w:val="21"/>
                <w:highlight w:val="none"/>
              </w:rPr>
              <w:t>清淤</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sz w:val="21"/>
                <w:szCs w:val="21"/>
                <w:highlight w:val="none"/>
              </w:rPr>
              <w:t>砂石垫层</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sz w:val="21"/>
                <w:szCs w:val="21"/>
                <w:highlight w:val="none"/>
              </w:rPr>
              <w:t>砼预制块护坡</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sz w:val="21"/>
                <w:szCs w:val="21"/>
                <w:highlight w:val="none"/>
              </w:rPr>
              <w:t>沥青填缝</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sz w:val="21"/>
                <w:szCs w:val="21"/>
                <w:highlight w:val="none"/>
              </w:rPr>
              <w:t>竣工交验</w:t>
            </w:r>
          </w:p>
          <w:p>
            <w:pPr>
              <w:pStyle w:val="2"/>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市政施工工艺流程：</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sz w:val="21"/>
                <w:szCs w:val="21"/>
              </w:rPr>
              <w:t>土石方开挖</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sz w:val="21"/>
                <w:szCs w:val="21"/>
              </w:rPr>
              <w:t>土方开挖施工</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sz w:val="21"/>
                <w:szCs w:val="21"/>
              </w:rPr>
              <w:t>浆砌石体、干砌石体、T型槽砌筑</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sz w:val="21"/>
                <w:szCs w:val="21"/>
              </w:rPr>
              <w:t xml:space="preserve"> 砼及钢筋砼浇筑</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sz w:val="21"/>
                <w:szCs w:val="21"/>
              </w:rPr>
              <w:t>砂卵石垫层</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sz w:val="21"/>
                <w:szCs w:val="21"/>
              </w:rPr>
              <w:t>土方回填</w:t>
            </w:r>
            <w:r>
              <w:rPr>
                <w:rFonts w:hint="eastAsia" w:asciiTheme="minorEastAsia" w:hAnsiTheme="minorEastAsia" w:eastAsiaTheme="minorEastAsia" w:cstheme="minorEastAsia"/>
                <w:b w:val="0"/>
                <w:bCs/>
                <w:sz w:val="21"/>
                <w:szCs w:val="21"/>
              </w:rPr>
              <w:t xml:space="preserve"> </w:t>
            </w:r>
            <w:r>
              <w:rPr>
                <w:rFonts w:hint="eastAsia" w:asciiTheme="minorEastAsia" w:hAnsiTheme="minorEastAsia" w:eastAsiaTheme="minorEastAsia" w:cstheme="minorEastAsia"/>
                <w:color w:val="auto"/>
                <w:sz w:val="21"/>
                <w:szCs w:val="21"/>
                <w:highlight w:val="none"/>
              </w:rPr>
              <w:t>。</w:t>
            </w:r>
          </w:p>
          <w:p>
            <w:p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确认过程：</w:t>
            </w:r>
            <w:r>
              <w:rPr>
                <w:rFonts w:hint="eastAsia" w:asciiTheme="minorEastAsia" w:hAnsiTheme="minorEastAsia" w:eastAsiaTheme="minorEastAsia" w:cstheme="minorEastAsia"/>
                <w:b w:val="0"/>
                <w:bCs/>
                <w:sz w:val="21"/>
                <w:szCs w:val="21"/>
              </w:rPr>
              <w:t>砼浇筑</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土方开挖、隐蔽工程等</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管控措施：施工方案、技术措施</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外包过程：无</w:t>
            </w:r>
          </w:p>
          <w:p>
            <w:pPr>
              <w:spacing w:line="240" w:lineRule="exact"/>
              <w:ind w:firstLine="420" w:firstLineChars="200"/>
              <w:rPr>
                <w:rFonts w:ascii="宋体" w:hAnsi="宋体"/>
                <w:b/>
                <w:sz w:val="21"/>
                <w:szCs w:val="21"/>
              </w:rPr>
            </w:pPr>
            <w:r>
              <w:rPr>
                <w:rFonts w:hint="eastAsia" w:asciiTheme="minorEastAsia" w:hAnsiTheme="minorEastAsia" w:eastAsiaTheme="minorEastAsia" w:cstheme="minorEastAsia"/>
                <w:bCs/>
                <w:sz w:val="21"/>
                <w:szCs w:val="21"/>
                <w:highlight w:val="none"/>
              </w:rPr>
              <w:t>对策划结果实行动态管理，针对项目运行过程中的各种变更动态，对专项施工方案进行动态控制，对变更的结果进行评审、并监督实施。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sym w:font="Wingdings 2" w:char="0052"/>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color w:val="auto"/>
                <w:sz w:val="21"/>
                <w:szCs w:val="21"/>
                <w:highlight w:val="none"/>
              </w:rPr>
              <w:t>查工程过程实施</w:t>
            </w:r>
          </w:p>
          <w:p>
            <w:pPr>
              <w:spacing w:line="360" w:lineRule="auto"/>
              <w:ind w:firstLine="105" w:firstLineChars="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见技术交底：（专项方案交底）</w:t>
            </w:r>
          </w:p>
          <w:p>
            <w:pPr>
              <w:spacing w:line="360" w:lineRule="auto"/>
              <w:ind w:firstLine="105" w:firstLineChars="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交底内容：施工内容重要特点、技术难点、施工工艺技术、施工方法、技术保证条件、施工总平面图、单机施工平面图、施工机械配置计划、人员配置计划、吊装安全技术措施等</w:t>
            </w:r>
          </w:p>
          <w:p>
            <w:pPr>
              <w:spacing w:line="360" w:lineRule="auto"/>
              <w:ind w:firstLine="105" w:firstLineChars="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见安全交底：（专项方案交底）</w:t>
            </w:r>
          </w:p>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即：企业施工前对施工条件进行检查确认，</w:t>
            </w:r>
          </w:p>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2" w:char="F098"/>
            </w:r>
            <w:r>
              <w:rPr>
                <w:rFonts w:hint="eastAsia" w:asciiTheme="minorEastAsia" w:hAnsiTheme="minorEastAsia" w:eastAsiaTheme="minorEastAsia" w:cstheme="minorEastAsia"/>
                <w:color w:val="auto"/>
                <w:sz w:val="21"/>
                <w:szCs w:val="21"/>
                <w:highlight w:val="none"/>
              </w:rPr>
              <w:t>档案查到以下活动对工程项目质量进行控制：</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1）正确使用专项施工方案、施工规范和验收标准，适用时，对施工过程实施样板引路；</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2）调配合格的操作人员——包括持证上岗要求的项目管理人员、特种作业人员等；</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3）配备和工程材料、构配件和设备、施工机具、检测设备；</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4）进行施工和检查——包括对工序的检查、技术复核、施工过程参数的监测和必要的统计分析等；</w:t>
            </w:r>
          </w:p>
          <w:p>
            <w:pPr>
              <w:spacing w:line="360" w:lineRule="auto"/>
              <w:ind w:left="690" w:leftChars="200" w:hanging="210" w:hangingChars="1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5）对施工作业环境进行控制——包括安全文明施工、绿色施工措施、季节性施工措施、不同专业交叉作业的环境协调控制措施等；</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6）合理安排施工进度；</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7）对成品、半成品采取保护措施；</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8）对突发事件实施应急响应与监控；</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9）对能力不足的施工过程进行监控；</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10）确保分包方的施工过程得到控制；</w:t>
            </w:r>
          </w:p>
          <w:p>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11）采取措施防止人为错误；</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12）保证各项变更满足规定要求。</w:t>
            </w:r>
          </w:p>
          <w:p>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见 完工结算证明：</w:t>
            </w:r>
          </w:p>
          <w:p>
            <w:pPr>
              <w:spacing w:line="240" w:lineRule="exact"/>
              <w:rPr>
                <w:rFonts w:hint="default" w:ascii="宋体" w:hAnsi="宋体" w:eastAsia="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sym w:font="Wingdings 2" w:char="0052"/>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300" w:lineRule="exact"/>
              <w:ind w:firstLine="422" w:firstLineChars="200"/>
              <w:jc w:val="left"/>
              <w:rPr>
                <w:rFonts w:hint="eastAsia" w:ascii="宋体" w:hAnsi="宋体" w:eastAsia="宋体"/>
                <w:b/>
                <w:sz w:val="21"/>
                <w:szCs w:val="21"/>
                <w:lang w:val="en-US" w:eastAsia="zh-CN"/>
              </w:rPr>
            </w:pPr>
            <w:r>
              <w:rPr>
                <w:rFonts w:hint="eastAsia" w:ascii="宋体" w:hAnsi="宋体"/>
                <w:b/>
                <w:sz w:val="21"/>
                <w:szCs w:val="21"/>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0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质量问题处理依据不合格品控制程序对不合格品和不符合的识别和控制有明确的规定。规定了对不合格处置方法：返工、返修等。</w:t>
            </w:r>
          </w:p>
          <w:p>
            <w:pPr>
              <w:spacing w:line="30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部门负责人介绍：实际施工过程中，工程部会同项目部的技术负责人组成检查组，定期或不定期对公司在建项目进行检查，检查包括施工质量、环境、安全等内容；监理单位对于发现我公司施工质量问题发出《监理整改通知》我公司要求项目部按不合格品或不符合及时进行整改；</w:t>
            </w:r>
          </w:p>
          <w:p>
            <w:pPr>
              <w:spacing w:line="30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项目部配合工程部对重大不合格工程产品的评审和处置，总经理负责对质量事故的奖罚和事故责任追究。</w:t>
            </w:r>
          </w:p>
          <w:p>
            <w:pPr>
              <w:spacing w:line="240" w:lineRule="exact"/>
              <w:rPr>
                <w:rFonts w:ascii="宋体" w:hAnsi="宋体"/>
                <w:b/>
                <w:sz w:val="21"/>
                <w:szCs w:val="21"/>
              </w:rPr>
            </w:pPr>
            <w:r>
              <w:rPr>
                <w:rFonts w:hint="eastAsia" w:asciiTheme="minorEastAsia" w:hAnsiTheme="minorEastAsia" w:eastAsiaTheme="minorEastAsia" w:cstheme="minorEastAsia"/>
                <w:color w:val="auto"/>
                <w:sz w:val="21"/>
                <w:szCs w:val="21"/>
                <w:lang w:val="en-US" w:eastAsia="zh-CN"/>
              </w:rPr>
              <w:t>公司对施工过程发生的不合格品，一般轻微不合格现场指出，及时整改。目前为止项目部未发生比较大的质量不合格品，一般的轻微不符合都在现场及时解决了，未发现有需要上报公司解决的不合格。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ind w:firstLine="420" w:firstLineChars="200"/>
              <w:rPr>
                <w:rFonts w:ascii="宋体" w:hAnsi="宋体"/>
                <w:b/>
                <w:sz w:val="21"/>
                <w:szCs w:val="21"/>
              </w:rPr>
            </w:pPr>
            <w:r>
              <w:rPr>
                <w:rFonts w:hint="eastAsia" w:cs="宋体" w:asciiTheme="minorEastAsia" w:hAnsiTheme="minorEastAsia"/>
                <w:sz w:val="21"/>
                <w:szCs w:val="21"/>
              </w:rPr>
              <w:t>公司1）火灾、爆炸的发生；2）电消耗；3）固废（含危险固废）的排放；4）粉尘排放， 5）噪音，</w:t>
            </w:r>
            <w:r>
              <w:rPr>
                <w:rFonts w:hint="eastAsia" w:cs="宋体" w:asciiTheme="minorEastAsia" w:hAnsiTheme="minorEastAsia"/>
                <w:sz w:val="21"/>
                <w:szCs w:val="21"/>
                <w:lang w:val="en-US" w:eastAsia="zh-CN"/>
              </w:rPr>
              <w:t>等</w:t>
            </w:r>
            <w:r>
              <w:rPr>
                <w:rFonts w:hint="eastAsia" w:cs="宋体" w:asciiTheme="minorEastAsia" w:hAnsiTheme="minorEastAsia"/>
                <w:sz w:val="21"/>
                <w:szCs w:val="21"/>
              </w:rPr>
              <w:t>重要环境因素控制有效，未对周边环境和相关方产生</w:t>
            </w:r>
            <w:r>
              <w:rPr>
                <w:rFonts w:hint="eastAsia" w:cs="宋体" w:asciiTheme="minorEastAsia" w:hAnsiTheme="minorEastAsia"/>
                <w:sz w:val="21"/>
                <w:szCs w:val="21"/>
                <w:lang w:val="en-US" w:eastAsia="zh-CN"/>
              </w:rPr>
              <w:t>重大</w:t>
            </w:r>
            <w:r>
              <w:rPr>
                <w:rFonts w:hint="eastAsia" w:cs="宋体" w:asciiTheme="minorEastAsia" w:hAnsiTheme="minorEastAsia"/>
                <w:sz w:val="21"/>
                <w:szCs w:val="21"/>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p>
            <w:pPr>
              <w:spacing w:line="240" w:lineRule="exact"/>
              <w:ind w:firstLine="420" w:firstLineChars="200"/>
              <w:rPr>
                <w:rFonts w:ascii="宋体" w:hAnsi="宋体"/>
                <w:b/>
                <w:sz w:val="21"/>
                <w:szCs w:val="21"/>
              </w:rPr>
            </w:pPr>
            <w:r>
              <w:rPr>
                <w:rFonts w:hint="eastAsia" w:ascii="宋体" w:hAnsi="宋体"/>
                <w:sz w:val="21"/>
                <w:szCs w:val="21"/>
              </w:rPr>
              <w:t>火灾事故的发生、触电、噪声伤害、中暑、溺水、坍塌、沥青中毒、意外伤害、物体打击、高空坠落机械/车辆伤害等等不可接受风险控制有效，未发生</w:t>
            </w:r>
            <w:r>
              <w:rPr>
                <w:rFonts w:hint="eastAsia" w:ascii="宋体" w:hAnsi="宋体"/>
                <w:sz w:val="21"/>
                <w:szCs w:val="21"/>
                <w:lang w:val="en-US" w:eastAsia="zh-CN"/>
              </w:rPr>
              <w:t>重大</w:t>
            </w:r>
            <w:r>
              <w:rPr>
                <w:rFonts w:hint="eastAsia" w:ascii="宋体" w:hAnsi="宋体"/>
                <w:sz w:val="21"/>
                <w:szCs w:val="21"/>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查策划有《应急准备与响应控制程序》，编制有火灾、触电、高处坠落、物体打击、中毒事故等应急预案</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应急准备工作开展以下活动：</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——建立有应急组织，提供应急组织机构图、消防队人员名单、职责权限规定等。</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——配备相应的消防器材。</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——进行消防常识和能力的培训、潜在的火灾爆炸的常识和能力的培训</w:t>
            </w:r>
          </w:p>
          <w:p>
            <w:pPr>
              <w:spacing w:line="3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该部门介绍开展了消防器材的使用和人员紧急疏散演练活动：</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查看有“消防演习记录”。</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——演练时间：2020年3月4日；</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——演练组织部门：工程部；参加人员：行政部、财务部、工程部、市场部、项目部</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——演练效果评价记录：通过演练，证明预案基本适宜，全体人员对预案的要求有了比较适宜的操作方法，可以有效履行预案的要求。</w:t>
            </w:r>
          </w:p>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——对消防应急预案的适用性、可操作性进行评审；符合要求。</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rPr>
              <w:t>楼道配有灭火器消防栓等消防设施，由综合部统一管理，每月进行了灭火器、消防栓进行了点检。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b w:val="0"/>
                <w:bCs/>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00" w:firstLineChars="250"/>
              <w:rPr>
                <w:rFonts w:ascii="宋体" w:hAnsi="宋体"/>
                <w:b/>
                <w:sz w:val="21"/>
                <w:szCs w:val="21"/>
              </w:rPr>
            </w:pPr>
            <w:r>
              <w:rPr>
                <w:rFonts w:hint="eastAsia"/>
                <w:color w:val="000000"/>
                <w:sz w:val="20"/>
              </w:rPr>
              <w:t>每半年对一体化目标进行定期检查考核从检查的情况看，均能完成目标指标。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ind w:firstLine="420" w:firstLineChars="200"/>
              <w:rPr>
                <w:sz w:val="21"/>
                <w:szCs w:val="21"/>
              </w:rPr>
            </w:pPr>
            <w:r>
              <w:rPr>
                <w:rFonts w:hint="eastAsia"/>
                <w:sz w:val="21"/>
                <w:szCs w:val="21"/>
              </w:rPr>
              <w:t>公司通过电话，走访等形式，接受顾客反馈，了解顾客满意度信息，发放调查表对顾客满意度进行定量测量。</w:t>
            </w:r>
          </w:p>
          <w:p>
            <w:pPr>
              <w:ind w:firstLine="420" w:firstLineChars="200"/>
              <w:rPr>
                <w:rFonts w:ascii="宋体" w:hAnsi="宋体"/>
                <w:b/>
                <w:sz w:val="21"/>
                <w:szCs w:val="21"/>
              </w:rPr>
            </w:pPr>
            <w:r>
              <w:rPr>
                <w:rFonts w:hint="eastAsia"/>
                <w:sz w:val="21"/>
                <w:szCs w:val="21"/>
              </w:rPr>
              <w:t>提供“顾客满意程度调查表”顾客较满意。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ind w:firstLine="420" w:firstLineChars="200"/>
              <w:rPr>
                <w:rFonts w:ascii="宋体" w:hAnsi="宋体"/>
                <w:b/>
                <w:sz w:val="21"/>
                <w:szCs w:val="21"/>
              </w:rPr>
            </w:pPr>
            <w:r>
              <w:rPr>
                <w:rFonts w:hint="eastAsia"/>
                <w:sz w:val="21"/>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ind w:firstLine="420" w:firstLineChars="200"/>
              <w:rPr>
                <w:rFonts w:ascii="宋体" w:hAnsi="宋体"/>
                <w:b/>
                <w:sz w:val="21"/>
                <w:szCs w:val="21"/>
              </w:rPr>
            </w:pPr>
            <w:r>
              <w:rPr>
                <w:rFonts w:hint="eastAsia"/>
                <w:sz w:val="21"/>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p>
            <w:pPr>
              <w:ind w:firstLine="420" w:firstLineChars="200"/>
              <w:rPr>
                <w:rFonts w:hint="eastAsia"/>
                <w:sz w:val="21"/>
                <w:szCs w:val="21"/>
                <w:lang w:val="en-US" w:eastAsia="zh-CN"/>
              </w:rPr>
            </w:pPr>
          </w:p>
          <w:p>
            <w:pPr>
              <w:ind w:firstLine="420" w:firstLineChars="200"/>
              <w:rPr>
                <w:rFonts w:ascii="宋体" w:hAnsi="宋体"/>
                <w:b/>
                <w:sz w:val="21"/>
                <w:szCs w:val="21"/>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ind w:firstLine="420" w:firstLineChars="200"/>
              <w:rPr>
                <w:rFonts w:hint="eastAsia"/>
                <w:sz w:val="21"/>
                <w:szCs w:val="21"/>
                <w:lang w:val="en-US" w:eastAsia="zh-CN"/>
              </w:rPr>
            </w:pPr>
          </w:p>
          <w:p>
            <w:pPr>
              <w:spacing w:line="240" w:lineRule="exact"/>
              <w:rPr>
                <w:rFonts w:ascii="宋体" w:hAnsi="宋体"/>
                <w:b/>
                <w:sz w:val="21"/>
                <w:szCs w:val="21"/>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ind w:firstLine="420" w:firstLineChars="200"/>
              <w:rPr>
                <w:rFonts w:hint="eastAsia"/>
                <w:sz w:val="21"/>
                <w:szCs w:val="21"/>
                <w:lang w:val="en-US" w:eastAsia="zh-CN"/>
              </w:rPr>
            </w:pPr>
          </w:p>
          <w:p>
            <w:pPr>
              <w:spacing w:line="240" w:lineRule="exact"/>
              <w:rPr>
                <w:rFonts w:ascii="宋体" w:hAnsi="宋体"/>
                <w:b/>
                <w:sz w:val="21"/>
                <w:szCs w:val="21"/>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ind w:firstLine="420" w:firstLineChars="200"/>
              <w:rPr>
                <w:rFonts w:hint="eastAsia"/>
                <w:sz w:val="21"/>
                <w:szCs w:val="21"/>
                <w:lang w:val="en-US" w:eastAsia="zh-CN"/>
              </w:rPr>
            </w:pPr>
          </w:p>
          <w:p>
            <w:pPr>
              <w:spacing w:line="240" w:lineRule="exact"/>
              <w:rPr>
                <w:rFonts w:ascii="宋体" w:hAnsi="宋体"/>
                <w:b/>
                <w:sz w:val="21"/>
                <w:szCs w:val="21"/>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20" w:firstLineChars="200"/>
              <w:rPr>
                <w:rFonts w:ascii="宋体" w:hAnsi="宋体"/>
                <w:b/>
                <w:sz w:val="21"/>
                <w:szCs w:val="21"/>
              </w:rPr>
            </w:pPr>
            <w:r>
              <w:rPr>
                <w:rFonts w:hint="eastAsia"/>
                <w:sz w:val="21"/>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ascii="宋体" w:hAnsi="宋体"/>
                <w:b/>
                <w:sz w:val="21"/>
                <w:szCs w:val="21"/>
              </w:rPr>
            </w:pPr>
            <w:r>
              <w:rPr>
                <w:rFonts w:hint="eastAsia"/>
                <w:b/>
                <w:color w:val="000000"/>
                <w:spacing w:val="-20"/>
                <w:sz w:val="20"/>
              </w:rPr>
              <w:t>已经整改完结</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40" w:lineRule="exact"/>
              <w:ind w:firstLine="480" w:firstLineChars="200"/>
            </w:pPr>
            <w:r>
              <w:rPr>
                <w:rFonts w:hint="eastAsia"/>
                <w:lang w:val="en-US" w:eastAsia="zh-CN"/>
              </w:rPr>
              <w:t>该企业</w:t>
            </w:r>
            <w:r>
              <w:rPr>
                <w:rFonts w:hint="eastAsia"/>
              </w:rPr>
              <w:t>建立并实施的管理体系基本符合标准要求，可能存在的重要风险可以得到有效控制，没有出现过环境和安全事故以及顾客投诉事件发生，体系运行基本有效，初步建立了自我完善和自我改进机制。现场开具的不符合项在规定的期限内采取纠正措施并经审核组书面验证有效后，同意推荐保持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60288" behindDoc="0" locked="0" layoutInCell="1" allowOverlap="1">
            <wp:simplePos x="0" y="0"/>
            <wp:positionH relativeFrom="column">
              <wp:posOffset>1728470</wp:posOffset>
            </wp:positionH>
            <wp:positionV relativeFrom="paragraph">
              <wp:posOffset>189865</wp:posOffset>
            </wp:positionV>
            <wp:extent cx="990600" cy="5715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90600" cy="57150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pStyle w:val="2"/>
      </w:pPr>
    </w:p>
    <w:p>
      <w:pPr>
        <w:snapToGrid w:val="0"/>
        <w:spacing w:before="163" w:beforeLines="50" w:line="320" w:lineRule="exact"/>
        <w:ind w:firstLine="600" w:firstLineChars="250"/>
        <w:rPr>
          <w:b/>
          <w:sz w:val="21"/>
        </w:rPr>
      </w:pPr>
      <w:r>
        <w:drawing>
          <wp:anchor distT="0" distB="0" distL="114300" distR="114300" simplePos="0" relativeHeight="251659264" behindDoc="0" locked="0" layoutInCell="1" allowOverlap="1">
            <wp:simplePos x="0" y="0"/>
            <wp:positionH relativeFrom="column">
              <wp:posOffset>1661795</wp:posOffset>
            </wp:positionH>
            <wp:positionV relativeFrom="paragraph">
              <wp:posOffset>40640</wp:posOffset>
            </wp:positionV>
            <wp:extent cx="2562860" cy="631190"/>
            <wp:effectExtent l="0" t="0" r="8890" b="165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562860" cy="63119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eastAsia"/>
          <w:b/>
          <w:sz w:val="21"/>
        </w:rPr>
      </w:pPr>
    </w:p>
    <w:p>
      <w:pPr>
        <w:snapToGrid w:val="0"/>
        <w:spacing w:line="280" w:lineRule="exact"/>
        <w:ind w:firstLine="7379" w:firstLineChars="3500"/>
        <w:rPr>
          <w:rFonts w:hint="default" w:eastAsia="宋体"/>
          <w:b/>
          <w:sz w:val="21"/>
          <w:lang w:val="en-US" w:eastAsia="zh-CN"/>
        </w:rPr>
      </w:pPr>
      <w:r>
        <w:rPr>
          <w:rFonts w:hint="eastAsia"/>
          <w:b/>
          <w:sz w:val="21"/>
        </w:rPr>
        <w:t>日期：</w:t>
      </w:r>
      <w:r>
        <w:rPr>
          <w:rFonts w:hint="eastAsia"/>
          <w:b/>
          <w:sz w:val="21"/>
          <w:lang w:val="en-US" w:eastAsia="zh-CN"/>
        </w:rPr>
        <w:t>2020年10月26日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52"/>
      </w:r>
      <w:r>
        <w:rPr>
          <w:rFonts w:hint="eastAsia"/>
          <w:b/>
          <w:bCs/>
          <w:sz w:val="21"/>
          <w:szCs w:val="21"/>
        </w:rPr>
        <w:t xml:space="preserve">50430 </w:t>
      </w:r>
      <w:r>
        <w:rPr>
          <w:b/>
          <w:sz w:val="21"/>
          <w:szCs w:val="21"/>
        </w:rPr>
        <w:t>(</w:t>
      </w:r>
      <w:r>
        <w:rPr>
          <w:rFonts w:hint="eastAsia"/>
          <w:b/>
          <w:sz w:val="21"/>
          <w:szCs w:val="21"/>
          <w:lang w:val="en-US" w:eastAsia="zh-CN"/>
        </w:rPr>
        <w:t xml:space="preserve">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rFonts w:hint="eastAsia"/>
          <w:b/>
          <w:sz w:val="21"/>
          <w:szCs w:val="21"/>
        </w:rPr>
      </w:pPr>
      <w:r>
        <w:rPr>
          <w:rFonts w:hint="eastAsia"/>
          <w:b/>
          <w:bCs/>
          <w:sz w:val="21"/>
          <w:szCs w:val="21"/>
        </w:rPr>
        <w:t>审核中发现的</w:t>
      </w:r>
      <w:r>
        <w:rPr>
          <w:rFonts w:hint="eastAsia"/>
          <w:b/>
          <w:sz w:val="21"/>
          <w:szCs w:val="21"/>
        </w:rPr>
        <w:t>□</w:t>
      </w:r>
      <w:r>
        <w:rPr>
          <w:b/>
          <w:sz w:val="21"/>
          <w:szCs w:val="21"/>
        </w:rPr>
        <w:t xml:space="preserve">OHSMS ( </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rFonts w:hint="eastAsia" w:eastAsia="宋体"/>
          <w:b/>
          <w:sz w:val="21"/>
          <w:szCs w:val="21"/>
          <w:u w:val="single"/>
          <w:lang w:val="en-US" w:eastAsia="zh-CN"/>
        </w:rPr>
      </w:pPr>
      <w:r>
        <w:rPr>
          <w:rFonts w:hint="eastAsia"/>
          <w:b/>
          <w:sz w:val="21"/>
          <w:szCs w:val="21"/>
          <w:lang w:val="en-US" w:eastAsia="zh-CN"/>
        </w:rPr>
        <w:t>审核</w:t>
      </w:r>
      <w:r>
        <w:rPr>
          <w:rFonts w:hint="eastAsia"/>
          <w:b/>
          <w:sz w:val="21"/>
          <w:szCs w:val="21"/>
        </w:rPr>
        <w:t>存在问题说明及意见：</w:t>
      </w:r>
      <w:r>
        <w:rPr>
          <w:rFonts w:hint="eastAsia"/>
          <w:b/>
          <w:sz w:val="21"/>
          <w:szCs w:val="21"/>
          <w:lang w:val="en-US" w:eastAsia="zh-CN"/>
        </w:rPr>
        <w:t>无</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eastAsia"/>
          <w:b/>
          <w:sz w:val="21"/>
          <w:szCs w:val="21"/>
          <w:lang w:val="en-US" w:eastAsia="zh-CN"/>
        </w:rPr>
      </w:pPr>
      <w:r>
        <w:drawing>
          <wp:anchor distT="0" distB="0" distL="114300" distR="114300" simplePos="0" relativeHeight="251663360" behindDoc="0" locked="0" layoutInCell="1" allowOverlap="1">
            <wp:simplePos x="0" y="0"/>
            <wp:positionH relativeFrom="column">
              <wp:posOffset>1214120</wp:posOffset>
            </wp:positionH>
            <wp:positionV relativeFrom="paragraph">
              <wp:posOffset>63500</wp:posOffset>
            </wp:positionV>
            <wp:extent cx="857250" cy="49466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57250" cy="494665"/>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w:t>
      </w:r>
    </w:p>
    <w:p>
      <w:pPr>
        <w:tabs>
          <w:tab w:val="left" w:pos="6880"/>
          <w:tab w:val="left" w:pos="7740"/>
          <w:tab w:val="left" w:pos="8385"/>
        </w:tabs>
        <w:snapToGrid w:val="0"/>
        <w:spacing w:before="163" w:beforeLines="50"/>
        <w:ind w:firstLine="723" w:firstLineChars="343"/>
        <w:rPr>
          <w:rFonts w:hint="default"/>
          <w:b/>
          <w:sz w:val="21"/>
          <w:szCs w:val="21"/>
          <w:lang w:val="en-US"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1857DE4D"/>
    <w:multiLevelType w:val="singleLevel"/>
    <w:tmpl w:val="1857DE4D"/>
    <w:lvl w:ilvl="0" w:tentative="0">
      <w:start w:val="2"/>
      <w:numFmt w:val="decimal"/>
      <w:suff w:val="nothing"/>
      <w:lvlText w:val="%1、"/>
      <w:lvlJc w:val="left"/>
    </w:lvl>
  </w:abstractNum>
  <w:abstractNum w:abstractNumId="2">
    <w:nsid w:val="36F6C55F"/>
    <w:multiLevelType w:val="singleLevel"/>
    <w:tmpl w:val="36F6C55F"/>
    <w:lvl w:ilvl="0" w:tentative="0">
      <w:start w:val="3"/>
      <w:numFmt w:val="decimal"/>
      <w:lvlText w:val="%1."/>
      <w:lvlJc w:val="left"/>
      <w:pPr>
        <w:tabs>
          <w:tab w:val="left" w:pos="312"/>
        </w:tabs>
      </w:p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616B96"/>
    <w:rsid w:val="010966C9"/>
    <w:rsid w:val="03F1384E"/>
    <w:rsid w:val="061551BE"/>
    <w:rsid w:val="065630DF"/>
    <w:rsid w:val="0B74715A"/>
    <w:rsid w:val="1203646E"/>
    <w:rsid w:val="12D33A3C"/>
    <w:rsid w:val="13B73A47"/>
    <w:rsid w:val="141602AD"/>
    <w:rsid w:val="167113FA"/>
    <w:rsid w:val="1BB132EB"/>
    <w:rsid w:val="1BFC332E"/>
    <w:rsid w:val="211F27F7"/>
    <w:rsid w:val="21237C5A"/>
    <w:rsid w:val="25383F58"/>
    <w:rsid w:val="26B875BC"/>
    <w:rsid w:val="27492373"/>
    <w:rsid w:val="27865E88"/>
    <w:rsid w:val="28015AE7"/>
    <w:rsid w:val="2A1E3B60"/>
    <w:rsid w:val="2C2033EE"/>
    <w:rsid w:val="2C5F6521"/>
    <w:rsid w:val="2C8740AD"/>
    <w:rsid w:val="2E7A17AE"/>
    <w:rsid w:val="2F104C68"/>
    <w:rsid w:val="2F1645FE"/>
    <w:rsid w:val="30D2233A"/>
    <w:rsid w:val="3258207F"/>
    <w:rsid w:val="366C309D"/>
    <w:rsid w:val="37866F4F"/>
    <w:rsid w:val="3EAA4A75"/>
    <w:rsid w:val="3EF16F21"/>
    <w:rsid w:val="40A66D19"/>
    <w:rsid w:val="41465950"/>
    <w:rsid w:val="417E351F"/>
    <w:rsid w:val="421A56F3"/>
    <w:rsid w:val="4222462C"/>
    <w:rsid w:val="42853C6A"/>
    <w:rsid w:val="43881D1B"/>
    <w:rsid w:val="45055049"/>
    <w:rsid w:val="49EB2CE7"/>
    <w:rsid w:val="4DD406FF"/>
    <w:rsid w:val="4DE35EF9"/>
    <w:rsid w:val="4E97244A"/>
    <w:rsid w:val="50403EBC"/>
    <w:rsid w:val="5090014C"/>
    <w:rsid w:val="524573A9"/>
    <w:rsid w:val="545460BE"/>
    <w:rsid w:val="58FE4B43"/>
    <w:rsid w:val="5C716271"/>
    <w:rsid w:val="5DEA124A"/>
    <w:rsid w:val="5F7A28D5"/>
    <w:rsid w:val="604C3E3A"/>
    <w:rsid w:val="607B1258"/>
    <w:rsid w:val="62A930C3"/>
    <w:rsid w:val="63B153EC"/>
    <w:rsid w:val="648A75F1"/>
    <w:rsid w:val="64A87550"/>
    <w:rsid w:val="64AB1F4D"/>
    <w:rsid w:val="65EB247E"/>
    <w:rsid w:val="65EE4E1B"/>
    <w:rsid w:val="67653F82"/>
    <w:rsid w:val="67CF626D"/>
    <w:rsid w:val="6CB61C59"/>
    <w:rsid w:val="716A6D16"/>
    <w:rsid w:val="71731C18"/>
    <w:rsid w:val="73800D16"/>
    <w:rsid w:val="73B867F3"/>
    <w:rsid w:val="74226350"/>
    <w:rsid w:val="76232F64"/>
    <w:rsid w:val="76AD4398"/>
    <w:rsid w:val="77A26797"/>
    <w:rsid w:val="79846CCA"/>
    <w:rsid w:val="79925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Joyce</cp:lastModifiedBy>
  <cp:lastPrinted>2019-04-18T08:15:00Z</cp:lastPrinted>
  <dcterms:modified xsi:type="dcterms:W3CDTF">2020-12-17T14:08:26Z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