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906"/>
        <w:gridCol w:w="336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四川安凯人防设备有限公司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四川省德阳市旌阳区六盘山路18号A区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肖天福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13980597898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肖天福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0096-2018-Q-2020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</w:rPr>
              <w:t>资质范围内钢筋混凝土防护设备、钢结构手动防护设备的生产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  <w:lang w:eastAsia="zh-CN"/>
              </w:rPr>
              <w:t>及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</w:rPr>
              <w:t xml:space="preserve">阀门的销售 </w:t>
            </w:r>
            <w:bookmarkStart w:id="18" w:name="_GoBack"/>
            <w:bookmarkEnd w:id="1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18.01.04;18.05.07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2020年10月31日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2020年10月31日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7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7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7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18.01.04,18.05.07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7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8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7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8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2020年10月30日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6"/>
              <w:tblW w:w="10433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57"/>
              <w:gridCol w:w="1548"/>
              <w:gridCol w:w="7728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70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8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70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1157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31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8：00-8：30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首次会议：张心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8：30-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总则10.3持续改进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标准/规范/法规的执行情况、上次审核不符合项的验证（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7.1.3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采购部：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5.3组织的角色、职责和权限；6.2质量目标及其实现的策划；8.4外部提供过程、产品和服务的控制（上次审核不符合项的验证）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57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11:00-12:00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销售部：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5.3组织的角色、职责和权限；6.2质量目标及其实现的策划；8.2产品和服务的要求；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8.5.1生产和服务提供的控制（阀门的销售）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8.5.3顾客或外部供方的财产；8.5.5交付后的活动； 9.1.2顾客满意；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57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12:00-13:00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58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13:00-15:30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生产部: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7.1.3基础设施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（上次审核不符合项的验证）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7.1.5监视和测量资源;8.1运行策划和控制；8.3设计开发控制；8.5.1生产和服务提供的控制；8.5.2标识和可追溯性；8.5.4防护；8.5.6更改控制；8.6产品和服务放行；8.7不合格输出的控制；10.2不合格和纠正措施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58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15:30-16:30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行政部: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 9.1.3分析和评价；9.2内部审核；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16:30-17:00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;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末次会议（张心）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4194D"/>
    <w:rsid w:val="052E5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2020-10-31T01:29:55Z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