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val="en-US" w:eastAsia="zh-CN"/>
              </w:rPr>
              <w:t>领导层</w:t>
            </w:r>
            <w:r>
              <w:rPr>
                <w:sz w:val="24"/>
              </w:rPr>
              <w:t xml:space="preserve">         </w:t>
            </w:r>
            <w:r>
              <w:rPr>
                <w:rFonts w:hint="eastAsia"/>
                <w:sz w:val="24"/>
              </w:rPr>
              <w:t>主管领导：</w:t>
            </w:r>
            <w:r>
              <w:rPr>
                <w:rFonts w:hint="eastAsia"/>
                <w:sz w:val="24"/>
                <w:lang w:val="en-US" w:eastAsia="zh-CN"/>
              </w:rPr>
              <w:t>吴操</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 xml:space="preserve">陪同人员： </w:t>
            </w:r>
            <w:r>
              <w:rPr>
                <w:rFonts w:hint="eastAsia"/>
                <w:sz w:val="24"/>
                <w:lang w:val="en-US" w:eastAsia="zh-CN"/>
              </w:rPr>
              <w:t xml:space="preserve"> </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审核员：</w:t>
            </w:r>
            <w:r>
              <w:rPr>
                <w:rFonts w:hint="eastAsia"/>
                <w:sz w:val="24"/>
                <w:lang w:val="en-US" w:eastAsia="zh-CN"/>
              </w:rPr>
              <w:t xml:space="preserve">郝本东  </w:t>
            </w:r>
            <w:r>
              <w:rPr>
                <w:rFonts w:hint="eastAsia"/>
                <w:sz w:val="24"/>
              </w:rPr>
              <w:t xml:space="preserve"> </w:t>
            </w:r>
            <w:r>
              <w:rPr>
                <w:sz w:val="24"/>
              </w:rPr>
              <w:t xml:space="preserve">                </w:t>
            </w:r>
            <w:r>
              <w:rPr>
                <w:rFonts w:hint="eastAsia"/>
                <w:sz w:val="24"/>
              </w:rPr>
              <w:t>审核时间：20</w:t>
            </w:r>
            <w:r>
              <w:rPr>
                <w:rFonts w:hint="eastAsia"/>
                <w:sz w:val="24"/>
                <w:lang w:val="en-US" w:eastAsia="zh-CN"/>
              </w:rPr>
              <w:t>20</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17</w:t>
            </w:r>
            <w:r>
              <w:rPr>
                <w:rFonts w:hint="eastAsia"/>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60" w:lineRule="exact"/>
              <w:ind w:left="0" w:right="0"/>
              <w:jc w:val="left"/>
              <w:textAlignment w:val="auto"/>
              <w:rPr>
                <w:sz w:val="24"/>
              </w:rPr>
            </w:pPr>
            <w:r>
              <w:rPr>
                <w:rFonts w:hint="eastAsia"/>
                <w:sz w:val="24"/>
              </w:rPr>
              <w:t>审核条款：</w:t>
            </w:r>
          </w:p>
          <w:p>
            <w:pPr>
              <w:snapToGrid w:val="0"/>
              <w:spacing w:line="280" w:lineRule="exact"/>
              <w:jc w:val="left"/>
              <w:rPr>
                <w:rFonts w:hint="default" w:eastAsia="宋体" w:cs="Arial"/>
                <w:bCs/>
                <w:szCs w:val="21"/>
                <w:lang w:val="en-US" w:eastAsia="zh-CN"/>
              </w:rPr>
            </w:pPr>
            <w:r>
              <w:rPr>
                <w:rFonts w:hint="eastAsia" w:ascii="宋体" w:hAnsi="宋体" w:cs="Arial"/>
                <w:bCs/>
                <w:sz w:val="24"/>
              </w:rPr>
              <w:t>QMS：</w:t>
            </w:r>
            <w:r>
              <w:rPr>
                <w:rFonts w:hint="eastAsia" w:ascii="宋体" w:hAnsi="宋体" w:cs="Arial"/>
                <w:bCs/>
                <w:sz w:val="24"/>
                <w:lang w:val="en-US" w:eastAsia="zh-CN"/>
              </w:rPr>
              <w:t>4</w:t>
            </w:r>
            <w:r>
              <w:rPr>
                <w:rFonts w:hint="eastAsia" w:ascii="宋体" w:hAnsi="宋体" w:cs="Arial"/>
                <w:bCs/>
                <w:sz w:val="24"/>
              </w:rPr>
              <w:t>、</w:t>
            </w:r>
            <w:r>
              <w:rPr>
                <w:rFonts w:hint="eastAsia" w:ascii="宋体" w:hAnsi="宋体" w:cs="Arial"/>
                <w:bCs/>
                <w:sz w:val="24"/>
                <w:lang w:val="en-US" w:eastAsia="zh-CN"/>
              </w:rPr>
              <w:t>5、</w:t>
            </w:r>
            <w:r>
              <w:rPr>
                <w:rFonts w:hint="eastAsia" w:ascii="宋体" w:hAnsi="宋体" w:cs="Arial"/>
                <w:bCs/>
                <w:sz w:val="24"/>
              </w:rPr>
              <w:t>6、</w:t>
            </w:r>
            <w:r>
              <w:rPr>
                <w:rFonts w:hint="eastAsia" w:ascii="宋体" w:hAnsi="宋体" w:cs="Arial"/>
                <w:bCs/>
                <w:sz w:val="24"/>
                <w:lang w:val="en-US" w:eastAsia="zh-CN"/>
              </w:rPr>
              <w:t>7.1.1、</w:t>
            </w:r>
            <w:r>
              <w:rPr>
                <w:rFonts w:hint="eastAsia" w:ascii="宋体" w:hAnsi="宋体" w:cs="Arial"/>
                <w:bCs/>
                <w:sz w:val="24"/>
              </w:rPr>
              <w:t>7.4、</w:t>
            </w:r>
            <w:r>
              <w:rPr>
                <w:rFonts w:hint="eastAsia" w:ascii="宋体" w:hAnsi="宋体" w:cs="Arial"/>
                <w:bCs/>
                <w:color w:val="auto"/>
                <w:sz w:val="24"/>
                <w:lang w:val="en-US" w:eastAsia="zh-CN"/>
              </w:rPr>
              <w:t>8.3</w:t>
            </w:r>
            <w:r>
              <w:rPr>
                <w:rFonts w:hint="eastAsia" w:ascii="宋体" w:hAnsi="宋体" w:cs="Arial"/>
                <w:bCs/>
                <w:color w:val="auto"/>
                <w:sz w:val="24"/>
              </w:rPr>
              <w:t>、</w:t>
            </w:r>
            <w:r>
              <w:rPr>
                <w:rFonts w:hint="eastAsia" w:ascii="宋体" w:hAnsi="宋体" w:cs="Arial"/>
                <w:bCs/>
                <w:sz w:val="24"/>
                <w:lang w:val="en-US" w:eastAsia="zh-CN"/>
              </w:rPr>
              <w:t>9.1.1</w:t>
            </w:r>
            <w:r>
              <w:rPr>
                <w:rFonts w:hint="eastAsia" w:ascii="宋体" w:hAnsi="宋体" w:cs="Arial"/>
                <w:bCs/>
                <w:sz w:val="24"/>
              </w:rPr>
              <w:t>、</w:t>
            </w:r>
            <w:r>
              <w:rPr>
                <w:rFonts w:hint="eastAsia" w:ascii="宋体" w:hAnsi="宋体" w:cs="Arial"/>
                <w:bCs/>
                <w:sz w:val="24"/>
                <w:lang w:val="en-US" w:eastAsia="zh-CN"/>
              </w:rPr>
              <w:t>9.1</w:t>
            </w:r>
            <w:r>
              <w:rPr>
                <w:rFonts w:hint="eastAsia" w:ascii="宋体" w:hAnsi="宋体" w:cs="Arial"/>
                <w:bCs/>
                <w:sz w:val="24"/>
              </w:rPr>
              <w:t>.3、</w:t>
            </w:r>
            <w:r>
              <w:rPr>
                <w:rFonts w:hint="eastAsia" w:ascii="宋体" w:hAnsi="宋体" w:cs="Arial"/>
                <w:bCs/>
                <w:sz w:val="24"/>
                <w:lang w:val="en-US" w:eastAsia="zh-CN"/>
              </w:rPr>
              <w:t>9.3</w:t>
            </w:r>
            <w:r>
              <w:rPr>
                <w:rFonts w:hint="eastAsia" w:ascii="宋体" w:hAnsi="宋体" w:cs="Arial"/>
                <w:bCs/>
                <w:sz w:val="24"/>
              </w:rPr>
              <w:t>、</w:t>
            </w:r>
            <w:r>
              <w:rPr>
                <w:rFonts w:hint="eastAsia" w:ascii="宋体" w:hAnsi="宋体" w:cs="Arial"/>
                <w:bCs/>
                <w:sz w:val="24"/>
                <w:lang w:val="en-US" w:eastAsia="zh-CN"/>
              </w:rPr>
              <w:t>10.1、10.3</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eastAsia="宋体"/>
                <w:sz w:val="24"/>
                <w:lang w:val="en-US" w:eastAsia="zh-CN"/>
              </w:rPr>
            </w:pPr>
            <w:r>
              <w:rPr>
                <w:rFonts w:hint="eastAsia"/>
                <w:sz w:val="24"/>
                <w:lang w:val="en-US" w:eastAsia="zh-CN"/>
              </w:rPr>
              <w:t>理解组织及环境</w:t>
            </w:r>
          </w:p>
        </w:tc>
        <w:tc>
          <w:tcPr>
            <w:tcW w:w="960" w:type="dxa"/>
          </w:tcPr>
          <w:p>
            <w:pPr>
              <w:rPr>
                <w:rFonts w:hint="default" w:eastAsia="宋体"/>
                <w:sz w:val="24"/>
                <w:lang w:val="en-US" w:eastAsia="zh-CN"/>
              </w:rPr>
            </w:pPr>
            <w:r>
              <w:rPr>
                <w:rFonts w:hint="eastAsia"/>
                <w:sz w:val="24"/>
                <w:lang w:val="en-US" w:eastAsia="zh-CN"/>
              </w:rPr>
              <w:t>Q4.1</w:t>
            </w:r>
          </w:p>
        </w:tc>
        <w:tc>
          <w:tcPr>
            <w:tcW w:w="10004" w:type="dxa"/>
          </w:tcPr>
          <w:p>
            <w:pPr>
              <w:spacing w:line="340" w:lineRule="exact"/>
              <w:rPr>
                <w:rFonts w:hint="default" w:ascii="宋体" w:hAnsi="宋体"/>
                <w:sz w:val="24"/>
                <w:lang w:val="en-US" w:eastAsia="zh-CN"/>
              </w:rPr>
            </w:pPr>
            <w:r>
              <w:rPr>
                <w:rFonts w:hint="eastAsia" w:ascii="宋体" w:hAnsi="宋体"/>
                <w:sz w:val="24"/>
                <w:lang w:val="en-US" w:eastAsia="zh-CN"/>
              </w:rPr>
              <w:t>总经理: 吴越</w:t>
            </w:r>
          </w:p>
          <w:p>
            <w:pPr>
              <w:spacing w:line="340" w:lineRule="exact"/>
              <w:rPr>
                <w:rFonts w:hint="eastAsia" w:ascii="宋体" w:hAnsi="宋体"/>
                <w:sz w:val="24"/>
                <w:lang w:val="en-US" w:eastAsia="zh-CN"/>
              </w:rPr>
            </w:pPr>
            <w:r>
              <w:rPr>
                <w:rFonts w:hint="eastAsia" w:ascii="宋体" w:hAnsi="宋体"/>
                <w:sz w:val="24"/>
                <w:lang w:val="en-US" w:eastAsia="zh-CN"/>
              </w:rPr>
              <w:t>管理者代表: 肖国文，知晓除本身工作职责外，管理体系还赋予其职责和权限, 持续保持管理体系运行的有效性。 公司成立于2020年 , 专业生产三维打印，经营范围：</w:t>
            </w:r>
            <w:bookmarkStart w:id="0" w:name="审核范围"/>
            <w:r>
              <w:rPr>
                <w:rFonts w:hint="eastAsia" w:ascii="宋体" w:hAnsi="宋体"/>
                <w:sz w:val="24"/>
                <w:lang w:val="en-US" w:eastAsia="zh-CN"/>
              </w:rPr>
              <w:t>塑料制品加工（三维打印）</w:t>
            </w:r>
            <w:bookmarkEnd w:id="0"/>
            <w:r>
              <w:rPr>
                <w:rFonts w:hint="eastAsia" w:ascii="宋体" w:hAnsi="宋体"/>
                <w:sz w:val="24"/>
                <w:lang w:val="en-US" w:eastAsia="zh-CN"/>
              </w:rPr>
              <w:t>等。</w:t>
            </w:r>
          </w:p>
          <w:p>
            <w:pPr>
              <w:spacing w:line="340" w:lineRule="exact"/>
              <w:rPr>
                <w:rFonts w:hint="default" w:ascii="宋体" w:hAnsi="宋体"/>
                <w:sz w:val="24"/>
                <w:lang w:val="en-US" w:eastAsia="zh-CN"/>
              </w:rPr>
            </w:pPr>
            <w:r>
              <w:rPr>
                <w:rFonts w:hint="eastAsia" w:ascii="宋体" w:hAnsi="宋体"/>
                <w:sz w:val="24"/>
                <w:lang w:val="en-US" w:eastAsia="zh-CN"/>
              </w:rPr>
              <w:t>查《相关方的需求和期望清单》和《风险与机遇识别评价与应对策划表》，分析了组织相关的内外部因素：</w:t>
            </w:r>
          </w:p>
          <w:p>
            <w:pPr>
              <w:spacing w:line="340" w:lineRule="exact"/>
              <w:rPr>
                <w:rFonts w:hint="eastAsia" w:ascii="宋体" w:hAnsi="宋体"/>
                <w:sz w:val="24"/>
                <w:lang w:val="en-US" w:eastAsia="zh-CN"/>
              </w:rPr>
            </w:pPr>
            <w:r>
              <w:rPr>
                <w:rFonts w:hint="eastAsia" w:ascii="宋体" w:hAnsi="宋体"/>
                <w:sz w:val="24"/>
                <w:lang w:val="en-US" w:eastAsia="zh-CN"/>
              </w:rPr>
              <w:t>内部因素：■财务状况；■加工设备设施；■人员流动；■管理绩效；</w:t>
            </w:r>
          </w:p>
          <w:p>
            <w:pPr>
              <w:spacing w:line="340" w:lineRule="exact"/>
              <w:rPr>
                <w:rFonts w:hint="default"/>
                <w:lang w:val="en-US" w:eastAsia="zh-CN"/>
              </w:rPr>
            </w:pPr>
            <w:r>
              <w:rPr>
                <w:rFonts w:hint="eastAsia" w:ascii="宋体" w:hAnsi="宋体"/>
                <w:sz w:val="24"/>
                <w:lang w:val="en-US" w:eastAsia="zh-CN"/>
              </w:rPr>
              <w:t>外部因素：■外部招工难；■社会经济环境；■行业竞争需求；■国家的法律法规；</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tcPr>
          <w:p>
            <w:pPr>
              <w:rPr>
                <w:rFonts w:hint="eastAsia"/>
                <w:sz w:val="24"/>
                <w:lang w:val="en-US" w:eastAsia="zh-CN"/>
              </w:rPr>
            </w:pPr>
            <w:r>
              <w:rPr>
                <w:rFonts w:hint="eastAsia"/>
                <w:szCs w:val="21"/>
              </w:rPr>
              <w:t>相关方需求和期望</w:t>
            </w:r>
          </w:p>
        </w:tc>
        <w:tc>
          <w:tcPr>
            <w:tcW w:w="960" w:type="dxa"/>
          </w:tcPr>
          <w:p>
            <w:pPr>
              <w:rPr>
                <w:rFonts w:hint="default"/>
                <w:sz w:val="24"/>
                <w:lang w:val="en-US" w:eastAsia="zh-CN"/>
              </w:rPr>
            </w:pPr>
            <w:r>
              <w:rPr>
                <w:rFonts w:hint="eastAsia"/>
                <w:sz w:val="24"/>
                <w:lang w:val="en-US" w:eastAsia="zh-CN"/>
              </w:rPr>
              <w:t>Q4.2</w:t>
            </w:r>
          </w:p>
        </w:tc>
        <w:tc>
          <w:tcPr>
            <w:tcW w:w="10004" w:type="dxa"/>
          </w:tcPr>
          <w:p>
            <w:pPr>
              <w:spacing w:line="340" w:lineRule="exact"/>
              <w:rPr>
                <w:rFonts w:hint="eastAsia"/>
                <w:sz w:val="24"/>
                <w:lang w:val="en-US" w:eastAsia="zh-CN"/>
              </w:rPr>
            </w:pPr>
            <w:r>
              <w:rPr>
                <w:rFonts w:hint="eastAsia" w:ascii="宋体" w:hAnsi="宋体"/>
                <w:sz w:val="24"/>
                <w:lang w:val="en-US" w:eastAsia="zh-CN"/>
              </w:rPr>
              <w:t>公司相关方包括：顾客、供方、员工、审核机构、政府机构。查《相关方的需求和期望清单》，明确写明相关方的需求和期望，公司监测的指标或项目以及监测部门和频率。</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eastAsia="宋体"/>
                <w:szCs w:val="21"/>
                <w:lang w:val="en-US" w:eastAsia="zh-CN"/>
              </w:rPr>
            </w:pPr>
            <w:r>
              <w:rPr>
                <w:rFonts w:hint="eastAsia"/>
                <w:szCs w:val="21"/>
                <w:lang w:val="en-US" w:eastAsia="zh-CN"/>
              </w:rPr>
              <w:t>质量管理体系的范围</w:t>
            </w:r>
          </w:p>
        </w:tc>
        <w:tc>
          <w:tcPr>
            <w:tcW w:w="960" w:type="dxa"/>
          </w:tcPr>
          <w:p>
            <w:pPr>
              <w:rPr>
                <w:rFonts w:hint="eastAsia"/>
                <w:sz w:val="24"/>
                <w:lang w:val="en-US" w:eastAsia="zh-CN"/>
              </w:rPr>
            </w:pPr>
            <w:r>
              <w:rPr>
                <w:rFonts w:hint="eastAsia"/>
                <w:sz w:val="24"/>
                <w:lang w:val="en-US" w:eastAsia="zh-CN"/>
              </w:rPr>
              <w:t>Q4.3</w:t>
            </w:r>
          </w:p>
        </w:tc>
        <w:tc>
          <w:tcPr>
            <w:tcW w:w="10004" w:type="dxa"/>
          </w:tcPr>
          <w:p>
            <w:pPr>
              <w:spacing w:line="340" w:lineRule="exact"/>
              <w:rPr>
                <w:rFonts w:hint="default" w:ascii="宋体" w:hAnsi="宋体"/>
                <w:sz w:val="24"/>
                <w:lang w:val="en-US" w:eastAsia="zh-CN"/>
              </w:rPr>
            </w:pPr>
            <w:r>
              <w:rPr>
                <w:rFonts w:hint="eastAsia" w:ascii="宋体" w:hAnsi="宋体"/>
                <w:sz w:val="24"/>
                <w:lang w:val="en-US" w:eastAsia="zh-CN"/>
              </w:rPr>
              <w:t>申请认证的范围：塑料制品加工（三维打印）</w:t>
            </w:r>
          </w:p>
          <w:p>
            <w:pPr>
              <w:spacing w:line="340" w:lineRule="exact"/>
              <w:rPr>
                <w:rFonts w:hint="default" w:ascii="宋体" w:hAnsi="宋体"/>
                <w:sz w:val="24"/>
                <w:lang w:val="en-US" w:eastAsia="zh-CN"/>
              </w:rPr>
            </w:pPr>
            <w:r>
              <w:rPr>
                <w:rFonts w:hint="eastAsia" w:ascii="宋体" w:hAnsi="宋体"/>
                <w:sz w:val="24"/>
                <w:lang w:val="en-US" w:eastAsia="zh-CN"/>
              </w:rPr>
              <w:t>覆盖的部门：办公室、供销部、生产部、质检部</w:t>
            </w:r>
          </w:p>
          <w:p>
            <w:pPr>
              <w:spacing w:line="340" w:lineRule="exact"/>
              <w:rPr>
                <w:rFonts w:hint="eastAsia" w:ascii="宋体" w:hAnsi="宋体"/>
                <w:sz w:val="24"/>
                <w:lang w:val="en-US" w:eastAsia="zh-CN"/>
              </w:rPr>
            </w:pPr>
            <w:r>
              <w:rPr>
                <w:rFonts w:hint="eastAsia" w:ascii="宋体" w:hAnsi="宋体"/>
                <w:sz w:val="24"/>
                <w:lang w:val="en-US" w:eastAsia="zh-CN"/>
              </w:rPr>
              <w:t>覆盖的时期：2020年7月至现在</w:t>
            </w:r>
          </w:p>
          <w:p>
            <w:pPr>
              <w:spacing w:line="340" w:lineRule="exact"/>
              <w:rPr>
                <w:rFonts w:hint="eastAsia"/>
                <w:sz w:val="24"/>
                <w:lang w:val="en-US" w:eastAsia="zh-CN"/>
              </w:rPr>
            </w:pPr>
            <w:r>
              <w:rPr>
                <w:rFonts w:hint="eastAsia" w:ascii="宋体" w:hAnsi="宋体"/>
                <w:sz w:val="24"/>
                <w:lang w:val="en-US" w:eastAsia="zh-CN"/>
              </w:rPr>
              <w:t>注册地址：</w:t>
            </w:r>
            <w:bookmarkStart w:id="1" w:name="生产地址"/>
            <w:r>
              <w:rPr>
                <w:rFonts w:hint="eastAsia" w:ascii="宋体" w:hAnsi="宋体"/>
                <w:sz w:val="24"/>
                <w:lang w:val="en-US" w:eastAsia="zh-CN"/>
              </w:rPr>
              <w:t>南京市江宁区苏源大道98号同腾创业园</w:t>
            </w:r>
            <w:bookmarkEnd w:id="1"/>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rPr>
                <w:rFonts w:hint="default"/>
                <w:szCs w:val="21"/>
                <w:lang w:val="en-US" w:eastAsia="zh-CN"/>
              </w:rPr>
            </w:pPr>
            <w:r>
              <w:rPr>
                <w:rFonts w:hint="eastAsia"/>
                <w:szCs w:val="21"/>
                <w:lang w:val="en-US" w:eastAsia="zh-CN"/>
              </w:rPr>
              <w:t>质量管理体系及其过程</w:t>
            </w:r>
          </w:p>
        </w:tc>
        <w:tc>
          <w:tcPr>
            <w:tcW w:w="960" w:type="dxa"/>
          </w:tcPr>
          <w:p>
            <w:pPr>
              <w:rPr>
                <w:rFonts w:hint="eastAsia"/>
                <w:sz w:val="24"/>
                <w:lang w:val="en-US" w:eastAsia="zh-CN"/>
              </w:rPr>
            </w:pPr>
            <w:r>
              <w:rPr>
                <w:rFonts w:hint="eastAsia"/>
                <w:sz w:val="24"/>
                <w:lang w:val="en-US" w:eastAsia="zh-CN"/>
              </w:rPr>
              <w:t>Q4.4</w:t>
            </w:r>
          </w:p>
        </w:tc>
        <w:tc>
          <w:tcPr>
            <w:tcW w:w="10004" w:type="dxa"/>
          </w:tcPr>
          <w:p>
            <w:pPr>
              <w:spacing w:line="340" w:lineRule="exact"/>
              <w:rPr>
                <w:rFonts w:hint="eastAsia" w:ascii="宋体" w:hAnsi="宋体"/>
                <w:sz w:val="24"/>
                <w:lang w:val="en-US" w:eastAsia="zh-CN"/>
              </w:rPr>
            </w:pPr>
            <w:r>
              <w:rPr>
                <w:rFonts w:hint="eastAsia" w:ascii="宋体" w:hAnsi="宋体"/>
                <w:sz w:val="24"/>
                <w:lang w:val="en-US" w:eastAsia="zh-CN"/>
              </w:rPr>
              <w:t>质量方面：查《过程风险与机遇评价与应对策划表》</w:t>
            </w:r>
          </w:p>
          <w:p>
            <w:pPr>
              <w:spacing w:line="340" w:lineRule="exact"/>
              <w:rPr>
                <w:rFonts w:hint="eastAsia" w:ascii="宋体" w:hAnsi="宋体"/>
                <w:sz w:val="24"/>
                <w:lang w:val="en-US" w:eastAsia="zh-CN"/>
              </w:rPr>
            </w:pPr>
            <w:r>
              <w:rPr>
                <w:rFonts w:hint="eastAsia" w:ascii="宋体" w:hAnsi="宋体"/>
                <w:sz w:val="24"/>
                <w:lang w:val="en-US" w:eastAsia="zh-CN"/>
              </w:rPr>
              <w:t>与顾客有关的过程COP——6个</w:t>
            </w:r>
          </w:p>
          <w:p>
            <w:pPr>
              <w:spacing w:line="340" w:lineRule="exact"/>
              <w:rPr>
                <w:rFonts w:hint="eastAsia" w:ascii="宋体" w:hAnsi="宋体"/>
                <w:sz w:val="24"/>
                <w:lang w:val="en-US" w:eastAsia="zh-CN"/>
              </w:rPr>
            </w:pPr>
            <w:r>
              <w:rPr>
                <w:rFonts w:hint="eastAsia" w:ascii="宋体" w:hAnsi="宋体"/>
                <w:sz w:val="24"/>
                <w:lang w:val="en-US" w:eastAsia="zh-CN"/>
              </w:rPr>
              <w:t>管理过程MP——10个</w:t>
            </w:r>
          </w:p>
          <w:p>
            <w:pPr>
              <w:spacing w:line="340" w:lineRule="exact"/>
              <w:rPr>
                <w:rFonts w:hint="eastAsia" w:ascii="宋体" w:hAnsi="宋体"/>
                <w:sz w:val="24"/>
                <w:lang w:val="en-US" w:eastAsia="zh-CN"/>
              </w:rPr>
            </w:pPr>
            <w:r>
              <w:rPr>
                <w:rFonts w:hint="eastAsia" w:ascii="宋体" w:hAnsi="宋体"/>
                <w:sz w:val="24"/>
                <w:lang w:val="en-US" w:eastAsia="zh-CN"/>
              </w:rPr>
              <w:t>支持过程SP——14个</w:t>
            </w:r>
          </w:p>
          <w:p>
            <w:pPr>
              <w:spacing w:line="340" w:lineRule="exact"/>
              <w:rPr>
                <w:rFonts w:hint="eastAsia" w:ascii="宋体" w:hAnsi="宋体"/>
                <w:sz w:val="24"/>
                <w:lang w:val="en-US" w:eastAsia="zh-CN"/>
              </w:rPr>
            </w:pPr>
            <w:r>
              <w:rPr>
                <w:rFonts w:hint="eastAsia" w:ascii="宋体" w:hAnsi="宋体"/>
                <w:sz w:val="24"/>
                <w:lang w:val="en-US" w:eastAsia="zh-CN"/>
              </w:rPr>
              <w:t>提供了房屋租赁合同：与南京星合精密智能制造研究院有限公司签订了合同，在有效期内。</w:t>
            </w:r>
          </w:p>
          <w:p>
            <w:pPr>
              <w:spacing w:line="340" w:lineRule="exact"/>
              <w:rPr>
                <w:rFonts w:hint="default" w:ascii="宋体" w:hAnsi="宋体"/>
                <w:sz w:val="24"/>
                <w:lang w:val="en-US" w:eastAsia="zh-CN"/>
              </w:rPr>
            </w:pPr>
            <w:r>
              <w:rPr>
                <w:rFonts w:hint="eastAsia" w:ascii="宋体" w:hAnsi="宋体"/>
                <w:sz w:val="24"/>
                <w:lang w:val="en-US" w:eastAsia="zh-CN"/>
              </w:rPr>
              <w:t>提供了物流协议：与顺风快递签订了合同，在人效期内。</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szCs w:val="21"/>
                <w:lang w:val="en-US" w:eastAsia="zh-CN"/>
              </w:rPr>
            </w:pPr>
            <w:r>
              <w:rPr>
                <w:rFonts w:hint="eastAsia"/>
                <w:szCs w:val="21"/>
                <w:lang w:val="en-US" w:eastAsia="zh-CN"/>
              </w:rPr>
              <w:t>领导的作用和承诺</w:t>
            </w:r>
          </w:p>
        </w:tc>
        <w:tc>
          <w:tcPr>
            <w:tcW w:w="960" w:type="dxa"/>
          </w:tcPr>
          <w:p>
            <w:pPr>
              <w:rPr>
                <w:rFonts w:hint="default"/>
                <w:sz w:val="24"/>
                <w:lang w:val="en-US" w:eastAsia="zh-CN"/>
              </w:rPr>
            </w:pPr>
            <w:r>
              <w:rPr>
                <w:rFonts w:hint="eastAsia"/>
                <w:sz w:val="24"/>
                <w:lang w:val="en-US" w:eastAsia="zh-CN"/>
              </w:rPr>
              <w:t>Q5.1</w:t>
            </w:r>
          </w:p>
        </w:tc>
        <w:tc>
          <w:tcPr>
            <w:tcW w:w="10004" w:type="dxa"/>
          </w:tcPr>
          <w:p>
            <w:pPr>
              <w:spacing w:line="340" w:lineRule="exact"/>
              <w:rPr>
                <w:rFonts w:hint="eastAsia"/>
                <w:sz w:val="24"/>
                <w:lang w:val="en-US" w:eastAsia="zh-CN"/>
              </w:rPr>
            </w:pPr>
            <w:r>
              <w:rPr>
                <w:rFonts w:hint="eastAsia"/>
                <w:sz w:val="24"/>
                <w:lang w:val="en-US" w:eastAsia="zh-CN"/>
              </w:rPr>
              <w:t>在《管理手册》中5.1.1条款中有关于最高管理者承诺的描述；包括下列内容：</w:t>
            </w:r>
          </w:p>
          <w:p>
            <w:pPr>
              <w:spacing w:line="340" w:lineRule="exact"/>
              <w:rPr>
                <w:rFonts w:hint="eastAsia"/>
                <w:sz w:val="24"/>
                <w:lang w:val="en-US" w:eastAsia="zh-CN"/>
              </w:rPr>
            </w:pPr>
            <w:r>
              <w:rPr>
                <w:rFonts w:hint="eastAsia"/>
                <w:sz w:val="24"/>
                <w:lang w:val="en-US" w:eastAsia="zh-CN"/>
              </w:rPr>
              <w:t xml:space="preserve">a) 对管理体系的有效性责任； </w:t>
            </w:r>
          </w:p>
          <w:p>
            <w:pPr>
              <w:spacing w:line="340" w:lineRule="exact"/>
              <w:rPr>
                <w:rFonts w:hint="eastAsia"/>
                <w:sz w:val="24"/>
                <w:lang w:val="en-US" w:eastAsia="zh-CN"/>
              </w:rPr>
            </w:pPr>
            <w:r>
              <w:rPr>
                <w:rFonts w:hint="eastAsia"/>
                <w:sz w:val="24"/>
                <w:lang w:val="en-US" w:eastAsia="zh-CN"/>
              </w:rPr>
              <w:t xml:space="preserve">b) 确保制定管理体系的方针和目标，并与组织环境相适应，与战略方向相一致； </w:t>
            </w:r>
          </w:p>
          <w:p>
            <w:pPr>
              <w:spacing w:line="340" w:lineRule="exact"/>
              <w:rPr>
                <w:rFonts w:hint="eastAsia"/>
                <w:sz w:val="24"/>
                <w:lang w:val="en-US" w:eastAsia="zh-CN"/>
              </w:rPr>
            </w:pPr>
            <w:r>
              <w:rPr>
                <w:rFonts w:hint="eastAsia"/>
                <w:sz w:val="24"/>
                <w:lang w:val="en-US" w:eastAsia="zh-CN"/>
              </w:rPr>
              <w:t xml:space="preserve">c) 确保管理体系要求融入组织的业务过程； </w:t>
            </w:r>
          </w:p>
          <w:p>
            <w:pPr>
              <w:spacing w:line="340" w:lineRule="exact"/>
              <w:rPr>
                <w:rFonts w:hint="eastAsia"/>
                <w:sz w:val="24"/>
                <w:lang w:val="en-US" w:eastAsia="zh-CN"/>
              </w:rPr>
            </w:pPr>
            <w:r>
              <w:rPr>
                <w:rFonts w:hint="eastAsia"/>
                <w:sz w:val="24"/>
                <w:lang w:val="en-US" w:eastAsia="zh-CN"/>
              </w:rPr>
              <w:t xml:space="preserve">d) 促进使用过程方法和基于风险的思维； </w:t>
            </w:r>
          </w:p>
          <w:p>
            <w:pPr>
              <w:spacing w:line="340" w:lineRule="exact"/>
              <w:rPr>
                <w:rFonts w:hint="eastAsia"/>
                <w:sz w:val="24"/>
                <w:lang w:val="en-US" w:eastAsia="zh-CN"/>
              </w:rPr>
            </w:pPr>
            <w:r>
              <w:rPr>
                <w:rFonts w:hint="eastAsia"/>
                <w:sz w:val="24"/>
                <w:lang w:val="en-US" w:eastAsia="zh-CN"/>
              </w:rPr>
              <w:t xml:space="preserve">e) 确保管理体系所需的资源是获得的； </w:t>
            </w:r>
          </w:p>
          <w:p>
            <w:pPr>
              <w:spacing w:line="340" w:lineRule="exact"/>
              <w:rPr>
                <w:rFonts w:hint="eastAsia"/>
                <w:sz w:val="24"/>
                <w:lang w:val="en-US" w:eastAsia="zh-CN"/>
              </w:rPr>
            </w:pPr>
            <w:r>
              <w:rPr>
                <w:rFonts w:hint="eastAsia"/>
                <w:sz w:val="24"/>
                <w:lang w:val="en-US" w:eastAsia="zh-CN"/>
              </w:rPr>
              <w:t>f) 沟通有效的管理和符合管理体系要求的重要性；</w:t>
            </w:r>
          </w:p>
          <w:p>
            <w:pPr>
              <w:spacing w:line="340" w:lineRule="exact"/>
              <w:rPr>
                <w:rFonts w:hint="eastAsia"/>
                <w:sz w:val="24"/>
                <w:lang w:val="en-US" w:eastAsia="zh-CN"/>
              </w:rPr>
            </w:pPr>
            <w:r>
              <w:rPr>
                <w:rFonts w:hint="eastAsia"/>
                <w:sz w:val="24"/>
                <w:lang w:val="en-US" w:eastAsia="zh-CN"/>
              </w:rPr>
              <w:t>g) 确保管理体系实现其预期结果；</w:t>
            </w:r>
          </w:p>
          <w:p>
            <w:pPr>
              <w:spacing w:line="340" w:lineRule="exact"/>
              <w:rPr>
                <w:rFonts w:hint="eastAsia"/>
                <w:sz w:val="24"/>
                <w:lang w:val="en-US" w:eastAsia="zh-CN"/>
              </w:rPr>
            </w:pPr>
            <w:r>
              <w:rPr>
                <w:rFonts w:hint="eastAsia"/>
                <w:sz w:val="24"/>
                <w:lang w:val="en-US" w:eastAsia="zh-CN"/>
              </w:rPr>
              <w:t>h) 促使员工积极参与、指导和支持他们为质量管理体系的有效性作出贡献；</w:t>
            </w:r>
          </w:p>
          <w:p>
            <w:pPr>
              <w:spacing w:line="340" w:lineRule="exact"/>
              <w:rPr>
                <w:rFonts w:hint="eastAsia"/>
                <w:sz w:val="24"/>
                <w:lang w:val="en-US" w:eastAsia="zh-CN"/>
              </w:rPr>
            </w:pPr>
            <w:r>
              <w:rPr>
                <w:rFonts w:hint="eastAsia"/>
                <w:sz w:val="24"/>
                <w:lang w:val="en-US" w:eastAsia="zh-CN"/>
              </w:rPr>
              <w:t>i) 推动改进；</w:t>
            </w:r>
          </w:p>
          <w:p>
            <w:pPr>
              <w:spacing w:line="340" w:lineRule="exact"/>
              <w:rPr>
                <w:rFonts w:hint="eastAsia"/>
                <w:sz w:val="24"/>
                <w:lang w:val="en-US" w:eastAsia="zh-CN"/>
              </w:rPr>
            </w:pPr>
            <w:r>
              <w:rPr>
                <w:rFonts w:hint="eastAsia"/>
                <w:sz w:val="24"/>
                <w:lang w:val="en-US" w:eastAsia="zh-CN"/>
              </w:rPr>
              <w:t>j) 支持其他相关管理者在其职责范围内发挥领导作用。</w:t>
            </w:r>
          </w:p>
          <w:p>
            <w:pPr>
              <w:spacing w:line="340" w:lineRule="exact"/>
              <w:rPr>
                <w:rFonts w:hint="eastAsia"/>
                <w:sz w:val="24"/>
                <w:lang w:val="en-US" w:eastAsia="zh-CN"/>
              </w:rPr>
            </w:pPr>
          </w:p>
          <w:p>
            <w:pPr>
              <w:spacing w:line="340" w:lineRule="exact"/>
              <w:rPr>
                <w:rFonts w:hint="eastAsia"/>
                <w:sz w:val="24"/>
                <w:lang w:val="en-US" w:eastAsia="zh-CN"/>
              </w:rPr>
            </w:pPr>
            <w:r>
              <w:rPr>
                <w:rFonts w:hint="eastAsia"/>
                <w:sz w:val="24"/>
                <w:lang w:val="en-US" w:eastAsia="zh-CN"/>
              </w:rPr>
              <w:t>在《管理手册》中5.1.2条款</w:t>
            </w:r>
          </w:p>
          <w:p>
            <w:pPr>
              <w:spacing w:line="340" w:lineRule="exact"/>
              <w:rPr>
                <w:rFonts w:hint="eastAsia"/>
                <w:sz w:val="24"/>
                <w:lang w:val="en-US" w:eastAsia="zh-CN"/>
              </w:rPr>
            </w:pPr>
            <w:r>
              <w:rPr>
                <w:rFonts w:hint="eastAsia"/>
                <w:sz w:val="24"/>
                <w:lang w:val="en-US" w:eastAsia="zh-CN"/>
              </w:rPr>
              <w:t xml:space="preserve">最高管理者通过以下方面，确保证实其以顾客为关注焦点的领导作用和承诺： </w:t>
            </w:r>
          </w:p>
          <w:p>
            <w:pPr>
              <w:spacing w:line="340" w:lineRule="exact"/>
              <w:rPr>
                <w:rFonts w:hint="eastAsia"/>
                <w:sz w:val="24"/>
                <w:lang w:val="en-US" w:eastAsia="zh-CN"/>
              </w:rPr>
            </w:pPr>
            <w:r>
              <w:rPr>
                <w:rFonts w:hint="eastAsia"/>
                <w:sz w:val="24"/>
                <w:lang w:val="en-US" w:eastAsia="zh-CN"/>
              </w:rPr>
              <w:t xml:space="preserve">a）确定、理解并持续地满足顾客要求以及适用的法律法规要求； </w:t>
            </w:r>
          </w:p>
          <w:p>
            <w:pPr>
              <w:spacing w:line="340" w:lineRule="exact"/>
              <w:rPr>
                <w:rFonts w:hint="eastAsia"/>
                <w:sz w:val="24"/>
                <w:lang w:val="en-US" w:eastAsia="zh-CN"/>
              </w:rPr>
            </w:pPr>
            <w:r>
              <w:rPr>
                <w:rFonts w:hint="eastAsia"/>
                <w:sz w:val="24"/>
                <w:lang w:val="en-US" w:eastAsia="zh-CN"/>
              </w:rPr>
              <w:t xml:space="preserve">b）确定和应对风险和机遇，这些风险和机遇可能影响产品和服务的合格，以及增强顾客满意能力； </w:t>
            </w:r>
          </w:p>
          <w:p>
            <w:pPr>
              <w:spacing w:line="340" w:lineRule="exact"/>
              <w:rPr>
                <w:rFonts w:hint="eastAsia"/>
                <w:sz w:val="24"/>
                <w:lang w:val="en-US" w:eastAsia="zh-CN"/>
              </w:rPr>
            </w:pPr>
            <w:r>
              <w:rPr>
                <w:rFonts w:hint="eastAsia"/>
                <w:sz w:val="24"/>
                <w:lang w:val="en-US" w:eastAsia="zh-CN"/>
              </w:rPr>
              <w:t xml:space="preserve">c）始终致力于增强顾客满意。 </w:t>
            </w:r>
          </w:p>
          <w:p>
            <w:pPr>
              <w:spacing w:line="340" w:lineRule="exact"/>
              <w:rPr>
                <w:rFonts w:hint="default"/>
                <w:sz w:val="24"/>
                <w:lang w:val="en-US" w:eastAsia="zh-CN"/>
              </w:rPr>
            </w:pPr>
            <w:r>
              <w:rPr>
                <w:rFonts w:hint="eastAsia"/>
                <w:sz w:val="24"/>
                <w:lang w:val="en-US" w:eastAsia="zh-CN"/>
              </w:rPr>
              <w:t>——由办公室负责收集评价法律法规，形成管理制度，各部门有效实施；供销部及时处置顾客投诉和建议，设定顾客满意度质量目标达到97.5%。</w:t>
            </w:r>
          </w:p>
          <w:p>
            <w:pPr>
              <w:rPr>
                <w:rFonts w:hint="eastAsia"/>
                <w:sz w:val="24"/>
                <w:lang w:val="en-US" w:eastAsia="zh-CN"/>
              </w:rPr>
            </w:pPr>
            <w:r>
              <w:rPr>
                <w:rFonts w:hint="eastAsia"/>
                <w:sz w:val="24"/>
                <w:lang w:val="en-US" w:eastAsia="zh-CN"/>
              </w:rPr>
              <w:t>供销部每年组织顾客走进行满意度调查，了解客户的需求和期望，并将之转化为公司的生产质量要求予以确定，交付符合顾客要求和法规要求的产品，以增强顾客满意。</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szCs w:val="21"/>
                <w:lang w:val="en-US" w:eastAsia="zh-CN"/>
              </w:rPr>
            </w:pPr>
            <w:r>
              <w:rPr>
                <w:rFonts w:hint="eastAsia"/>
                <w:szCs w:val="21"/>
                <w:lang w:val="en-US" w:eastAsia="zh-CN"/>
              </w:rPr>
              <w:t>质量方针</w:t>
            </w:r>
          </w:p>
        </w:tc>
        <w:tc>
          <w:tcPr>
            <w:tcW w:w="960" w:type="dxa"/>
          </w:tcPr>
          <w:p>
            <w:pPr>
              <w:rPr>
                <w:rFonts w:hint="eastAsia"/>
                <w:sz w:val="24"/>
                <w:lang w:val="en-US" w:eastAsia="zh-CN"/>
              </w:rPr>
            </w:pPr>
            <w:r>
              <w:rPr>
                <w:rFonts w:hint="eastAsia"/>
                <w:sz w:val="24"/>
                <w:lang w:val="en-US" w:eastAsia="zh-CN"/>
              </w:rPr>
              <w:t>Q5.2</w:t>
            </w:r>
          </w:p>
        </w:tc>
        <w:tc>
          <w:tcPr>
            <w:tcW w:w="10004" w:type="dxa"/>
          </w:tcPr>
          <w:p>
            <w:pPr>
              <w:spacing w:line="340" w:lineRule="exact"/>
              <w:rPr>
                <w:rFonts w:hint="eastAsia"/>
                <w:sz w:val="24"/>
                <w:lang w:val="en-US" w:eastAsia="zh-CN"/>
              </w:rPr>
            </w:pPr>
            <w:r>
              <w:rPr>
                <w:rFonts w:hint="eastAsia"/>
                <w:sz w:val="24"/>
                <w:lang w:val="en-US" w:eastAsia="zh-CN"/>
              </w:rPr>
              <w:t>在《管理手册》中06质量方针和目标 章节中</w:t>
            </w:r>
          </w:p>
          <w:p>
            <w:pPr>
              <w:spacing w:line="340" w:lineRule="exact"/>
              <w:rPr>
                <w:rFonts w:hint="default"/>
                <w:sz w:val="24"/>
                <w:lang w:val="en-US" w:eastAsia="zh-CN"/>
              </w:rPr>
            </w:pPr>
            <w:r>
              <w:rPr>
                <w:rFonts w:hint="eastAsia"/>
                <w:sz w:val="24"/>
                <w:lang w:val="en-US" w:eastAsia="zh-CN"/>
              </w:rPr>
              <w:t>企业质量方针：“</w:t>
            </w:r>
            <w:r>
              <w:rPr>
                <w:rFonts w:hint="eastAsia"/>
                <w:sz w:val="24"/>
                <w:lang w:val="de-DE" w:eastAsia="zh-CN"/>
              </w:rPr>
              <w:t>客户满意   共创双赢    卓越品质   技术领先</w:t>
            </w:r>
            <w:r>
              <w:rPr>
                <w:rFonts w:hint="eastAsia"/>
                <w:sz w:val="24"/>
                <w:lang w:val="en-US" w:eastAsia="zh-CN"/>
              </w:rPr>
              <w:t>”</w:t>
            </w:r>
          </w:p>
          <w:p>
            <w:pPr>
              <w:spacing w:line="340" w:lineRule="exact"/>
              <w:rPr>
                <w:rFonts w:hint="eastAsia"/>
                <w:sz w:val="24"/>
                <w:lang w:val="en-US" w:eastAsia="zh-CN"/>
              </w:rPr>
            </w:pPr>
            <w:r>
              <w:rPr>
                <w:rFonts w:hint="eastAsia"/>
                <w:sz w:val="24"/>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szCs w:val="21"/>
                <w:lang w:val="en-US" w:eastAsia="zh-CN"/>
              </w:rPr>
            </w:pPr>
            <w:r>
              <w:rPr>
                <w:rFonts w:hint="eastAsia"/>
                <w:szCs w:val="21"/>
                <w:lang w:val="en-US" w:eastAsia="zh-CN"/>
              </w:rPr>
              <w:t>组织的岗位职责和权限</w:t>
            </w:r>
          </w:p>
        </w:tc>
        <w:tc>
          <w:tcPr>
            <w:tcW w:w="960" w:type="dxa"/>
          </w:tcPr>
          <w:p>
            <w:pPr>
              <w:rPr>
                <w:rFonts w:hint="eastAsia"/>
                <w:sz w:val="24"/>
                <w:lang w:val="en-US" w:eastAsia="zh-CN"/>
              </w:rPr>
            </w:pPr>
            <w:r>
              <w:rPr>
                <w:rFonts w:hint="eastAsia"/>
                <w:sz w:val="24"/>
                <w:lang w:val="en-US" w:eastAsia="zh-CN"/>
              </w:rPr>
              <w:t>Q5.3</w:t>
            </w:r>
          </w:p>
        </w:tc>
        <w:tc>
          <w:tcPr>
            <w:tcW w:w="10004" w:type="dxa"/>
          </w:tcPr>
          <w:p>
            <w:pPr>
              <w:spacing w:line="340" w:lineRule="exact"/>
              <w:rPr>
                <w:rFonts w:hint="eastAsia"/>
                <w:sz w:val="24"/>
                <w:lang w:val="en-US" w:eastAsia="zh-CN"/>
              </w:rPr>
            </w:pPr>
            <w:r>
              <w:rPr>
                <w:rFonts w:hint="eastAsia"/>
                <w:sz w:val="24"/>
                <w:lang w:val="en-US" w:eastAsia="zh-CN"/>
              </w:rPr>
              <w:t>2020年7月贯标初期,经管理层策划公司的组织机构为4个部门，即办公室、供销部、生产部、质检部。至今组织机构未变更,在《岗位职责及岗位任职条件》中明确了各部门的质量职责和权限及其接口关系。查《岗位职责及岗位任职条件》文件，各部门的职责与权限与《员工评价表》基本一致，基本符合标准要求。</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szCs w:val="21"/>
              </w:rPr>
            </w:pPr>
            <w:r>
              <w:rPr>
                <w:rFonts w:hint="eastAsia" w:ascii="宋体" w:hAnsi="宋体"/>
                <w:szCs w:val="21"/>
              </w:rPr>
              <w:t>应对风险和机遇的措施</w:t>
            </w:r>
          </w:p>
        </w:tc>
        <w:tc>
          <w:tcPr>
            <w:tcW w:w="960" w:type="dxa"/>
          </w:tcPr>
          <w:p>
            <w:pPr>
              <w:rPr>
                <w:rFonts w:hint="eastAsia"/>
                <w:sz w:val="24"/>
                <w:lang w:val="en-US" w:eastAsia="zh-CN"/>
              </w:rPr>
            </w:pPr>
            <w:r>
              <w:rPr>
                <w:rFonts w:hint="eastAsia"/>
                <w:sz w:val="24"/>
                <w:lang w:val="en-US" w:eastAsia="zh-CN"/>
              </w:rPr>
              <w:t>Q6.1</w:t>
            </w:r>
          </w:p>
        </w:tc>
        <w:tc>
          <w:tcPr>
            <w:tcW w:w="10004" w:type="dxa"/>
          </w:tcPr>
          <w:p>
            <w:pPr>
              <w:spacing w:line="340" w:lineRule="exact"/>
              <w:rPr>
                <w:rFonts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40" w:lineRule="exact"/>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《过程风险与机遇评价与应对策划表》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、原材料的采购风险、生产过程风险、产品运输风险等进行了措施应对策划。</w:t>
            </w:r>
          </w:p>
          <w:p>
            <w:pPr>
              <w:spacing w:line="340" w:lineRule="exact"/>
              <w:rPr>
                <w:rFonts w:ascii="宋体" w:hAnsi="宋体"/>
                <w:color w:val="auto"/>
                <w:sz w:val="24"/>
              </w:rPr>
            </w:pPr>
            <w:r>
              <w:rPr>
                <w:rFonts w:hint="eastAsia" w:ascii="宋体" w:hAnsi="宋体"/>
                <w:color w:val="auto"/>
                <w:sz w:val="24"/>
              </w:rPr>
              <w:t>如：人员缺少教育训练，操作技能不够--不良品率高、影响交货期--对人员进行管理--制定相应管理制度--对人员进行</w:t>
            </w:r>
            <w:r>
              <w:rPr>
                <w:rFonts w:hint="eastAsia" w:ascii="宋体" w:hAnsi="宋体"/>
                <w:color w:val="auto"/>
                <w:sz w:val="24"/>
                <w:lang w:val="en-US" w:eastAsia="zh-CN"/>
              </w:rPr>
              <w:t>培训、技能评定</w:t>
            </w:r>
            <w:r>
              <w:rPr>
                <w:rFonts w:hint="eastAsia" w:ascii="宋体" w:hAnsi="宋体"/>
                <w:color w:val="auto"/>
                <w:sz w:val="24"/>
              </w:rPr>
              <w:t>等</w:t>
            </w:r>
          </w:p>
          <w:p>
            <w:pPr>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hint="eastAsia"/>
                <w:sz w:val="24"/>
                <w:lang w:val="en-US" w:eastAsia="zh-CN"/>
              </w:rPr>
            </w:pPr>
            <w:r>
              <w:rPr>
                <w:rFonts w:hint="eastAsia"/>
                <w:sz w:val="24"/>
                <w:lang w:val="en-US" w:eastAsia="zh-CN"/>
              </w:rPr>
              <w:t>Q6.2</w:t>
            </w:r>
          </w:p>
        </w:tc>
        <w:tc>
          <w:tcPr>
            <w:tcW w:w="10004" w:type="dxa"/>
          </w:tcPr>
          <w:p>
            <w:pPr>
              <w:rPr>
                <w:rFonts w:hint="eastAsia"/>
                <w:sz w:val="24"/>
                <w:lang w:val="en-US" w:eastAsia="zh-CN"/>
              </w:rPr>
            </w:pPr>
            <w:r>
              <w:rPr>
                <w:rFonts w:hint="eastAsia" w:ascii="宋体" w:hAnsi="宋体"/>
                <w:sz w:val="24"/>
                <w:lang w:val="en-US" w:eastAsia="zh-CN"/>
              </w:rPr>
              <w:t>查《管理手册》中0</w:t>
            </w:r>
            <w:r>
              <w:rPr>
                <w:rFonts w:hint="eastAsia"/>
                <w:sz w:val="24"/>
                <w:lang w:val="en-US" w:eastAsia="zh-CN"/>
              </w:rPr>
              <w:t>6质量方针和目标 章节中</w:t>
            </w:r>
          </w:p>
          <w:p>
            <w:pPr>
              <w:rPr>
                <w:rFonts w:hint="eastAsia" w:ascii="宋体" w:hAnsi="宋体" w:eastAsia="宋体"/>
                <w:color w:val="auto"/>
                <w:sz w:val="24"/>
                <w:lang w:val="en-US" w:eastAsia="zh-CN"/>
              </w:rPr>
            </w:pPr>
            <w:r>
              <w:rPr>
                <w:rFonts w:hint="eastAsia" w:ascii="宋体" w:hAnsi="宋体"/>
                <w:color w:val="auto"/>
                <w:sz w:val="24"/>
                <w:lang w:val="en-US" w:eastAsia="zh-CN"/>
              </w:rPr>
              <w:t>企业质量目标：</w:t>
            </w:r>
            <w:r>
              <w:rPr>
                <w:rFonts w:hint="eastAsia" w:ascii="宋体" w:hAnsi="宋体"/>
                <w:color w:val="auto"/>
                <w:sz w:val="24"/>
              </w:rPr>
              <w:t>1.成品合格率</w:t>
            </w:r>
            <w:r>
              <w:rPr>
                <w:rFonts w:hint="eastAsia" w:ascii="宋体" w:hAnsi="宋体"/>
                <w:color w:val="auto"/>
                <w:sz w:val="24"/>
                <w:lang w:val="en-US" w:eastAsia="zh-CN"/>
              </w:rPr>
              <w:t>100</w:t>
            </w:r>
            <w:r>
              <w:rPr>
                <w:rFonts w:hint="eastAsia" w:ascii="宋体" w:hAnsi="宋体"/>
                <w:color w:val="auto"/>
                <w:sz w:val="24"/>
              </w:rPr>
              <w:t>%；2.顾客满意度9</w:t>
            </w:r>
            <w:r>
              <w:rPr>
                <w:rFonts w:hint="eastAsia" w:ascii="宋体" w:hAnsi="宋体"/>
                <w:color w:val="auto"/>
                <w:sz w:val="24"/>
                <w:lang w:val="en-US" w:eastAsia="zh-CN"/>
              </w:rPr>
              <w:t>0</w:t>
            </w:r>
            <w:r>
              <w:rPr>
                <w:rFonts w:hint="eastAsia" w:ascii="宋体" w:hAnsi="宋体"/>
                <w:color w:val="auto"/>
                <w:sz w:val="24"/>
              </w:rPr>
              <w:t>%以上</w:t>
            </w:r>
            <w:r>
              <w:rPr>
                <w:rFonts w:hint="eastAsia" w:ascii="宋体" w:hAnsi="宋体"/>
                <w:color w:val="auto"/>
                <w:sz w:val="24"/>
                <w:lang w:eastAsia="zh-CN"/>
              </w:rPr>
              <w:t>。</w:t>
            </w:r>
          </w:p>
          <w:p>
            <w:pPr>
              <w:rPr>
                <w:rFonts w:hint="default" w:eastAsia="宋体"/>
                <w:sz w:val="24"/>
                <w:lang w:val="en-US" w:eastAsia="zh-CN"/>
              </w:rPr>
            </w:pPr>
            <w:r>
              <w:rPr>
                <w:rFonts w:hint="eastAsia" w:ascii="宋体" w:hAnsi="宋体"/>
                <w:color w:val="auto"/>
                <w:sz w:val="24"/>
                <w:lang w:val="en-US" w:eastAsia="zh-CN"/>
              </w:rPr>
              <w:t>查2020年7月1号-2020年9月30号质量目标完成情况表，明确了目标的考核频次、计算方法、责任部门等。经查：目标均已完成。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变更策划</w:t>
            </w:r>
          </w:p>
        </w:tc>
        <w:tc>
          <w:tcPr>
            <w:tcW w:w="960" w:type="dxa"/>
          </w:tcPr>
          <w:p>
            <w:pPr>
              <w:rPr>
                <w:rFonts w:hint="eastAsia"/>
                <w:sz w:val="24"/>
                <w:lang w:val="en-US" w:eastAsia="zh-CN"/>
              </w:rPr>
            </w:pPr>
            <w:r>
              <w:rPr>
                <w:rFonts w:hint="eastAsia"/>
                <w:sz w:val="24"/>
                <w:lang w:val="en-US" w:eastAsia="zh-CN"/>
              </w:rPr>
              <w:t>Q6.3</w:t>
            </w:r>
          </w:p>
        </w:tc>
        <w:tc>
          <w:tcPr>
            <w:tcW w:w="10004" w:type="dxa"/>
          </w:tcPr>
          <w:p>
            <w:pPr>
              <w:rPr>
                <w:rFonts w:hint="default" w:ascii="宋体" w:hAnsi="宋体" w:eastAsia="宋体"/>
                <w:sz w:val="24"/>
                <w:lang w:val="en-US" w:eastAsia="zh-CN"/>
              </w:rPr>
            </w:pPr>
            <w:r>
              <w:rPr>
                <w:rFonts w:hint="eastAsia" w:ascii="宋体" w:hAnsi="宋体"/>
                <w:sz w:val="24"/>
                <w:lang w:val="en-US" w:eastAsia="zh-CN"/>
              </w:rPr>
              <w:t>在《管理手册》中6.3条款 有变更策划要求，目前公司体系于2020年7月建立，尚未发生变更。</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160" w:type="dxa"/>
          </w:tcPr>
          <w:p>
            <w:pPr>
              <w:rPr>
                <w:rFonts w:hint="eastAsia" w:ascii="宋体" w:hAnsi="宋体"/>
                <w:szCs w:val="21"/>
                <w:lang w:val="en-US" w:eastAsia="zh-CN"/>
              </w:rPr>
            </w:pPr>
          </w:p>
          <w:p>
            <w:pPr>
              <w:rPr>
                <w:rFonts w:hint="eastAsia" w:ascii="宋体" w:hAnsi="宋体"/>
                <w:szCs w:val="21"/>
                <w:lang w:val="en-US" w:eastAsia="zh-CN"/>
              </w:rPr>
            </w:pPr>
          </w:p>
          <w:p>
            <w:pPr>
              <w:rPr>
                <w:rFonts w:hint="default" w:ascii="宋体" w:hAnsi="宋体" w:eastAsia="宋体"/>
                <w:szCs w:val="21"/>
                <w:lang w:val="en-US" w:eastAsia="zh-CN"/>
              </w:rPr>
            </w:pPr>
            <w:r>
              <w:rPr>
                <w:rFonts w:hint="eastAsia" w:ascii="宋体" w:hAnsi="宋体"/>
                <w:szCs w:val="21"/>
                <w:lang w:val="en-US" w:eastAsia="zh-CN"/>
              </w:rPr>
              <w:t>资源配置</w:t>
            </w:r>
          </w:p>
        </w:tc>
        <w:tc>
          <w:tcPr>
            <w:tcW w:w="960" w:type="dxa"/>
          </w:tcPr>
          <w:p>
            <w:pPr>
              <w:rPr>
                <w:rFonts w:hint="eastAsia"/>
                <w:sz w:val="24"/>
                <w:lang w:val="en-US" w:eastAsia="zh-CN"/>
              </w:rPr>
            </w:pPr>
          </w:p>
          <w:p>
            <w:pPr>
              <w:rPr>
                <w:rFonts w:hint="eastAsia"/>
                <w:sz w:val="24"/>
                <w:lang w:val="en-US" w:eastAsia="zh-CN"/>
              </w:rPr>
            </w:pPr>
            <w:r>
              <w:rPr>
                <w:rFonts w:hint="eastAsia"/>
                <w:sz w:val="24"/>
                <w:lang w:val="en-US" w:eastAsia="zh-CN"/>
              </w:rPr>
              <w:t>Q7.1.1</w:t>
            </w:r>
          </w:p>
          <w:p>
            <w:pPr>
              <w:rPr>
                <w:rFonts w:hint="eastAsia"/>
                <w:sz w:val="24"/>
                <w:lang w:val="en-US" w:eastAsia="zh-CN"/>
              </w:rPr>
            </w:pPr>
          </w:p>
        </w:tc>
        <w:tc>
          <w:tcPr>
            <w:tcW w:w="10004" w:type="dxa"/>
          </w:tcPr>
          <w:p>
            <w:pPr>
              <w:spacing w:line="340" w:lineRule="exact"/>
              <w:rPr>
                <w:rFonts w:hint="eastAsia" w:ascii="宋体" w:hAnsi="宋体"/>
                <w:color w:val="auto"/>
                <w:sz w:val="24"/>
                <w:lang w:val="en-US" w:eastAsia="zh-CN"/>
              </w:rPr>
            </w:pPr>
            <w:r>
              <w:rPr>
                <w:rFonts w:hint="eastAsia" w:ascii="宋体" w:hAnsi="宋体"/>
                <w:color w:val="auto"/>
                <w:sz w:val="24"/>
                <w:lang w:val="en-US" w:eastAsia="zh-CN"/>
              </w:rPr>
              <w:t>查：</w:t>
            </w:r>
            <w:r>
              <w:rPr>
                <w:rFonts w:hint="default" w:ascii="宋体" w:hAnsi="宋体"/>
                <w:color w:val="auto"/>
                <w:sz w:val="24"/>
                <w:lang w:val="en-US"/>
              </w:rPr>
              <w:t>为更好的为顾客服务，让顾客满意，公司注册资金</w:t>
            </w:r>
            <w:r>
              <w:rPr>
                <w:rFonts w:hint="eastAsia" w:ascii="宋体" w:hAnsi="宋体"/>
                <w:color w:val="auto"/>
                <w:sz w:val="24"/>
                <w:lang w:val="en-US" w:eastAsia="zh-CN"/>
              </w:rPr>
              <w:t>100</w:t>
            </w:r>
            <w:r>
              <w:rPr>
                <w:rFonts w:hint="default" w:ascii="宋体" w:hAnsi="宋体"/>
                <w:color w:val="auto"/>
                <w:sz w:val="24"/>
                <w:lang w:val="en-US"/>
              </w:rPr>
              <w:t>0万元，</w:t>
            </w:r>
            <w:r>
              <w:rPr>
                <w:rFonts w:hint="eastAsia" w:ascii="宋体" w:hAnsi="宋体"/>
                <w:color w:val="auto"/>
                <w:sz w:val="24"/>
                <w:lang w:val="en-US" w:eastAsia="zh-CN"/>
              </w:rPr>
              <w:t>生产</w:t>
            </w:r>
            <w:r>
              <w:rPr>
                <w:rFonts w:hint="default" w:ascii="宋体" w:hAnsi="宋体"/>
                <w:color w:val="auto"/>
                <w:sz w:val="24"/>
                <w:lang w:val="en-US"/>
              </w:rPr>
              <w:t>区域</w:t>
            </w:r>
            <w:r>
              <w:rPr>
                <w:rFonts w:hint="eastAsia" w:ascii="宋体" w:hAnsi="宋体"/>
                <w:color w:val="auto"/>
                <w:sz w:val="24"/>
                <w:lang w:val="en-US" w:eastAsia="zh-CN"/>
              </w:rPr>
              <w:t>500</w:t>
            </w:r>
            <w:r>
              <w:rPr>
                <w:rFonts w:hint="default" w:ascii="宋体" w:hAnsi="宋体"/>
                <w:color w:val="auto"/>
                <w:sz w:val="24"/>
                <w:lang w:val="en-US"/>
              </w:rPr>
              <w:t>多平米</w:t>
            </w:r>
            <w:r>
              <w:rPr>
                <w:rFonts w:hint="default" w:ascii="宋体" w:hAnsi="宋体"/>
                <w:color w:val="auto"/>
                <w:sz w:val="24"/>
                <w:lang w:val="en-US"/>
              </w:rPr>
              <w:t>，提供了良好的办公环境和较为充分基础设施设备，公司目前</w:t>
            </w:r>
            <w:r>
              <w:rPr>
                <w:rFonts w:hint="eastAsia" w:ascii="宋体" w:hAnsi="宋体"/>
                <w:color w:val="auto"/>
                <w:sz w:val="24"/>
                <w:lang w:val="en-US" w:eastAsia="zh-CN"/>
              </w:rPr>
              <w:t>13</w:t>
            </w:r>
            <w:r>
              <w:rPr>
                <w:rFonts w:hint="default" w:ascii="宋体" w:hAnsi="宋体"/>
                <w:color w:val="auto"/>
                <w:sz w:val="24"/>
                <w:lang w:val="en-US"/>
              </w:rPr>
              <w:t>人，提供了基本的技术保障</w:t>
            </w:r>
            <w:r>
              <w:rPr>
                <w:rFonts w:hint="eastAsia" w:ascii="宋体" w:hAnsi="宋体"/>
                <w:color w:val="auto"/>
                <w:sz w:val="24"/>
                <w:lang w:val="en-US" w:eastAsia="zh-CN"/>
              </w:rPr>
              <w:t>。</w:t>
            </w:r>
          </w:p>
          <w:p>
            <w:pPr>
              <w:spacing w:line="340" w:lineRule="exact"/>
              <w:rPr>
                <w:rFonts w:hint="eastAsia" w:ascii="宋体" w:hAnsi="宋体"/>
                <w:color w:val="auto"/>
                <w:sz w:val="24"/>
                <w:lang w:val="en-US" w:eastAsia="zh-CN"/>
              </w:rPr>
            </w:pPr>
            <w:r>
              <w:rPr>
                <w:rFonts w:hint="eastAsia" w:ascii="宋体" w:hAnsi="宋体"/>
                <w:color w:val="auto"/>
                <w:sz w:val="24"/>
                <w:lang w:val="en-US" w:eastAsia="zh-CN"/>
              </w:rPr>
              <w:t>提供设备设施：</w:t>
            </w:r>
            <w:r>
              <w:rPr>
                <w:rFonts w:hint="eastAsia" w:ascii="宋体" w:hAnsi="宋体"/>
                <w:color w:val="auto"/>
                <w:sz w:val="24"/>
                <w:lang w:val="en-US"/>
              </w:rPr>
              <w:t>联泰打印机</w:t>
            </w:r>
            <w:r>
              <w:rPr>
                <w:rFonts w:hint="eastAsia" w:ascii="宋体" w:hAnsi="宋体"/>
                <w:color w:val="auto"/>
                <w:sz w:val="24"/>
                <w:lang w:val="en-US" w:eastAsia="zh-CN"/>
              </w:rPr>
              <w:t>、</w:t>
            </w:r>
            <w:r>
              <w:rPr>
                <w:rFonts w:hint="eastAsia" w:ascii="宋体" w:hAnsi="宋体"/>
                <w:color w:val="auto"/>
                <w:sz w:val="24"/>
                <w:lang w:val="en-US"/>
              </w:rPr>
              <w:t>盈普打印机</w:t>
            </w:r>
            <w:r>
              <w:rPr>
                <w:rFonts w:hint="eastAsia" w:ascii="宋体" w:hAnsi="宋体"/>
                <w:color w:val="auto"/>
                <w:sz w:val="24"/>
                <w:lang w:val="en-US" w:eastAsia="zh-CN"/>
              </w:rPr>
              <w:t>、</w:t>
            </w:r>
            <w:r>
              <w:rPr>
                <w:rFonts w:hint="eastAsia" w:ascii="宋体" w:hAnsi="宋体"/>
                <w:color w:val="auto"/>
                <w:sz w:val="24"/>
                <w:lang w:val="en-US"/>
              </w:rPr>
              <w:t>超声波清洗机</w:t>
            </w:r>
            <w:r>
              <w:rPr>
                <w:rFonts w:hint="eastAsia" w:ascii="宋体" w:hAnsi="宋体"/>
                <w:color w:val="auto"/>
                <w:sz w:val="24"/>
                <w:lang w:val="en-US" w:eastAsia="zh-CN"/>
              </w:rPr>
              <w:t>、捷豹空压机、</w:t>
            </w:r>
            <w:r>
              <w:rPr>
                <w:rFonts w:hint="eastAsia" w:ascii="宋体" w:hAnsi="宋体"/>
                <w:color w:val="auto"/>
                <w:sz w:val="24"/>
                <w:lang w:val="en-US"/>
              </w:rPr>
              <w:t>申江龙储气罐</w:t>
            </w:r>
            <w:r>
              <w:rPr>
                <w:rFonts w:hint="eastAsia" w:ascii="宋体" w:hAnsi="宋体"/>
                <w:color w:val="auto"/>
                <w:sz w:val="24"/>
                <w:lang w:val="en-US" w:eastAsia="zh-CN"/>
              </w:rPr>
              <w:t>、</w:t>
            </w:r>
            <w:r>
              <w:rPr>
                <w:rFonts w:hint="eastAsia" w:ascii="宋体" w:hAnsi="宋体"/>
                <w:color w:val="auto"/>
                <w:sz w:val="24"/>
                <w:lang w:val="en-US"/>
              </w:rPr>
              <w:t>捷豹冷干机</w:t>
            </w:r>
            <w:r>
              <w:rPr>
                <w:rFonts w:hint="eastAsia" w:ascii="宋体" w:hAnsi="宋体"/>
                <w:color w:val="auto"/>
                <w:sz w:val="24"/>
                <w:lang w:val="en-US" w:eastAsia="zh-CN"/>
              </w:rPr>
              <w:t>、亿台</w:t>
            </w:r>
            <w:r>
              <w:rPr>
                <w:rFonts w:hint="eastAsia" w:ascii="宋体" w:hAnsi="宋体"/>
                <w:color w:val="auto"/>
                <w:sz w:val="24"/>
                <w:lang w:val="en-US"/>
              </w:rPr>
              <w:t>喷砂机</w:t>
            </w:r>
            <w:r>
              <w:rPr>
                <w:rFonts w:hint="eastAsia" w:ascii="宋体" w:hAnsi="宋体"/>
                <w:color w:val="auto"/>
                <w:sz w:val="24"/>
                <w:lang w:val="en-US" w:eastAsia="zh-CN"/>
              </w:rPr>
              <w:t>，同时配备了用于测量的游标卡尺等。</w:t>
            </w:r>
          </w:p>
          <w:p>
            <w:pPr>
              <w:spacing w:line="340" w:lineRule="exact"/>
              <w:rPr>
                <w:rFonts w:hint="eastAsia" w:ascii="宋体" w:hAnsi="宋体"/>
                <w:color w:val="auto"/>
                <w:sz w:val="24"/>
                <w:lang w:val="en-US" w:eastAsia="zh-CN"/>
              </w:rPr>
            </w:pPr>
            <w:r>
              <w:rPr>
                <w:rFonts w:hint="eastAsia" w:ascii="宋体" w:hAnsi="宋体"/>
                <w:color w:val="auto"/>
                <w:sz w:val="24"/>
                <w:lang w:val="en-US" w:eastAsia="zh-CN"/>
              </w:rPr>
              <w:t>技术人员：电工一名、安全生产员一名，详见Q7.2</w:t>
            </w:r>
          </w:p>
          <w:p>
            <w:pPr>
              <w:spacing w:line="340" w:lineRule="exact"/>
              <w:rPr>
                <w:rFonts w:hint="default" w:ascii="宋体" w:hAnsi="宋体"/>
                <w:color w:val="auto"/>
                <w:sz w:val="24"/>
                <w:lang w:val="en-US" w:eastAsia="zh-CN"/>
              </w:rPr>
            </w:pPr>
            <w:r>
              <w:rPr>
                <w:rFonts w:hint="eastAsia" w:ascii="宋体" w:hAnsi="宋体"/>
                <w:color w:val="auto"/>
                <w:sz w:val="24"/>
                <w:lang w:val="en-US" w:eastAsia="zh-CN"/>
              </w:rPr>
              <w:t>厂房为租赁厂房，查厂房租赁合同，合同在有效期内。</w:t>
            </w:r>
          </w:p>
        </w:tc>
        <w:tc>
          <w:tcPr>
            <w:tcW w:w="1585" w:type="dxa"/>
          </w:tcPr>
          <w:p>
            <w:pPr>
              <w:rPr>
                <w:sz w:val="24"/>
              </w:rPr>
            </w:pPr>
          </w:p>
          <w:p>
            <w:pPr>
              <w:rPr>
                <w:sz w:val="24"/>
              </w:rPr>
            </w:pPr>
            <w:r>
              <w:rPr>
                <w:rFonts w:hint="eastAsia"/>
                <w:sz w:val="24"/>
                <w:lang w:val="en-US" w:eastAsia="zh-CN"/>
              </w:rPr>
              <w:t>符合</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rPr>
                <w:rFonts w:hint="eastAsia"/>
                <w:sz w:val="24"/>
                <w:lang w:val="en-US" w:eastAsia="zh-CN"/>
              </w:rPr>
            </w:pPr>
            <w:r>
              <w:rPr>
                <w:rFonts w:hint="eastAsia"/>
                <w:sz w:val="24"/>
                <w:lang w:val="en-US" w:eastAsia="zh-CN"/>
              </w:rPr>
              <w:t>Q7.4</w:t>
            </w:r>
          </w:p>
        </w:tc>
        <w:tc>
          <w:tcPr>
            <w:tcW w:w="10004" w:type="dxa"/>
          </w:tcPr>
          <w:p>
            <w:pPr>
              <w:spacing w:line="340" w:lineRule="exact"/>
              <w:rPr>
                <w:rFonts w:ascii="宋体" w:hAnsi="宋体"/>
                <w:sz w:val="24"/>
              </w:rPr>
            </w:pPr>
            <w:r>
              <w:rPr>
                <w:rFonts w:hint="eastAsia" w:ascii="宋体" w:hAnsi="宋体"/>
                <w:sz w:val="24"/>
                <w:lang w:val="en-US" w:eastAsia="zh-CN"/>
              </w:rPr>
              <w:t>编辑了《</w:t>
            </w:r>
            <w:r>
              <w:rPr>
                <w:rFonts w:hint="eastAsia" w:ascii="宋体" w:hAnsi="宋体"/>
                <w:sz w:val="24"/>
                <w:lang w:eastAsia="zh-CN"/>
              </w:rPr>
              <w:t>信息交流控制程序</w:t>
            </w:r>
            <w:r>
              <w:rPr>
                <w:rFonts w:hint="eastAsia" w:ascii="宋体" w:hAnsi="宋体"/>
                <w:sz w:val="24"/>
                <w:lang w:val="en-US" w:eastAsia="zh-CN"/>
              </w:rPr>
              <w:t>》，</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2"/>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产品和服务的设计开发</w:t>
            </w:r>
          </w:p>
        </w:tc>
        <w:tc>
          <w:tcPr>
            <w:tcW w:w="960" w:type="dxa"/>
          </w:tcPr>
          <w:p>
            <w:pPr>
              <w:rPr>
                <w:rFonts w:hint="default"/>
                <w:sz w:val="24"/>
                <w:lang w:val="en-US" w:eastAsia="zh-CN"/>
              </w:rPr>
            </w:pPr>
            <w:r>
              <w:rPr>
                <w:rFonts w:hint="eastAsia"/>
                <w:sz w:val="24"/>
                <w:lang w:val="en-US" w:eastAsia="zh-CN"/>
              </w:rPr>
              <w:t>Q8.3</w:t>
            </w:r>
          </w:p>
          <w:p>
            <w:pPr>
              <w:rPr>
                <w:rFonts w:hint="eastAsia"/>
                <w:sz w:val="24"/>
                <w:lang w:val="en-US" w:eastAsia="zh-CN"/>
              </w:rPr>
            </w:pPr>
          </w:p>
        </w:tc>
        <w:tc>
          <w:tcPr>
            <w:tcW w:w="10004" w:type="dxa"/>
          </w:tcPr>
          <w:p>
            <w:pPr>
              <w:pStyle w:val="12"/>
              <w:spacing w:line="340" w:lineRule="exact"/>
              <w:rPr>
                <w:rFonts w:hint="default" w:ascii="宋体" w:hAnsi="宋体" w:eastAsia="宋体"/>
                <w:sz w:val="24"/>
                <w:lang w:val="en-US" w:eastAsia="zh-CN"/>
              </w:rPr>
            </w:pPr>
            <w:r>
              <w:rPr>
                <w:rFonts w:hint="default" w:ascii="宋体" w:hAnsi="宋体" w:eastAsia="宋体"/>
                <w:sz w:val="24"/>
                <w:lang w:val="en-US" w:eastAsia="zh-CN"/>
              </w:rPr>
              <w:t>顾客提供</w:t>
            </w:r>
            <w:r>
              <w:rPr>
                <w:rFonts w:hint="eastAsia" w:ascii="宋体" w:hAnsi="宋体"/>
                <w:sz w:val="24"/>
                <w:lang w:val="en-US" w:eastAsia="zh-CN"/>
              </w:rPr>
              <w:t>加工生产的</w:t>
            </w:r>
            <w:r>
              <w:rPr>
                <w:rFonts w:hint="eastAsia" w:ascii="宋体" w:hAnsi="宋体"/>
                <w:sz w:val="24"/>
              </w:rPr>
              <w:t>产品</w:t>
            </w:r>
            <w:r>
              <w:rPr>
                <w:rFonts w:hint="eastAsia" w:ascii="宋体" w:hAnsi="宋体"/>
                <w:sz w:val="24"/>
                <w:lang w:val="en-US" w:eastAsia="zh-CN"/>
              </w:rPr>
              <w:t>工艺和技术由顾客提供</w:t>
            </w:r>
            <w:r>
              <w:rPr>
                <w:rFonts w:hint="default" w:ascii="宋体" w:hAnsi="宋体"/>
                <w:sz w:val="24"/>
                <w:lang w:val="en-US" w:eastAsia="zh-CN"/>
              </w:rPr>
              <w:t>，</w:t>
            </w:r>
            <w:r>
              <w:rPr>
                <w:rFonts w:hint="default" w:ascii="宋体" w:hAnsi="宋体" w:eastAsia="宋体"/>
                <w:sz w:val="24"/>
                <w:lang w:val="en-US" w:eastAsia="zh-CN"/>
              </w:rPr>
              <w:t>组织生产加工，不涉及产品设计开发。</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spacing w:before="120" w:line="320" w:lineRule="exact"/>
              <w:rPr>
                <w:rFonts w:hint="default" w:ascii="宋体" w:hAnsi="宋体"/>
                <w:szCs w:val="21"/>
                <w:lang w:val="en-US" w:eastAsia="zh-CN"/>
              </w:rPr>
            </w:pPr>
            <w:r>
              <w:rPr>
                <w:rFonts w:hint="eastAsia" w:ascii="宋体" w:hAnsi="宋体"/>
                <w:szCs w:val="21"/>
                <w:lang w:val="en-US" w:eastAsia="zh-CN"/>
              </w:rPr>
              <w:t>监视测量分析评价</w:t>
            </w:r>
          </w:p>
        </w:tc>
        <w:tc>
          <w:tcPr>
            <w:tcW w:w="960" w:type="dxa"/>
          </w:tcPr>
          <w:p>
            <w:pPr>
              <w:rPr>
                <w:rFonts w:hint="default"/>
                <w:sz w:val="24"/>
                <w:lang w:val="en-US" w:eastAsia="zh-CN"/>
              </w:rPr>
            </w:pPr>
            <w:r>
              <w:rPr>
                <w:rFonts w:hint="eastAsia"/>
                <w:sz w:val="24"/>
                <w:lang w:val="en-US" w:eastAsia="zh-CN"/>
              </w:rPr>
              <w:t>Q9.1.1</w:t>
            </w:r>
          </w:p>
          <w:p>
            <w:pPr>
              <w:rPr>
                <w:rFonts w:hint="default"/>
                <w:sz w:val="24"/>
                <w:lang w:val="en-US" w:eastAsia="zh-CN"/>
              </w:rPr>
            </w:pPr>
            <w:r>
              <w:rPr>
                <w:rFonts w:hint="eastAsia"/>
                <w:sz w:val="24"/>
                <w:lang w:val="en-US" w:eastAsia="zh-CN"/>
              </w:rPr>
              <w:t>Q9.1.3</w:t>
            </w:r>
          </w:p>
          <w:p>
            <w:pPr>
              <w:rPr>
                <w:rFonts w:hint="eastAsia"/>
                <w:sz w:val="24"/>
                <w:lang w:val="en-US" w:eastAsia="zh-CN"/>
              </w:rPr>
            </w:pPr>
          </w:p>
        </w:tc>
        <w:tc>
          <w:tcPr>
            <w:tcW w:w="10004" w:type="dxa"/>
          </w:tcPr>
          <w:p>
            <w:pPr>
              <w:pStyle w:val="12"/>
              <w:spacing w:line="340" w:lineRule="exact"/>
              <w:rPr>
                <w:rFonts w:hint="default" w:ascii="宋体" w:hAnsi="宋体"/>
                <w:color w:val="000000"/>
                <w:sz w:val="24"/>
                <w:lang w:val="en-US" w:eastAsia="zh-CN"/>
              </w:rPr>
            </w:pPr>
            <w:r>
              <w:rPr>
                <w:rFonts w:hint="eastAsia" w:ascii="宋体" w:hAnsi="宋体"/>
                <w:color w:val="000000"/>
                <w:sz w:val="24"/>
                <w:lang w:val="en-US" w:eastAsia="zh-CN"/>
              </w:rPr>
              <w:t>公司编辑了《监视和测量设备控制程序》、《内部审核程序》、《不合格品控制程序》、《风险和机遇管制程序</w:t>
            </w:r>
            <w:r>
              <w:rPr>
                <w:rFonts w:hint="eastAsia" w:ascii="宋体" w:hAnsi="宋体"/>
                <w:color w:val="000000"/>
                <w:sz w:val="24"/>
                <w:lang w:val="en-US" w:eastAsia="zh-CN"/>
              </w:rPr>
              <w:t>》和《管理评审控制程序</w:t>
            </w:r>
            <w:r>
              <w:rPr>
                <w:rFonts w:hint="eastAsia" w:ascii="宋体" w:hAnsi="宋体"/>
                <w:color w:val="000000"/>
                <w:sz w:val="24"/>
                <w:lang w:val="en-US" w:eastAsia="zh-CN"/>
              </w:rPr>
              <w:t>》等文件规定了组织办公室等部门</w:t>
            </w:r>
            <w:r>
              <w:rPr>
                <w:rFonts w:hint="eastAsia" w:ascii="宋体" w:hAnsi="宋体"/>
                <w:color w:val="000000"/>
                <w:sz w:val="24"/>
              </w:rPr>
              <w:t>针对产品、过程和管理体系符合性和持续改进体系有效性方面所需的监视、测量、分析和改进的方法、频次和记录进行安排并实施，包括适用的统计工具的应用，最终的目的是为了实现符合顾客和法规要求优质工程，确保管理体系持续有效运行</w:t>
            </w:r>
            <w:r>
              <w:rPr>
                <w:rFonts w:hint="eastAsia" w:ascii="宋体" w:hAnsi="宋体"/>
                <w:color w:val="000000"/>
                <w:sz w:val="24"/>
                <w:lang w:val="en-US" w:eastAsia="zh-CN"/>
              </w:rPr>
              <w:t>。</w:t>
            </w:r>
          </w:p>
          <w:p>
            <w:pPr>
              <w:pStyle w:val="12"/>
              <w:spacing w:line="340" w:lineRule="exact"/>
              <w:rPr>
                <w:rFonts w:hint="eastAsia" w:ascii="宋体" w:hAnsi="宋体"/>
                <w:sz w:val="24"/>
              </w:rPr>
            </w:pPr>
            <w:r>
              <w:rPr>
                <w:rFonts w:hint="eastAsia" w:ascii="宋体" w:hAnsi="宋体"/>
                <w:color w:val="000000"/>
                <w:sz w:val="24"/>
              </w:rPr>
              <w:t>在供方业绩、生产过程控制、产品质量的符合性、顾客满意等方面采用统计表或调查表的形式进行数据统计和分析，以证实公司管理体系运行的有效性，以及寻找体系运行过程中存在的薄弱环节，为持续改进管理体系的有效性提供改进依据</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160" w:type="dxa"/>
          </w:tcPr>
          <w:p>
            <w:pPr>
              <w:spacing w:before="120" w:line="320" w:lineRule="exact"/>
              <w:rPr>
                <w:rFonts w:hint="eastAsia" w:ascii="宋体" w:hAnsi="宋体" w:eastAsia="宋体"/>
                <w:szCs w:val="21"/>
                <w:lang w:eastAsia="zh-CN"/>
              </w:rPr>
            </w:pPr>
            <w:r>
              <w:rPr>
                <w:rFonts w:hint="eastAsia" w:ascii="宋体" w:hAnsi="宋体"/>
                <w:szCs w:val="21"/>
                <w:lang w:val="en-US" w:eastAsia="zh-CN"/>
              </w:rPr>
              <w:t>管理评审</w:t>
            </w:r>
          </w:p>
        </w:tc>
        <w:tc>
          <w:tcPr>
            <w:tcW w:w="960" w:type="dxa"/>
          </w:tcPr>
          <w:p>
            <w:pPr>
              <w:rPr>
                <w:rFonts w:hint="eastAsia"/>
                <w:sz w:val="24"/>
                <w:lang w:val="en-US" w:eastAsia="zh-CN"/>
              </w:rPr>
            </w:pPr>
            <w:r>
              <w:rPr>
                <w:rFonts w:hint="eastAsia"/>
                <w:sz w:val="24"/>
                <w:lang w:val="en-US" w:eastAsia="zh-CN"/>
              </w:rPr>
              <w:t>Q9.3</w:t>
            </w:r>
          </w:p>
          <w:p>
            <w:pPr>
              <w:rPr>
                <w:rFonts w:hint="eastAsia"/>
                <w:sz w:val="24"/>
                <w:lang w:val="en-US" w:eastAsia="zh-CN"/>
              </w:rPr>
            </w:pPr>
          </w:p>
        </w:tc>
        <w:tc>
          <w:tcPr>
            <w:tcW w:w="10004" w:type="dxa"/>
          </w:tcPr>
          <w:p>
            <w:pPr>
              <w:pStyle w:val="12"/>
              <w:spacing w:line="340" w:lineRule="exact"/>
              <w:rPr>
                <w:rFonts w:hint="eastAsia" w:ascii="宋体" w:hAnsi="宋体"/>
                <w:color w:val="000000"/>
                <w:sz w:val="24"/>
              </w:rPr>
            </w:pPr>
            <w:r>
              <w:rPr>
                <w:rFonts w:hint="eastAsia" w:ascii="宋体" w:hAnsi="宋体"/>
                <w:color w:val="000000"/>
                <w:sz w:val="24"/>
              </w:rPr>
              <w:t>编制了&lt;管理评审控制程序&gt;</w:t>
            </w:r>
          </w:p>
          <w:p>
            <w:pPr>
              <w:pStyle w:val="12"/>
              <w:spacing w:line="340" w:lineRule="exact"/>
              <w:rPr>
                <w:rFonts w:hint="eastAsia" w:ascii="宋体" w:hAnsi="宋体"/>
                <w:color w:val="000000"/>
                <w:sz w:val="24"/>
              </w:rPr>
            </w:pPr>
            <w:r>
              <w:rPr>
                <w:rFonts w:hint="eastAsia" w:ascii="宋体" w:hAnsi="宋体"/>
                <w:color w:val="000000"/>
                <w:sz w:val="24"/>
              </w:rPr>
              <w:t>查:&lt;管理评审计划&gt;</w:t>
            </w:r>
          </w:p>
          <w:p>
            <w:pPr>
              <w:pStyle w:val="12"/>
              <w:spacing w:line="340" w:lineRule="exact"/>
              <w:rPr>
                <w:rFonts w:hint="default" w:ascii="宋体" w:hAnsi="宋体" w:eastAsia="宋体"/>
                <w:color w:val="000000"/>
                <w:sz w:val="24"/>
                <w:lang w:val="en-US" w:eastAsia="zh-CN"/>
              </w:rPr>
            </w:pPr>
            <w:r>
              <w:rPr>
                <w:rFonts w:hint="eastAsia" w:ascii="宋体" w:hAnsi="宋体"/>
                <w:color w:val="000000"/>
                <w:sz w:val="24"/>
              </w:rPr>
              <w:t>经审批:</w:t>
            </w:r>
            <w:r>
              <w:rPr>
                <w:rFonts w:hint="eastAsia" w:ascii="宋体" w:hAnsi="宋体"/>
                <w:color w:val="000000"/>
                <w:sz w:val="24"/>
                <w:lang w:val="en-US" w:eastAsia="zh-CN"/>
              </w:rPr>
              <w:t>吴越</w:t>
            </w:r>
            <w:r>
              <w:rPr>
                <w:rFonts w:hint="eastAsia" w:ascii="宋体" w:hAnsi="宋体"/>
                <w:color w:val="000000"/>
                <w:sz w:val="24"/>
                <w:lang w:eastAsia="zh-CN"/>
              </w:rPr>
              <w:t>2020</w:t>
            </w:r>
            <w:r>
              <w:rPr>
                <w:rFonts w:hint="eastAsia" w:ascii="宋体" w:hAnsi="宋体"/>
                <w:color w:val="000000"/>
                <w:sz w:val="24"/>
              </w:rPr>
              <w:t>-</w:t>
            </w: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lang w:val="en-US" w:eastAsia="zh-CN"/>
              </w:rPr>
              <w:t>16</w:t>
            </w:r>
          </w:p>
          <w:p>
            <w:pPr>
              <w:pStyle w:val="12"/>
              <w:spacing w:line="340" w:lineRule="exact"/>
              <w:rPr>
                <w:rFonts w:hint="eastAsia" w:ascii="宋体" w:hAnsi="宋体"/>
                <w:color w:val="000000"/>
                <w:sz w:val="24"/>
              </w:rPr>
            </w:pPr>
            <w:r>
              <w:rPr>
                <w:rFonts w:hint="eastAsia" w:ascii="宋体" w:hAnsi="宋体"/>
                <w:color w:val="000000"/>
                <w:sz w:val="24"/>
              </w:rPr>
              <w:t>计划</w:t>
            </w:r>
            <w:r>
              <w:rPr>
                <w:rFonts w:hint="eastAsia" w:ascii="宋体" w:hAnsi="宋体"/>
                <w:color w:val="000000"/>
                <w:sz w:val="24"/>
                <w:lang w:eastAsia="zh-CN"/>
              </w:rPr>
              <w:t>2020</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17</w:t>
            </w:r>
            <w:r>
              <w:rPr>
                <w:rFonts w:hint="eastAsia" w:ascii="宋体" w:hAnsi="宋体"/>
                <w:color w:val="000000"/>
                <w:sz w:val="24"/>
              </w:rPr>
              <w:t>日进行一次管理评审活动.</w:t>
            </w:r>
          </w:p>
          <w:p>
            <w:pPr>
              <w:pStyle w:val="12"/>
              <w:spacing w:line="340" w:lineRule="exact"/>
              <w:rPr>
                <w:rFonts w:hint="default" w:ascii="宋体" w:hAnsi="宋体" w:eastAsia="宋体"/>
                <w:color w:val="000000"/>
                <w:sz w:val="24"/>
                <w:lang w:val="en-US" w:eastAsia="zh-CN"/>
              </w:rPr>
            </w:pPr>
            <w:r>
              <w:rPr>
                <w:rFonts w:hint="eastAsia" w:ascii="宋体" w:hAnsi="宋体"/>
                <w:color w:val="000000"/>
                <w:sz w:val="24"/>
              </w:rPr>
              <w:t>主持人:</w:t>
            </w:r>
            <w:r>
              <w:rPr>
                <w:rFonts w:hint="eastAsia" w:ascii="宋体" w:hAnsi="宋体"/>
                <w:color w:val="000000"/>
                <w:sz w:val="24"/>
                <w:lang w:val="en-US" w:eastAsia="zh-CN"/>
              </w:rPr>
              <w:t>吴越</w:t>
            </w:r>
          </w:p>
          <w:p>
            <w:pPr>
              <w:pStyle w:val="12"/>
              <w:spacing w:line="340" w:lineRule="exact"/>
              <w:rPr>
                <w:rFonts w:hint="eastAsia" w:ascii="宋体" w:hAnsi="宋体"/>
                <w:color w:val="000000"/>
                <w:sz w:val="24"/>
              </w:rPr>
            </w:pPr>
            <w:r>
              <w:rPr>
                <w:rFonts w:hint="eastAsia" w:ascii="宋体" w:hAnsi="宋体"/>
                <w:color w:val="000000"/>
                <w:sz w:val="24"/>
              </w:rPr>
              <w:t>参与评审人员:管理者代表</w:t>
            </w:r>
            <w:r>
              <w:rPr>
                <w:rFonts w:hint="eastAsia" w:ascii="宋体" w:hAnsi="宋体"/>
                <w:color w:val="000000"/>
                <w:sz w:val="24"/>
                <w:lang w:val="en-US" w:eastAsia="zh-CN"/>
              </w:rPr>
              <w:t>张元倚</w:t>
            </w:r>
            <w:r>
              <w:rPr>
                <w:rFonts w:hint="eastAsia" w:ascii="宋体" w:hAnsi="宋体"/>
                <w:color w:val="000000"/>
                <w:sz w:val="24"/>
              </w:rPr>
              <w:t>及各部门负责人</w:t>
            </w:r>
          </w:p>
          <w:p>
            <w:pPr>
              <w:pStyle w:val="12"/>
              <w:spacing w:line="340" w:lineRule="exact"/>
              <w:rPr>
                <w:rFonts w:hint="eastAsia" w:ascii="宋体" w:hAnsi="宋体"/>
                <w:color w:val="000000"/>
                <w:sz w:val="24"/>
              </w:rPr>
            </w:pPr>
            <w:r>
              <w:rPr>
                <w:rFonts w:hint="eastAsia" w:ascii="宋体" w:hAnsi="宋体"/>
                <w:color w:val="000000"/>
                <w:sz w:val="24"/>
              </w:rPr>
              <w:t>评审内容:</w:t>
            </w:r>
          </w:p>
          <w:p>
            <w:pPr>
              <w:pStyle w:val="12"/>
              <w:spacing w:line="340" w:lineRule="exact"/>
              <w:rPr>
                <w:rFonts w:hint="eastAsia" w:ascii="宋体" w:hAnsi="宋体"/>
                <w:color w:val="000000"/>
                <w:sz w:val="24"/>
              </w:rPr>
            </w:pPr>
            <w:r>
              <w:rPr>
                <w:rFonts w:hint="eastAsia" w:ascii="宋体" w:hAnsi="宋体"/>
                <w:color w:val="000000"/>
                <w:sz w:val="24"/>
              </w:rPr>
              <w:t>1、内部/外部审核情况；</w:t>
            </w:r>
          </w:p>
          <w:p>
            <w:pPr>
              <w:pStyle w:val="12"/>
              <w:spacing w:line="340" w:lineRule="exact"/>
              <w:rPr>
                <w:rFonts w:hint="eastAsia" w:ascii="宋体" w:hAnsi="宋体"/>
                <w:color w:val="000000"/>
                <w:sz w:val="24"/>
              </w:rPr>
            </w:pPr>
            <w:r>
              <w:rPr>
                <w:rFonts w:hint="eastAsia" w:ascii="宋体" w:hAnsi="宋体"/>
                <w:color w:val="000000"/>
                <w:sz w:val="24"/>
              </w:rPr>
              <w:t>2、质量方针适宜性及质量目标达成情况；</w:t>
            </w:r>
          </w:p>
          <w:p>
            <w:pPr>
              <w:pStyle w:val="12"/>
              <w:spacing w:line="340" w:lineRule="exact"/>
              <w:rPr>
                <w:rFonts w:hint="eastAsia" w:ascii="宋体" w:hAnsi="宋体"/>
                <w:color w:val="000000"/>
                <w:sz w:val="24"/>
              </w:rPr>
            </w:pPr>
            <w:r>
              <w:rPr>
                <w:rFonts w:hint="eastAsia" w:ascii="宋体" w:hAnsi="宋体"/>
                <w:color w:val="000000"/>
                <w:sz w:val="24"/>
              </w:rPr>
              <w:t>3、顾客投诉及处理、客户满意度调查情况；</w:t>
            </w:r>
          </w:p>
          <w:p>
            <w:pPr>
              <w:pStyle w:val="12"/>
              <w:spacing w:line="340" w:lineRule="exact"/>
              <w:rPr>
                <w:rFonts w:hint="eastAsia" w:ascii="宋体" w:hAnsi="宋体"/>
                <w:color w:val="000000"/>
                <w:sz w:val="24"/>
              </w:rPr>
            </w:pPr>
            <w:r>
              <w:rPr>
                <w:rFonts w:hint="eastAsia" w:ascii="宋体" w:hAnsi="宋体"/>
                <w:color w:val="000000"/>
                <w:sz w:val="24"/>
              </w:rPr>
              <w:t>4、产品质量状况及过程业绩；</w:t>
            </w:r>
          </w:p>
          <w:p>
            <w:pPr>
              <w:pStyle w:val="12"/>
              <w:spacing w:line="340" w:lineRule="exact"/>
              <w:rPr>
                <w:rFonts w:hint="eastAsia" w:ascii="宋体" w:hAnsi="宋体"/>
                <w:color w:val="000000"/>
                <w:sz w:val="24"/>
              </w:rPr>
            </w:pPr>
            <w:r>
              <w:rPr>
                <w:rFonts w:hint="eastAsia" w:ascii="宋体" w:hAnsi="宋体"/>
                <w:color w:val="000000"/>
                <w:sz w:val="24"/>
              </w:rPr>
              <w:t>5、预防及纠正措施实施情况及效果性；</w:t>
            </w:r>
          </w:p>
          <w:p>
            <w:pPr>
              <w:pStyle w:val="12"/>
              <w:spacing w:line="340" w:lineRule="exact"/>
              <w:rPr>
                <w:rFonts w:hint="eastAsia" w:ascii="宋体" w:hAnsi="宋体"/>
                <w:color w:val="000000"/>
                <w:sz w:val="24"/>
              </w:rPr>
            </w:pPr>
            <w:r>
              <w:rPr>
                <w:rFonts w:hint="eastAsia" w:ascii="宋体" w:hAnsi="宋体"/>
                <w:color w:val="000000"/>
                <w:sz w:val="24"/>
              </w:rPr>
              <w:t>6、以往管理评审的跟踪措施；</w:t>
            </w:r>
          </w:p>
          <w:p>
            <w:pPr>
              <w:pStyle w:val="12"/>
              <w:spacing w:line="340" w:lineRule="exact"/>
              <w:rPr>
                <w:rFonts w:hint="eastAsia" w:ascii="宋体" w:hAnsi="宋体"/>
                <w:color w:val="000000"/>
                <w:sz w:val="24"/>
              </w:rPr>
            </w:pPr>
            <w:r>
              <w:rPr>
                <w:rFonts w:hint="eastAsia" w:ascii="宋体" w:hAnsi="宋体"/>
                <w:color w:val="000000"/>
                <w:sz w:val="24"/>
              </w:rPr>
              <w:t>7、体系的变更及改进的建议等。</w:t>
            </w:r>
          </w:p>
          <w:p>
            <w:pPr>
              <w:pStyle w:val="12"/>
              <w:spacing w:line="340" w:lineRule="exact"/>
              <w:rPr>
                <w:rFonts w:hint="eastAsia" w:ascii="宋体" w:hAnsi="宋体"/>
                <w:color w:val="000000"/>
                <w:sz w:val="24"/>
              </w:rPr>
            </w:pPr>
            <w:r>
              <w:rPr>
                <w:rFonts w:hint="eastAsia" w:ascii="宋体" w:hAnsi="宋体"/>
                <w:color w:val="000000"/>
                <w:sz w:val="24"/>
              </w:rPr>
              <w:t>8、资源的充分性。</w:t>
            </w:r>
          </w:p>
          <w:p>
            <w:pPr>
              <w:pStyle w:val="12"/>
              <w:spacing w:line="340" w:lineRule="exact"/>
              <w:rPr>
                <w:rFonts w:hint="eastAsia" w:ascii="宋体" w:hAnsi="宋体"/>
                <w:color w:val="000000"/>
                <w:sz w:val="24"/>
              </w:rPr>
            </w:pPr>
            <w:r>
              <w:rPr>
                <w:rFonts w:hint="eastAsia" w:ascii="宋体" w:hAnsi="宋体"/>
                <w:color w:val="000000"/>
                <w:sz w:val="24"/>
              </w:rPr>
              <w:t>9、风险和机遇措施的有效性。</w:t>
            </w:r>
          </w:p>
          <w:p>
            <w:pPr>
              <w:pStyle w:val="12"/>
              <w:spacing w:line="340" w:lineRule="exact"/>
              <w:rPr>
                <w:rFonts w:hint="eastAsia" w:ascii="宋体" w:hAnsi="宋体"/>
                <w:color w:val="000000"/>
                <w:sz w:val="24"/>
              </w:rPr>
            </w:pPr>
            <w:r>
              <w:rPr>
                <w:rFonts w:hint="eastAsia" w:ascii="宋体" w:hAnsi="宋体"/>
                <w:color w:val="000000"/>
                <w:sz w:val="24"/>
              </w:rPr>
              <w:t>10、企业内外部环境变化影响。</w:t>
            </w:r>
          </w:p>
          <w:p>
            <w:pPr>
              <w:pStyle w:val="12"/>
              <w:spacing w:line="340" w:lineRule="exact"/>
              <w:rPr>
                <w:rFonts w:hint="eastAsia" w:ascii="宋体" w:hAnsi="宋体"/>
                <w:color w:val="000000"/>
                <w:sz w:val="24"/>
              </w:rPr>
            </w:pPr>
            <w:r>
              <w:rPr>
                <w:rFonts w:hint="eastAsia" w:ascii="宋体" w:hAnsi="宋体"/>
                <w:color w:val="000000"/>
                <w:sz w:val="24"/>
              </w:rPr>
              <w:t>查：《</w:t>
            </w:r>
            <w:r>
              <w:rPr>
                <w:rFonts w:hint="eastAsia" w:ascii="宋体" w:hAnsi="宋体"/>
                <w:color w:val="000000"/>
                <w:sz w:val="24"/>
                <w:lang w:val="en-US" w:eastAsia="zh-CN"/>
              </w:rPr>
              <w:t>管理评审会议记录</w:t>
            </w:r>
            <w:r>
              <w:rPr>
                <w:rFonts w:hint="eastAsia" w:ascii="宋体" w:hAnsi="宋体"/>
                <w:color w:val="000000"/>
                <w:sz w:val="24"/>
              </w:rPr>
              <w:t>》，记录较为简单，符合计划的安排，基本符合标准条款要求。</w:t>
            </w:r>
          </w:p>
          <w:p>
            <w:pPr>
              <w:pStyle w:val="12"/>
              <w:spacing w:line="340" w:lineRule="exact"/>
              <w:rPr>
                <w:rFonts w:hint="eastAsia" w:ascii="宋体" w:hAnsi="宋体"/>
                <w:color w:val="000000"/>
                <w:sz w:val="24"/>
              </w:rPr>
            </w:pPr>
            <w:r>
              <w:rPr>
                <w:rFonts w:hint="eastAsia" w:ascii="宋体" w:hAnsi="宋体"/>
                <w:color w:val="000000"/>
                <w:sz w:val="24"/>
              </w:rPr>
              <w:t>查见：管理评审会议记录及有各部门的管理体系总结报告；</w:t>
            </w:r>
          </w:p>
          <w:p>
            <w:pPr>
              <w:pStyle w:val="12"/>
              <w:spacing w:line="340" w:lineRule="exact"/>
              <w:rPr>
                <w:rFonts w:hint="default" w:ascii="宋体" w:hAnsi="宋体" w:eastAsia="宋体"/>
                <w:color w:val="000000"/>
                <w:sz w:val="24"/>
                <w:lang w:val="en-US" w:eastAsia="zh-CN"/>
              </w:rPr>
            </w:pPr>
            <w:r>
              <w:rPr>
                <w:rFonts w:hint="eastAsia" w:ascii="宋体" w:hAnsi="宋体"/>
                <w:color w:val="000000"/>
                <w:sz w:val="24"/>
              </w:rPr>
              <w:t>查见：《管理评审报告》，批准：</w:t>
            </w:r>
            <w:r>
              <w:rPr>
                <w:rFonts w:hint="eastAsia" w:ascii="宋体" w:hAnsi="宋体"/>
                <w:color w:val="000000"/>
                <w:sz w:val="24"/>
                <w:lang w:val="en-US" w:eastAsia="zh-CN"/>
              </w:rPr>
              <w:t>吴越</w:t>
            </w:r>
            <w:r>
              <w:rPr>
                <w:rFonts w:hint="eastAsia" w:ascii="宋体" w:hAnsi="宋体"/>
                <w:color w:val="000000"/>
                <w:sz w:val="24"/>
                <w:lang w:eastAsia="zh-CN"/>
              </w:rPr>
              <w:t>2020</w:t>
            </w:r>
            <w:r>
              <w:rPr>
                <w:rFonts w:hint="eastAsia" w:ascii="宋体" w:hAnsi="宋体"/>
                <w:color w:val="000000"/>
                <w:sz w:val="24"/>
              </w:rPr>
              <w:t>-</w:t>
            </w: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lang w:val="en-US" w:eastAsia="zh-CN"/>
              </w:rPr>
              <w:t>17</w:t>
            </w:r>
          </w:p>
          <w:p>
            <w:pPr>
              <w:pStyle w:val="12"/>
              <w:spacing w:line="340" w:lineRule="exact"/>
              <w:rPr>
                <w:rFonts w:hint="eastAsia" w:ascii="宋体" w:hAnsi="宋体"/>
                <w:color w:val="000000"/>
                <w:sz w:val="24"/>
              </w:rPr>
            </w:pPr>
            <w:r>
              <w:rPr>
                <w:rFonts w:hint="eastAsia" w:ascii="宋体" w:hAnsi="宋体"/>
                <w:color w:val="000000"/>
                <w:sz w:val="24"/>
              </w:rPr>
              <w:t>管评结论：</w:t>
            </w:r>
          </w:p>
          <w:p>
            <w:pPr>
              <w:pStyle w:val="12"/>
              <w:spacing w:line="340" w:lineRule="exact"/>
              <w:rPr>
                <w:rFonts w:hint="eastAsia" w:ascii="宋体" w:hAnsi="宋体"/>
                <w:color w:val="000000"/>
                <w:sz w:val="24"/>
              </w:rPr>
            </w:pPr>
            <w:r>
              <w:rPr>
                <w:rFonts w:hint="eastAsia" w:ascii="宋体" w:hAnsi="宋体"/>
                <w:color w:val="000000"/>
                <w:sz w:val="24"/>
              </w:rPr>
              <w:t>经评审，与会人员一致认为本公司制定的质量方针、目标、指标和建立实施的质量管理体系基本符合标准的要求，符合企业的实际情况，质量管理工作得到了改善，能够保证本公司适用的质量法律法规得到了遵守，公司的生产质量的控制能力得到了提高</w:t>
            </w:r>
            <w:r>
              <w:rPr>
                <w:rFonts w:hint="eastAsia" w:ascii="宋体" w:hAnsi="宋体"/>
                <w:color w:val="000000"/>
                <w:sz w:val="24"/>
                <w:lang w:eastAsia="zh-CN"/>
              </w:rPr>
              <w:t>，</w:t>
            </w:r>
            <w:r>
              <w:rPr>
                <w:rFonts w:hint="eastAsia" w:ascii="宋体" w:hAnsi="宋体"/>
                <w:color w:val="000000"/>
                <w:sz w:val="24"/>
              </w:rPr>
              <w:t>本公司的质量方针、目标和管理体系目前仍是适宜、充分和有效的。</w:t>
            </w:r>
          </w:p>
          <w:p>
            <w:pPr>
              <w:pStyle w:val="12"/>
              <w:spacing w:line="340" w:lineRule="exact"/>
              <w:rPr>
                <w:rFonts w:hint="eastAsia" w:ascii="宋体" w:hAnsi="宋体"/>
                <w:color w:val="000000"/>
                <w:sz w:val="24"/>
              </w:rPr>
            </w:pPr>
            <w:r>
              <w:rPr>
                <w:rFonts w:hint="eastAsia" w:ascii="宋体" w:hAnsi="宋体"/>
                <w:color w:val="000000"/>
                <w:sz w:val="24"/>
                <w:lang w:val="en-US" w:eastAsia="zh-CN"/>
              </w:rPr>
              <w:t>查</w:t>
            </w:r>
            <w:r>
              <w:rPr>
                <w:rFonts w:hint="eastAsia" w:ascii="宋体" w:hAnsi="宋体"/>
                <w:color w:val="000000"/>
                <w:sz w:val="24"/>
              </w:rPr>
              <w:t>管理评审</w:t>
            </w:r>
            <w:r>
              <w:rPr>
                <w:rFonts w:hint="eastAsia" w:ascii="宋体" w:hAnsi="宋体"/>
                <w:color w:val="000000"/>
                <w:sz w:val="24"/>
                <w:lang w:val="en-US" w:eastAsia="zh-CN"/>
              </w:rPr>
              <w:t>持续改进计划</w:t>
            </w:r>
            <w:r>
              <w:rPr>
                <w:rFonts w:hint="eastAsia" w:ascii="宋体" w:hAnsi="宋体"/>
                <w:color w:val="000000"/>
                <w:sz w:val="24"/>
              </w:rPr>
              <w:t>：</w:t>
            </w:r>
          </w:p>
          <w:p>
            <w:pPr>
              <w:pStyle w:val="12"/>
              <w:spacing w:line="340" w:lineRule="exact"/>
              <w:rPr>
                <w:rFonts w:ascii="宋体" w:hAnsi="宋体"/>
                <w:color w:val="000000"/>
                <w:sz w:val="24"/>
              </w:rPr>
            </w:pPr>
            <w:r>
              <w:rPr>
                <w:rFonts w:hint="eastAsia" w:ascii="宋体" w:hAnsi="宋体"/>
                <w:color w:val="000000"/>
                <w:sz w:val="24"/>
                <w:lang w:val="en-US" w:eastAsia="zh-CN"/>
              </w:rPr>
              <w:t>管理体系运行时间短，需</w:t>
            </w:r>
            <w:r>
              <w:rPr>
                <w:rFonts w:hint="eastAsia" w:ascii="宋体" w:hAnsi="宋体"/>
                <w:color w:val="000000"/>
                <w:sz w:val="24"/>
              </w:rPr>
              <w:t>进一步加强员工质量管理体系实施的学习。</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spacing w:before="120" w:line="320" w:lineRule="exact"/>
              <w:rPr>
                <w:rFonts w:hint="default" w:ascii="宋体" w:hAnsi="宋体"/>
                <w:szCs w:val="21"/>
                <w:lang w:val="en-US" w:eastAsia="zh-CN"/>
              </w:rPr>
            </w:pPr>
            <w:r>
              <w:rPr>
                <w:rFonts w:hint="eastAsia" w:ascii="宋体" w:hAnsi="宋体"/>
                <w:szCs w:val="21"/>
                <w:lang w:val="en-US" w:eastAsia="zh-CN"/>
              </w:rPr>
              <w:t>改进</w:t>
            </w:r>
          </w:p>
        </w:tc>
        <w:tc>
          <w:tcPr>
            <w:tcW w:w="960" w:type="dxa"/>
          </w:tcPr>
          <w:p>
            <w:pPr>
              <w:spacing w:before="120" w:line="340" w:lineRule="exact"/>
              <w:rPr>
                <w:rFonts w:hint="eastAsia" w:ascii="宋体" w:hAnsi="宋体"/>
                <w:szCs w:val="21"/>
                <w:lang w:val="en-US" w:eastAsia="zh-CN"/>
              </w:rPr>
            </w:pPr>
            <w:r>
              <w:rPr>
                <w:rFonts w:hint="eastAsia" w:ascii="宋体" w:hAnsi="宋体"/>
                <w:szCs w:val="21"/>
                <w:lang w:val="en-US" w:eastAsia="zh-CN"/>
              </w:rPr>
              <w:t>Q10.1</w:t>
            </w:r>
          </w:p>
          <w:p>
            <w:pPr>
              <w:spacing w:before="120" w:line="340" w:lineRule="exact"/>
              <w:rPr>
                <w:rFonts w:hint="default" w:ascii="宋体" w:hAnsi="宋体" w:eastAsia="宋体"/>
                <w:szCs w:val="21"/>
                <w:lang w:val="en-US" w:eastAsia="zh-CN"/>
              </w:rPr>
            </w:pPr>
            <w:r>
              <w:rPr>
                <w:rFonts w:hint="eastAsia" w:ascii="宋体" w:hAnsi="宋体"/>
                <w:szCs w:val="21"/>
                <w:lang w:val="en-US" w:eastAsia="zh-CN"/>
              </w:rPr>
              <w:t>Q10.3</w:t>
            </w:r>
          </w:p>
        </w:tc>
        <w:tc>
          <w:tcPr>
            <w:tcW w:w="10004" w:type="dxa"/>
          </w:tcPr>
          <w:p>
            <w:pPr>
              <w:pStyle w:val="12"/>
              <w:spacing w:line="340" w:lineRule="exact"/>
              <w:rPr>
                <w:rFonts w:ascii="宋体" w:hAnsi="宋体"/>
                <w:color w:val="000000"/>
                <w:sz w:val="24"/>
              </w:rPr>
            </w:pPr>
            <w:r>
              <w:rPr>
                <w:rFonts w:hint="eastAsia" w:ascii="宋体" w:hAnsi="宋体"/>
                <w:color w:val="000000"/>
                <w:sz w:val="24"/>
              </w:rPr>
              <w:t>主要通过内审和管理评审活动的开展,查找公司管理体系运行过程中存在的薄弱环节,制定纠正和预防措施,以实现持续改进管理体系运行的有效性.详见办公室相关审核记录.</w:t>
            </w:r>
          </w:p>
        </w:tc>
        <w:tc>
          <w:tcPr>
            <w:tcW w:w="1585" w:type="dxa"/>
          </w:tcPr>
          <w:p>
            <w:pPr>
              <w:rPr>
                <w:rFonts w:hint="default"/>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before="120" w:line="320" w:lineRule="exact"/>
              <w:rPr>
                <w:rFonts w:hint="eastAsia" w:ascii="宋体" w:hAnsi="宋体"/>
                <w:szCs w:val="21"/>
                <w:lang w:val="en-US" w:eastAsia="zh-CN"/>
              </w:rPr>
            </w:pPr>
          </w:p>
        </w:tc>
        <w:tc>
          <w:tcPr>
            <w:tcW w:w="960" w:type="dxa"/>
          </w:tcPr>
          <w:p>
            <w:pPr>
              <w:spacing w:before="120" w:line="340" w:lineRule="exact"/>
              <w:rPr>
                <w:rFonts w:hint="eastAsia" w:ascii="宋体" w:hAnsi="宋体"/>
                <w:szCs w:val="21"/>
                <w:lang w:val="en-US" w:eastAsia="zh-CN"/>
              </w:rPr>
            </w:pPr>
          </w:p>
        </w:tc>
        <w:tc>
          <w:tcPr>
            <w:tcW w:w="10004" w:type="dxa"/>
          </w:tcPr>
          <w:p>
            <w:pPr>
              <w:pStyle w:val="12"/>
              <w:spacing w:line="340" w:lineRule="exact"/>
              <w:rPr>
                <w:rFonts w:hint="eastAsia" w:ascii="宋体" w:hAnsi="宋体"/>
                <w:color w:val="000000"/>
                <w:sz w:val="24"/>
              </w:rPr>
            </w:pPr>
            <w:r>
              <w:rPr>
                <w:rFonts w:hint="eastAsia" w:ascii="宋体" w:hAnsi="宋体"/>
                <w:color w:val="000000"/>
                <w:sz w:val="24"/>
                <w:lang w:val="en-US" w:eastAsia="zh-CN"/>
              </w:rPr>
              <w:t>近一年来未有</w:t>
            </w:r>
            <w:r>
              <w:rPr>
                <w:rFonts w:hint="eastAsia" w:ascii="宋体" w:hAnsi="宋体"/>
                <w:color w:val="000000"/>
                <w:sz w:val="24"/>
              </w:rPr>
              <w:t>投诉或事故/政府主管部门监督抽查情况</w:t>
            </w:r>
          </w:p>
        </w:tc>
        <w:tc>
          <w:tcPr>
            <w:tcW w:w="1585" w:type="dxa"/>
          </w:tcPr>
          <w:p>
            <w:pPr>
              <w:rPr>
                <w:rFonts w:hint="eastAsia"/>
                <w:sz w:val="24"/>
                <w:lang w:val="en-US" w:eastAsia="zh-CN"/>
              </w:rPr>
            </w:pPr>
          </w:p>
        </w:tc>
      </w:tr>
    </w:tbl>
    <w:p>
      <w:pPr>
        <w:rPr>
          <w:sz w:val="24"/>
        </w:rPr>
      </w:pPr>
      <w:r>
        <w:rPr>
          <w:sz w:val="24"/>
        </w:rPr>
        <w:ptab w:relativeTo="margin" w:alignment="center" w:leader="none"/>
      </w:r>
    </w:p>
    <w:p>
      <w:pPr>
        <w:pStyle w:val="4"/>
        <w:rPr>
          <w:sz w:val="24"/>
          <w:szCs w:val="24"/>
        </w:rPr>
      </w:pPr>
      <w:r>
        <w:rPr>
          <w:rFonts w:hint="eastAsia"/>
          <w:sz w:val="24"/>
          <w:szCs w:val="24"/>
        </w:rPr>
        <w:t>说明：不符合标注N</w:t>
      </w: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A316E9"/>
    <w:rsid w:val="0AAD57F6"/>
    <w:rsid w:val="108219C2"/>
    <w:rsid w:val="1479558F"/>
    <w:rsid w:val="20B61E59"/>
    <w:rsid w:val="25627536"/>
    <w:rsid w:val="2E7E5472"/>
    <w:rsid w:val="39FF5483"/>
    <w:rsid w:val="3A877FB2"/>
    <w:rsid w:val="3C542775"/>
    <w:rsid w:val="3D423A1B"/>
    <w:rsid w:val="3F425528"/>
    <w:rsid w:val="45361A48"/>
    <w:rsid w:val="48266871"/>
    <w:rsid w:val="487C2BF9"/>
    <w:rsid w:val="4C3C6983"/>
    <w:rsid w:val="55987003"/>
    <w:rsid w:val="5DA62B31"/>
    <w:rsid w:val="5EA12B9A"/>
    <w:rsid w:val="5FEB3E7C"/>
    <w:rsid w:val="60013AEF"/>
    <w:rsid w:val="672B1FDE"/>
    <w:rsid w:val="6EFE43E4"/>
    <w:rsid w:val="71D618CF"/>
    <w:rsid w:val="74526611"/>
    <w:rsid w:val="757D7F2E"/>
    <w:rsid w:val="77070AE5"/>
    <w:rsid w:val="799D6057"/>
    <w:rsid w:val="7C4F722B"/>
    <w:rsid w:val="7E8538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0</TotalTime>
  <ScaleCrop>false</ScaleCrop>
  <LinksUpToDate>false</LinksUpToDate>
  <CharactersWithSpaces>3148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ASUS</cp:lastModifiedBy>
  <dcterms:modified xsi:type="dcterms:W3CDTF">2020-10-24T02:14:05Z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