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default" w:ascii="隶书" w:hAnsi="宋体" w:eastAsia="隶书"/>
          <w:bCs/>
          <w:color w:val="000000"/>
          <w:sz w:val="36"/>
          <w:szCs w:val="36"/>
          <w:lang w:val="en-US" w:eastAsia="zh-CN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质检部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部门领导：叶磊</w:t>
            </w:r>
            <w:r>
              <w:rPr>
                <w:rFonts w:hint="eastAsia"/>
                <w:sz w:val="22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张元倚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张磊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审核日期：2020-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6.2/7.1.5/8.6/8.7/9.1.3/10.2</w:t>
            </w: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质量目标及其实现的策划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Q6.2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《质量目标》、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目标</w:t>
            </w:r>
            <w:r>
              <w:rPr>
                <w:rFonts w:hint="eastAsia"/>
              </w:rPr>
              <w:t>分解</w:t>
            </w:r>
            <w:r>
              <w:rPr>
                <w:rFonts w:hint="eastAsia"/>
                <w:lang w:val="en-US" w:eastAsia="zh-CN"/>
              </w:rPr>
              <w:t>统计表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组织建立</w:t>
            </w:r>
            <w:r>
              <w:rPr>
                <w:rFonts w:hint="eastAsia"/>
                <w:vertAlign w:val="baseline"/>
                <w:lang w:val="en-US" w:eastAsia="zh-CN"/>
              </w:rPr>
              <w:t>了与方针一致的文件化的管理</w:t>
            </w:r>
            <w:r>
              <w:rPr>
                <w:rFonts w:hint="eastAsia"/>
                <w:vertAlign w:val="baseline"/>
              </w:rPr>
              <w:t>目标。</w:t>
            </w:r>
            <w:r>
              <w:rPr>
                <w:rFonts w:hint="eastAsia"/>
                <w:vertAlign w:val="baseline"/>
                <w:lang w:eastAsia="zh-CN"/>
              </w:rPr>
              <w:t>为实现总质量目标而建立的各层级质量目标具体、有针对性、可测量并且可实现。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总质量目标实现情况的评价，及其测量方法是：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92"/>
              <w:gridCol w:w="3638"/>
              <w:gridCol w:w="1009"/>
              <w:gridCol w:w="136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92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质量</w:t>
                  </w:r>
                  <w:r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  <w:t>目标</w:t>
                  </w:r>
                </w:p>
              </w:tc>
              <w:tc>
                <w:tcPr>
                  <w:tcW w:w="3638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  <w:t>计算方法</w:t>
                  </w:r>
                </w:p>
              </w:tc>
              <w:tc>
                <w:tcPr>
                  <w:tcW w:w="1009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36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92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 w:ascii="宋体" w:hAnsi="宋体"/>
                    </w:rPr>
                    <w:t>1.原材料验证率        100%</w:t>
                  </w:r>
                </w:p>
              </w:tc>
              <w:tc>
                <w:tcPr>
                  <w:tcW w:w="363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 w:ascii="宋体" w:hAnsi="宋体"/>
                    </w:rPr>
                    <w:t>所有原、辅材料购进行均进行检验或验证</w:t>
                  </w:r>
                </w:p>
              </w:tc>
              <w:tc>
                <w:tcPr>
                  <w:tcW w:w="10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质检部</w:t>
                  </w:r>
                </w:p>
              </w:tc>
              <w:tc>
                <w:tcPr>
                  <w:tcW w:w="136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宋体" w:hAnsi="宋体" w:cs="Times New Roman"/>
                      <w:lang w:val="en-GB" w:eastAsia="zh-CN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92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 w:ascii="宋体" w:hAnsi="宋体"/>
                    </w:rPr>
                    <w:t>2.成品检测率          100%</w:t>
                  </w:r>
                </w:p>
              </w:tc>
              <w:tc>
                <w:tcPr>
                  <w:tcW w:w="363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</w:rPr>
                    <w:t>所有成品均检验合格后方可包装入库</w:t>
                  </w:r>
                </w:p>
              </w:tc>
              <w:tc>
                <w:tcPr>
                  <w:tcW w:w="10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质检部</w:t>
                  </w:r>
                </w:p>
              </w:tc>
              <w:tc>
                <w:tcPr>
                  <w:tcW w:w="136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92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 w:ascii="宋体" w:hAnsi="宋体"/>
                    </w:rPr>
                    <w:t>3.检测设备校准率      100%</w:t>
                  </w:r>
                </w:p>
              </w:tc>
              <w:tc>
                <w:tcPr>
                  <w:tcW w:w="363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 w:ascii="宋体" w:hAnsi="宋体"/>
                    </w:rPr>
                    <w:t>检测、计量设备已按计划进行校准</w:t>
                  </w:r>
                </w:p>
              </w:tc>
              <w:tc>
                <w:tcPr>
                  <w:tcW w:w="10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质检部</w:t>
                  </w:r>
                </w:p>
              </w:tc>
              <w:tc>
                <w:tcPr>
                  <w:tcW w:w="136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92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 w:ascii="宋体" w:hAnsi="宋体"/>
                    </w:rPr>
                    <w:t>4.质监部门抽检合格率  100%</w:t>
                  </w:r>
                </w:p>
              </w:tc>
              <w:tc>
                <w:tcPr>
                  <w:tcW w:w="363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 w:ascii="宋体" w:hAnsi="宋体"/>
                    </w:rPr>
                    <w:t>质监部门抽检合格率100%</w:t>
                  </w:r>
                </w:p>
              </w:tc>
              <w:tc>
                <w:tcPr>
                  <w:tcW w:w="10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质检部</w:t>
                  </w:r>
                </w:p>
              </w:tc>
              <w:tc>
                <w:tcPr>
                  <w:tcW w:w="136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目标没有实现的，组织在内部及时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监视和测量资源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7.1.5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如：《</w:t>
            </w:r>
            <w:r>
              <w:rPr>
                <w:rFonts w:hint="eastAsia"/>
              </w:rPr>
              <w:t>监视和测量资源控制</w:t>
            </w:r>
            <w:r>
              <w:rPr>
                <w:rFonts w:hint="eastAsia"/>
                <w:lang w:val="en-US" w:eastAsia="zh-CN"/>
              </w:rPr>
              <w:t>程序》、手册第7.1.5条款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计量器具游标卡尺已送检但未能即使取得检测报告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了解监视和测量资源种类：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计量器具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监视设备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服务工作检查表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</w:t>
            </w:r>
            <w:r>
              <w:rPr>
                <w:rFonts w:hint="eastAsia"/>
                <w:u w:val="single"/>
                <w:lang w:val="en-US" w:eastAsia="zh-CN"/>
              </w:rPr>
              <w:t>《监视和测量器具台账》</w:t>
            </w:r>
            <w:r>
              <w:rPr>
                <w:rFonts w:hint="eastAsia"/>
                <w:lang w:val="en-US" w:eastAsia="zh-CN"/>
              </w:rPr>
              <w:t>，抽查外部检定或校准情况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515"/>
              <w:gridCol w:w="1472"/>
              <w:gridCol w:w="29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计量器具名称</w:t>
                  </w:r>
                </w:p>
              </w:tc>
              <w:tc>
                <w:tcPr>
                  <w:tcW w:w="2515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检定或校准证书编号</w:t>
                  </w:r>
                </w:p>
              </w:tc>
              <w:tc>
                <w:tcPr>
                  <w:tcW w:w="1472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有限期限至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压力表</w:t>
                  </w:r>
                </w:p>
              </w:tc>
              <w:tc>
                <w:tcPr>
                  <w:tcW w:w="2515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证书编号：第50066348</w:t>
                  </w:r>
                </w:p>
              </w:tc>
              <w:tc>
                <w:tcPr>
                  <w:tcW w:w="1472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2020.12.11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质检部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安全阀</w:t>
                  </w:r>
                </w:p>
              </w:tc>
              <w:tc>
                <w:tcPr>
                  <w:tcW w:w="2515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vertAlign w:val="baseline"/>
                      <w:lang w:val="en-US" w:eastAsia="zh-CN"/>
                    </w:rPr>
                    <w:t>ALX-NF-202006-08219</w:t>
                  </w:r>
                </w:p>
              </w:tc>
              <w:tc>
                <w:tcPr>
                  <w:tcW w:w="1472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2021.06.11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质检部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15" w:type="dxa"/>
                </w:tcPr>
                <w:p>
                  <w:pPr>
                    <w:rPr>
                      <w:rFonts w:hint="default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472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质检部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已发生，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无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6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6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产品和服务放行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color w:val="auto"/>
                <w:lang w:val="en-US" w:eastAsia="zh-CN"/>
              </w:rPr>
              <w:t>质量手册8.6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执行标准（接收准则）：参照技术协议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4"/>
              <w:gridCol w:w="1858"/>
              <w:gridCol w:w="3255"/>
              <w:gridCol w:w="25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rPr>
                      <w:rFonts w:hint="default"/>
                      <w:b w:val="0"/>
                      <w:bCs w:val="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vertAlign w:val="baseline"/>
                      <w:lang w:val="en-US" w:eastAsia="zh-CN"/>
                    </w:rPr>
                    <w:t>放行类型</w:t>
                  </w:r>
                </w:p>
              </w:tc>
              <w:tc>
                <w:tcPr>
                  <w:tcW w:w="1858" w:type="dxa"/>
                </w:tcPr>
                <w:p>
                  <w:pPr>
                    <w:rPr>
                      <w:rFonts w:hint="default"/>
                      <w:b w:val="0"/>
                      <w:bCs w:val="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vertAlign w:val="baseline"/>
                      <w:lang w:val="en-US" w:eastAsia="zh-CN"/>
                    </w:rPr>
                    <w:t>抽样要求</w:t>
                  </w:r>
                </w:p>
              </w:tc>
              <w:tc>
                <w:tcPr>
                  <w:tcW w:w="3255" w:type="dxa"/>
                </w:tcPr>
                <w:p>
                  <w:pPr>
                    <w:rPr>
                      <w:rFonts w:hint="default"/>
                      <w:b w:val="0"/>
                      <w:bCs w:val="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vertAlign w:val="baseline"/>
                      <w:lang w:val="en-US" w:eastAsia="zh-CN"/>
                    </w:rPr>
                    <w:t>执行标准或规范文件名称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rFonts w:hint="default"/>
                      <w:b w:val="0"/>
                      <w:bCs w:val="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vertAlign w:val="baseline"/>
                      <w:lang w:val="en-US" w:eastAsia="zh-CN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33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b w:val="0"/>
                      <w:bCs w:val="0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 w:val="0"/>
                      <w:vertAlign w:val="baseline"/>
                      <w:lang w:val="en-US" w:eastAsia="zh-CN"/>
                    </w:rPr>
                    <w:t>原材料检验</w:t>
                  </w:r>
                </w:p>
              </w:tc>
              <w:tc>
                <w:tcPr>
                  <w:tcW w:w="1858" w:type="dxa"/>
                </w:tcPr>
                <w:p>
                  <w:pPr>
                    <w:rPr>
                      <w:rFonts w:hint="default"/>
                      <w:b w:val="0"/>
                      <w:bCs w:val="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vertAlign w:val="baseline"/>
                      <w:lang w:val="en-US" w:eastAsia="zh-CN"/>
                    </w:rPr>
                    <w:t>随机抽样</w:t>
                  </w:r>
                </w:p>
              </w:tc>
              <w:tc>
                <w:tcPr>
                  <w:tcW w:w="3255" w:type="dxa"/>
                </w:tcPr>
                <w:p>
                  <w:pPr>
                    <w:rPr>
                      <w:rFonts w:hint="default"/>
                      <w:b w:val="0"/>
                      <w:bCs w:val="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vertAlign w:val="baseline"/>
                      <w:lang w:val="en-US" w:eastAsia="zh-CN"/>
                    </w:rPr>
                    <w:t>参照订单协议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rFonts w:hint="eastAsia"/>
                      <w:b w:val="0"/>
                      <w:bCs w:val="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b w:val="0"/>
                      <w:bCs w:val="0"/>
                      <w:vertAlign w:val="baseline"/>
                      <w:lang w:val="en-US" w:eastAsia="zh-CN"/>
                    </w:rPr>
                    <w:t xml:space="preserve">符合 </w:t>
                  </w:r>
                  <w:r>
                    <w:rPr>
                      <w:rFonts w:hint="eastAsia"/>
                      <w:b w:val="0"/>
                      <w:bCs w:val="0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b w:val="0"/>
                      <w:bCs w:val="0"/>
                      <w:vertAlign w:val="baseline"/>
                      <w:lang w:val="en-US" w:eastAsia="zh-CN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b w:val="0"/>
                      <w:bCs w:val="0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 w:val="0"/>
                      <w:vertAlign w:val="baseline"/>
                      <w:lang w:val="en-US" w:eastAsia="zh-CN"/>
                    </w:rPr>
                    <w:t>半成品检验</w:t>
                  </w:r>
                </w:p>
              </w:tc>
              <w:tc>
                <w:tcPr>
                  <w:tcW w:w="1858" w:type="dxa"/>
                </w:tcPr>
                <w:p>
                  <w:pPr>
                    <w:rPr>
                      <w:rFonts w:hint="eastAsia"/>
                      <w:b w:val="0"/>
                      <w:bCs w:val="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vertAlign w:val="baseline"/>
                      <w:lang w:val="en-US" w:eastAsia="zh-CN"/>
                    </w:rPr>
                    <w:t>随机抽样</w:t>
                  </w:r>
                </w:p>
              </w:tc>
              <w:tc>
                <w:tcPr>
                  <w:tcW w:w="3255" w:type="dxa"/>
                </w:tcPr>
                <w:p>
                  <w:pPr>
                    <w:rPr>
                      <w:rFonts w:hint="default"/>
                      <w:b w:val="0"/>
                      <w:bCs w:val="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vertAlign w:val="baseline"/>
                      <w:lang w:val="en-US" w:eastAsia="zh-CN"/>
                    </w:rPr>
                    <w:t>依照过程监控记录表中技术要求</w:t>
                  </w:r>
                </w:p>
              </w:tc>
              <w:tc>
                <w:tcPr>
                  <w:tcW w:w="259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b w:val="0"/>
                      <w:bCs w:val="0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b w:val="0"/>
                      <w:bCs w:val="0"/>
                      <w:vertAlign w:val="baseline"/>
                      <w:lang w:val="en-US" w:eastAsia="zh-CN"/>
                    </w:rPr>
                    <w:t xml:space="preserve">符合 </w:t>
                  </w:r>
                  <w:r>
                    <w:rPr>
                      <w:rFonts w:hint="eastAsia"/>
                      <w:b w:val="0"/>
                      <w:bCs w:val="0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b w:val="0"/>
                      <w:bCs w:val="0"/>
                      <w:vertAlign w:val="baseline"/>
                      <w:lang w:val="en-US" w:eastAsia="zh-CN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b w:val="0"/>
                      <w:bCs w:val="0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 w:val="0"/>
                      <w:vertAlign w:val="baseline"/>
                      <w:lang w:val="en-US" w:eastAsia="zh-CN"/>
                    </w:rPr>
                    <w:t>成品检验</w:t>
                  </w:r>
                </w:p>
              </w:tc>
              <w:tc>
                <w:tcPr>
                  <w:tcW w:w="1858" w:type="dxa"/>
                </w:tcPr>
                <w:p>
                  <w:pPr>
                    <w:rPr>
                      <w:rFonts w:hint="eastAsia"/>
                      <w:b w:val="0"/>
                      <w:bCs w:val="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vertAlign w:val="baseline"/>
                      <w:lang w:val="en-US" w:eastAsia="zh-CN"/>
                    </w:rPr>
                    <w:t>随机抽样</w:t>
                  </w:r>
                </w:p>
              </w:tc>
              <w:tc>
                <w:tcPr>
                  <w:tcW w:w="3255" w:type="dxa"/>
                </w:tcPr>
                <w:p>
                  <w:pPr>
                    <w:rPr>
                      <w:rFonts w:hint="default"/>
                      <w:b w:val="0"/>
                      <w:bCs w:val="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vertAlign w:val="baseline"/>
                      <w:lang w:val="en-US" w:eastAsia="zh-CN"/>
                    </w:rPr>
                    <w:t>参照技术协议或订单合同</w:t>
                  </w:r>
                </w:p>
              </w:tc>
              <w:tc>
                <w:tcPr>
                  <w:tcW w:w="259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b w:val="0"/>
                      <w:bCs w:val="0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b w:val="0"/>
                      <w:bCs w:val="0"/>
                      <w:vertAlign w:val="baseline"/>
                      <w:lang w:val="en-US" w:eastAsia="zh-CN"/>
                    </w:rPr>
                    <w:t xml:space="preserve">符合 </w:t>
                  </w:r>
                  <w:r>
                    <w:rPr>
                      <w:rFonts w:hint="eastAsia"/>
                      <w:b w:val="0"/>
                      <w:bCs w:val="0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b w:val="0"/>
                      <w:bCs w:val="0"/>
                      <w:vertAlign w:val="baseline"/>
                      <w:lang w:val="en-US" w:eastAsia="zh-CN"/>
                    </w:rPr>
                    <w:t>不符合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放行包括：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原材料进厂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半成品转序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成品放行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服务放行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抽取原材料检验相关记录名称：</w:t>
            </w:r>
            <w:r>
              <w:rPr>
                <w:rFonts w:hint="eastAsia"/>
                <w:u w:val="single"/>
                <w:lang w:val="en-US" w:eastAsia="zh-CN"/>
              </w:rPr>
              <w:t>《原料、包装材料入库验收目检记录》和供应商提供的《出厂检验报告》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04"/>
              <w:gridCol w:w="1588"/>
              <w:gridCol w:w="1059"/>
              <w:gridCol w:w="1866"/>
              <w:gridCol w:w="1380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8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物料名称/批次</w:t>
                  </w:r>
                </w:p>
              </w:tc>
              <w:tc>
                <w:tcPr>
                  <w:tcW w:w="105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进货数量</w:t>
                  </w:r>
                </w:p>
              </w:tc>
              <w:tc>
                <w:tcPr>
                  <w:tcW w:w="1866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1380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0" w:hRule="atLeast"/>
              </w:trPr>
              <w:tc>
                <w:tcPr>
                  <w:tcW w:w="110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2020.7.16</w:t>
                  </w:r>
                </w:p>
              </w:tc>
              <w:tc>
                <w:tcPr>
                  <w:tcW w:w="158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光敏树脂</w:t>
                  </w:r>
                </w:p>
              </w:tc>
              <w:tc>
                <w:tcPr>
                  <w:tcW w:w="105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80Kg</w:t>
                  </w:r>
                </w:p>
              </w:tc>
              <w:tc>
                <w:tcPr>
                  <w:tcW w:w="1866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数量、规格</w:t>
                  </w:r>
                </w:p>
              </w:tc>
              <w:tc>
                <w:tcPr>
                  <w:tcW w:w="138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符合要求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2020.7.28</w:t>
                  </w:r>
                </w:p>
              </w:tc>
              <w:tc>
                <w:tcPr>
                  <w:tcW w:w="158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尼龙粉沫</w:t>
                  </w:r>
                </w:p>
              </w:tc>
              <w:tc>
                <w:tcPr>
                  <w:tcW w:w="105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100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Kg</w:t>
                  </w:r>
                </w:p>
              </w:tc>
              <w:tc>
                <w:tcPr>
                  <w:tcW w:w="186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数量、规格</w:t>
                  </w:r>
                </w:p>
              </w:tc>
              <w:tc>
                <w:tcPr>
                  <w:tcW w:w="13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符合要求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110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2020.8.25</w:t>
                  </w:r>
                </w:p>
              </w:tc>
              <w:tc>
                <w:tcPr>
                  <w:tcW w:w="1588" w:type="dxa"/>
                  <w:vAlign w:val="top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纸箱</w:t>
                  </w:r>
                </w:p>
              </w:tc>
              <w:tc>
                <w:tcPr>
                  <w:tcW w:w="1059" w:type="dxa"/>
                  <w:vAlign w:val="top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400只</w:t>
                  </w:r>
                </w:p>
              </w:tc>
              <w:tc>
                <w:tcPr>
                  <w:tcW w:w="1866" w:type="dxa"/>
                  <w:vAlign w:val="top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数量、规格</w:t>
                  </w:r>
                </w:p>
              </w:tc>
              <w:tc>
                <w:tcPr>
                  <w:tcW w:w="1380" w:type="dxa"/>
                  <w:vAlign w:val="top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符合要求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抽查《南京优越三维生产流程表0811-2》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5733415" cy="4300220"/>
                  <wp:effectExtent l="0" t="0" r="6985" b="5080"/>
                  <wp:docPr id="2" name="图片 2" descr="南京优越三维生产流程表0811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南京优越三维生产流程表0811-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3415" cy="430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抽查《南京优越三维生产流程表0915-7》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4156075" cy="5541010"/>
                  <wp:effectExtent l="0" t="0" r="9525" b="8890"/>
                  <wp:docPr id="3" name="图片 3" descr="南京优越三维生产流程表0915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南京优越三维生产流程表0915-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6075" cy="554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195580</wp:posOffset>
                  </wp:positionV>
                  <wp:extent cx="3942715" cy="5256530"/>
                  <wp:effectExtent l="0" t="0" r="6985" b="1270"/>
                  <wp:wrapNone/>
                  <wp:docPr id="4" name="图片 4" descr="南京优越三维生产流程表0908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南京优越三维生产流程表0908-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2715" cy="525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t>抽查《南京优越三维生产流程表0908-2》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抽查《南京优越三维生产流程表0812-3》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3539490" cy="4718685"/>
                  <wp:effectExtent l="0" t="0" r="3810" b="5715"/>
                  <wp:docPr id="5" name="图片 5" descr="南京优越三维生产流程表0812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南京优越三维生产流程表0812-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9490" cy="471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成品/服务放行的人员对相关知识的理解和能力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由于成品/服务放行的监视设备满足要求且完好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由于成品/服务放行的测量设备满足要求且完好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不合格输出的控制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不符合与纠正措施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8.7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Q10.2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lang w:val="en-US" w:eastAsia="zh-CN"/>
              </w:rPr>
              <w:t>《不合格品控制程序》，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lang w:val="en-US" w:eastAsia="zh-CN"/>
              </w:rPr>
              <w:t>《纠正措施和预防措施控制程序》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抽取不合格原材料处置相关记录名称：</w:t>
            </w:r>
            <w:r>
              <w:rPr>
                <w:rFonts w:hint="eastAsia"/>
                <w:u w:val="single"/>
                <w:lang w:val="en-US" w:eastAsia="zh-CN"/>
              </w:rPr>
              <w:t>《  》</w:t>
            </w:r>
            <w:r>
              <w:rPr>
                <w:rFonts w:hint="eastAsia"/>
                <w:b/>
                <w:bCs/>
                <w:u w:val="single"/>
                <w:lang w:val="en-US" w:eastAsia="zh-CN"/>
              </w:rPr>
              <w:t>未发现不合格原料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6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16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抽取不合格半成品处置相关记录名称：</w:t>
            </w:r>
            <w:r>
              <w:rPr>
                <w:rFonts w:hint="eastAsia"/>
                <w:u w:val="single"/>
                <w:lang w:val="en-US" w:eastAsia="zh-CN"/>
              </w:rPr>
              <w:t>《 不合格品评审处理记录表》、《纠  正  措  施  报  告》</w:t>
            </w:r>
          </w:p>
          <w:p>
            <w:pPr>
              <w:rPr>
                <w:rFonts w:hint="default"/>
                <w:lang w:val="en-US" w:eastAsia="zh-CN"/>
              </w:rPr>
            </w:pP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2020.4.9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拉杆</w:t>
                  </w:r>
                </w:p>
              </w:tc>
              <w:tc>
                <w:tcPr>
                  <w:tcW w:w="2225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eastAsia="zh-CN"/>
                    </w:rPr>
                    <w:t xml:space="preserve">孔径尺寸108mm，比标准公差偏大3mm </w:t>
                  </w: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加工前期和中期须多次测量，保证测量环境数值准确有效；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2020.6.14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</w:rPr>
                    <w:t>滚子</w:t>
                  </w:r>
                </w:p>
              </w:tc>
              <w:tc>
                <w:tcPr>
                  <w:tcW w:w="222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内孔毛糙导致无法装备</w:t>
                  </w: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对打磨师傅进行口头培训，不允许有类似情况发生；举一反三，经查未有类似情况发生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抽取不合格成品处置相关记录名称：</w:t>
            </w:r>
            <w:r>
              <w:rPr>
                <w:rFonts w:hint="eastAsia"/>
                <w:u w:val="single"/>
                <w:lang w:val="en-US" w:eastAsia="zh-CN"/>
              </w:rPr>
              <w:t>《   》未发现不合格成品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8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20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lang w:val="en-US" w:eastAsia="zh-CN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与公司授权存在不一致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现场检查对不合格原材料的存放和标识情况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现场检查对不合格半成品的存放和标识情况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  <w:r>
              <w:rPr>
                <w:rFonts w:hint="eastAsia"/>
                <w:b/>
                <w:bCs/>
                <w:lang w:val="en-US" w:eastAsia="zh-CN"/>
              </w:rPr>
              <w:t>（暂未现场查核）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现场检查对不合格成品的存放和标识情况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分析与评价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Q9.1.3</w:t>
            </w:r>
          </w:p>
        </w:tc>
        <w:tc>
          <w:tcPr>
            <w:tcW w:w="74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管理手册10.3章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1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对获得的数据和信息进行监视和测量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5"/>
              <w:gridCol w:w="2651"/>
              <w:gridCol w:w="1811"/>
              <w:gridCol w:w="1342"/>
              <w:gridCol w:w="13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分析和评价的对象</w:t>
                  </w:r>
                </w:p>
              </w:tc>
              <w:tc>
                <w:tcPr>
                  <w:tcW w:w="265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分析和评价的方法</w:t>
                  </w:r>
                </w:p>
              </w:tc>
              <w:tc>
                <w:tcPr>
                  <w:tcW w:w="181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分析和评价的频次和时机</w:t>
                  </w:r>
                </w:p>
              </w:tc>
              <w:tc>
                <w:tcPr>
                  <w:tcW w:w="1342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使用的统计技术</w:t>
                  </w:r>
                </w:p>
              </w:tc>
              <w:tc>
                <w:tcPr>
                  <w:tcW w:w="1314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分析的结果用于改进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产品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和服务的符合性</w:t>
                  </w:r>
                </w:p>
              </w:tc>
              <w:tc>
                <w:tcPr>
                  <w:tcW w:w="2651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对产品合格率进行统计分析，</w:t>
                  </w:r>
                </w:p>
              </w:tc>
              <w:tc>
                <w:tcPr>
                  <w:tcW w:w="1811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柱状图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饼状图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鱼刺图</w:t>
                  </w:r>
                </w:p>
              </w:tc>
              <w:tc>
                <w:tcPr>
                  <w:tcW w:w="131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已用于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未用于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顾客满意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程度</w:t>
                  </w:r>
                </w:p>
              </w:tc>
              <w:tc>
                <w:tcPr>
                  <w:tcW w:w="2651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对顾客满意率进行统计</w:t>
                  </w:r>
                </w:p>
              </w:tc>
              <w:tc>
                <w:tcPr>
                  <w:tcW w:w="1811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柱状图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饼状图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鱼刺图</w:t>
                  </w:r>
                </w:p>
              </w:tc>
              <w:tc>
                <w:tcPr>
                  <w:tcW w:w="131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已用于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未用于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质量管理体系的绩效和有效性</w:t>
                  </w:r>
                </w:p>
              </w:tc>
              <w:tc>
                <w:tcPr>
                  <w:tcW w:w="2651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对内审不符合项进行分析</w:t>
                  </w:r>
                </w:p>
              </w:tc>
              <w:tc>
                <w:tcPr>
                  <w:tcW w:w="1811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柱状图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饼状图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鱼刺图</w:t>
                  </w:r>
                </w:p>
              </w:tc>
              <w:tc>
                <w:tcPr>
                  <w:tcW w:w="131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已用于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未用于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策划是否得到有效实施</w:t>
                  </w:r>
                </w:p>
              </w:tc>
              <w:tc>
                <w:tcPr>
                  <w:tcW w:w="2651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对质量目标完成/Cpk进行统计</w:t>
                  </w:r>
                </w:p>
              </w:tc>
              <w:tc>
                <w:tcPr>
                  <w:tcW w:w="1811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柱状图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饼状图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SPC</w:t>
                  </w:r>
                </w:p>
              </w:tc>
              <w:tc>
                <w:tcPr>
                  <w:tcW w:w="131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已用于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未用于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针对风险和机遇所采取措施的有效性</w:t>
                  </w:r>
                </w:p>
              </w:tc>
              <w:tc>
                <w:tcPr>
                  <w:tcW w:w="2651" w:type="dxa"/>
                  <w:shd w:val="clear" w:color="auto" w:fill="auto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对质量目标完成进行统计</w:t>
                  </w:r>
                </w:p>
              </w:tc>
              <w:tc>
                <w:tcPr>
                  <w:tcW w:w="1811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柱状图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饼状图</w:t>
                  </w:r>
                </w:p>
              </w:tc>
              <w:tc>
                <w:tcPr>
                  <w:tcW w:w="131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已用于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未用于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外部供方的绩效</w:t>
                  </w:r>
                </w:p>
              </w:tc>
              <w:tc>
                <w:tcPr>
                  <w:tcW w:w="2651" w:type="dxa"/>
                  <w:shd w:val="clear" w:color="auto" w:fill="auto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对外部供方的供货质量和服务质量进行统计分析</w:t>
                  </w:r>
                </w:p>
              </w:tc>
              <w:tc>
                <w:tcPr>
                  <w:tcW w:w="1811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柱状图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饼状图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SPC</w:t>
                  </w:r>
                </w:p>
              </w:tc>
              <w:tc>
                <w:tcPr>
                  <w:tcW w:w="131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已用于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未用于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质量管理体系改进的需求</w:t>
                  </w:r>
                </w:p>
              </w:tc>
              <w:tc>
                <w:tcPr>
                  <w:tcW w:w="2651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对QMS存在的需要问题进行分析</w:t>
                  </w:r>
                </w:p>
              </w:tc>
              <w:tc>
                <w:tcPr>
                  <w:tcW w:w="1811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柱状图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饼状图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SPC</w:t>
                  </w:r>
                </w:p>
              </w:tc>
              <w:tc>
                <w:tcPr>
                  <w:tcW w:w="131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已用于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未用于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0" w:type="auto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已用于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未用于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</w:p>
              </w:tc>
            </w:tr>
          </w:tbl>
          <w:p>
            <w:pPr>
              <w:rPr>
                <w:rFonts w:hint="eastAsia"/>
                <w:highlight w:val="cyan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</w:tbl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6D18E6"/>
    <w:rsid w:val="01E27364"/>
    <w:rsid w:val="02C75A20"/>
    <w:rsid w:val="032F5195"/>
    <w:rsid w:val="03A0688A"/>
    <w:rsid w:val="03A32F8E"/>
    <w:rsid w:val="03AC3D8E"/>
    <w:rsid w:val="03CE483E"/>
    <w:rsid w:val="03CF54E8"/>
    <w:rsid w:val="0405614C"/>
    <w:rsid w:val="04701A14"/>
    <w:rsid w:val="04883DB3"/>
    <w:rsid w:val="04981EC9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BEE22F4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B1322F"/>
    <w:rsid w:val="1D4D4A00"/>
    <w:rsid w:val="1DC4038A"/>
    <w:rsid w:val="1DF36090"/>
    <w:rsid w:val="1DFE25B1"/>
    <w:rsid w:val="1E460D08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E7186C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B87BBA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6BC4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3921A1"/>
    <w:rsid w:val="324E5138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E342793"/>
    <w:rsid w:val="3E3C5235"/>
    <w:rsid w:val="3EA34B57"/>
    <w:rsid w:val="3EEF1E6E"/>
    <w:rsid w:val="3F654598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AC3007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BF61A8"/>
    <w:rsid w:val="4DD64E72"/>
    <w:rsid w:val="4DD85058"/>
    <w:rsid w:val="4E0166A9"/>
    <w:rsid w:val="4E1551DB"/>
    <w:rsid w:val="4E7774D0"/>
    <w:rsid w:val="4F594843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4EA0D81"/>
    <w:rsid w:val="552A2893"/>
    <w:rsid w:val="5553061A"/>
    <w:rsid w:val="556B045B"/>
    <w:rsid w:val="557D4E77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196DA9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023D9C"/>
    <w:rsid w:val="6018182B"/>
    <w:rsid w:val="601E0F43"/>
    <w:rsid w:val="60596F8D"/>
    <w:rsid w:val="608075E1"/>
    <w:rsid w:val="61326FB1"/>
    <w:rsid w:val="61384C31"/>
    <w:rsid w:val="61E77A7E"/>
    <w:rsid w:val="61F93317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0A63AD"/>
    <w:rsid w:val="6C3014BE"/>
    <w:rsid w:val="6C5D414F"/>
    <w:rsid w:val="6CA324B4"/>
    <w:rsid w:val="6CDE17FD"/>
    <w:rsid w:val="6D1D2C91"/>
    <w:rsid w:val="6D232D3C"/>
    <w:rsid w:val="6D2F5D1E"/>
    <w:rsid w:val="6D792112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2B6393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CF54F5"/>
    <w:rsid w:val="7CF04E00"/>
    <w:rsid w:val="7D41026F"/>
    <w:rsid w:val="7D59343F"/>
    <w:rsid w:val="7E0A78B3"/>
    <w:rsid w:val="7E2912F3"/>
    <w:rsid w:val="7F300A52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1</TotalTime>
  <ScaleCrop>false</ScaleCrop>
  <LinksUpToDate>false</LinksUpToDate>
  <CharactersWithSpaces>147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2020-10-24T03:39:03Z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