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大庆市万物石油机械制造有限公司</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079</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6</w:t>
      </w:r>
      <w:r>
        <w:rPr>
          <w:rFonts w:ascii="Times New Roman" w:hAnsi="Times New Roman" w:cs="Times New Roman"/>
          <w:sz w:val="32"/>
          <w:u w:val="single"/>
        </w:rPr>
        <w:t>-2020</w:t>
      </w:r>
      <w:bookmarkEnd w:id="1"/>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079</w:t>
      </w:r>
      <w:r>
        <w:rPr>
          <w:rFonts w:ascii="Times New Roman" w:hAnsi="Times New Roman" w:eastAsia="宋体" w:cs="Times New Roman"/>
          <w:bCs/>
          <w:kern w:val="0"/>
          <w:sz w:val="18"/>
          <w:szCs w:val="18"/>
          <w:u w:val="single"/>
        </w:rPr>
        <w:t>-201</w:t>
      </w:r>
      <w:r>
        <w:rPr>
          <w:rFonts w:hint="eastAsia" w:ascii="Times New Roman" w:hAnsi="Times New Roman" w:eastAsia="宋体" w:cs="Times New Roman"/>
          <w:bCs/>
          <w:kern w:val="0"/>
          <w:sz w:val="18"/>
          <w:szCs w:val="18"/>
          <w:u w:val="single"/>
          <w:lang w:val="en-US" w:eastAsia="zh-CN"/>
        </w:rPr>
        <w:t>6</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977"/>
        <w:gridCol w:w="1892"/>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ascii="宋体" w:hAnsi="宋体" w:eastAsia="宋体"/>
                <w:color w:val="000000"/>
                <w:szCs w:val="21"/>
                <w:lang w:eastAsia="zh-CN"/>
              </w:rPr>
              <w:t>大庆市万物石油机械制造有限公司</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2412"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Cs w:val="21"/>
                <w:lang w:val="en-US" w:eastAsia="zh-CN"/>
              </w:rPr>
            </w:pPr>
            <w:r>
              <w:rPr>
                <w:rFonts w:hint="eastAsia" w:ascii="宋体" w:eastAsia="宋体" w:cs="宋体"/>
                <w:kern w:val="0"/>
                <w:szCs w:val="21"/>
                <w:lang w:val="en-US" w:eastAsia="zh-CN"/>
              </w:rPr>
              <w:t>秦卫波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认证证书编号</w:t>
            </w:r>
          </w:p>
        </w:tc>
        <w:tc>
          <w:tcPr>
            <w:tcW w:w="2977" w:type="dxa"/>
            <w:noWrap w:val="0"/>
            <w:vAlign w:val="top"/>
          </w:tcPr>
          <w:p>
            <w:pPr>
              <w:tabs>
                <w:tab w:val="left" w:pos="880"/>
              </w:tabs>
              <w:autoSpaceDE w:val="0"/>
              <w:autoSpaceDN w:val="0"/>
              <w:adjustRightInd w:val="0"/>
              <w:spacing w:before="35" w:line="276" w:lineRule="auto"/>
              <w:ind w:right="161" w:rightChars="0" w:firstLine="420" w:firstLineChars="200"/>
              <w:rPr>
                <w:rFonts w:hint="default" w:ascii="宋体" w:eastAsia="宋体"/>
                <w:color w:val="auto"/>
                <w:lang w:val="en-US" w:eastAsia="zh-CN"/>
              </w:rPr>
            </w:pPr>
            <w:r>
              <w:rPr>
                <w:rFonts w:hint="eastAsia" w:ascii="宋体" w:hAnsi="宋体" w:cs="宋体"/>
                <w:kern w:val="0"/>
                <w:szCs w:val="21"/>
                <w:shd w:val="clear" w:color="auto" w:fill="auto"/>
                <w:lang w:val="en-US" w:eastAsia="zh-CN"/>
              </w:rPr>
              <w:t>ISC-2016-0077</w:t>
            </w:r>
          </w:p>
        </w:tc>
        <w:tc>
          <w:tcPr>
            <w:tcW w:w="1892" w:type="dxa"/>
            <w:noWrap w:val="0"/>
            <w:vAlign w:val="top"/>
          </w:tcPr>
          <w:p>
            <w:pPr>
              <w:tabs>
                <w:tab w:val="left" w:pos="880"/>
              </w:tabs>
              <w:autoSpaceDE w:val="0"/>
              <w:autoSpaceDN w:val="0"/>
              <w:adjustRightInd w:val="0"/>
              <w:spacing w:before="35" w:line="276" w:lineRule="auto"/>
              <w:ind w:right="161" w:rightChars="0"/>
              <w:rPr>
                <w:rFonts w:ascii="宋体"/>
                <w:color w:val="auto"/>
              </w:rPr>
            </w:pPr>
            <w:r>
              <w:rPr>
                <w:rFonts w:hint="eastAsia" w:ascii="宋体" w:hAnsi="宋体" w:cs="宋体"/>
                <w:kern w:val="0"/>
                <w:szCs w:val="21"/>
              </w:rPr>
              <w:t>证书有效期</w:t>
            </w:r>
          </w:p>
        </w:tc>
        <w:tc>
          <w:tcPr>
            <w:tcW w:w="2412" w:type="dxa"/>
            <w:noWrap w:val="0"/>
            <w:vAlign w:val="top"/>
          </w:tcPr>
          <w:p>
            <w:pPr>
              <w:tabs>
                <w:tab w:val="left" w:pos="880"/>
              </w:tabs>
              <w:autoSpaceDE w:val="0"/>
              <w:autoSpaceDN w:val="0"/>
              <w:adjustRightInd w:val="0"/>
              <w:spacing w:before="35" w:line="360" w:lineRule="auto"/>
              <w:ind w:right="161" w:rightChars="0"/>
              <w:rPr>
                <w:rFonts w:hint="default" w:ascii="宋体"/>
                <w:color w:val="auto"/>
                <w:highlight w:val="none"/>
                <w:lang w:val="en-US"/>
              </w:rPr>
            </w:pPr>
            <w:r>
              <w:rPr>
                <w:rFonts w:hint="eastAsia" w:ascii="宋体" w:hAnsi="宋体" w:cs="宋体"/>
                <w:kern w:val="0"/>
                <w:szCs w:val="21"/>
                <w:shd w:val="clear" w:color="auto" w:fill="auto"/>
                <w:lang w:val="en-US" w:eastAsia="zh-CN"/>
              </w:rPr>
              <w:t>2021.12.24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监督审核次数</w:t>
            </w:r>
          </w:p>
        </w:tc>
        <w:tc>
          <w:tcPr>
            <w:tcW w:w="2977" w:type="dxa"/>
            <w:noWrap w:val="0"/>
            <w:vAlign w:val="center"/>
          </w:tcPr>
          <w:p>
            <w:pPr>
              <w:tabs>
                <w:tab w:val="left" w:pos="880"/>
              </w:tabs>
              <w:autoSpaceDE w:val="0"/>
              <w:autoSpaceDN w:val="0"/>
              <w:adjustRightInd w:val="0"/>
              <w:spacing w:before="35" w:line="276" w:lineRule="auto"/>
              <w:ind w:right="161" w:firstLine="210" w:firstLineChars="100"/>
              <w:jc w:val="both"/>
              <w:rPr>
                <w:rFonts w:ascii="宋体" w:cs="宋体"/>
                <w:kern w:val="0"/>
                <w:szCs w:val="21"/>
              </w:rPr>
            </w:pPr>
            <w:r>
              <w:rPr>
                <w:rFonts w:hint="eastAsia" w:ascii="宋体" w:cs="宋体"/>
                <w:kern w:val="0"/>
                <w:szCs w:val="21"/>
              </w:rPr>
              <w:t>第</w:t>
            </w:r>
            <w:r>
              <w:rPr>
                <w:rFonts w:hint="eastAsia" w:ascii="宋体" w:cs="宋体"/>
                <w:kern w:val="0"/>
                <w:szCs w:val="21"/>
                <w:lang w:val="en-US" w:eastAsia="zh-CN"/>
              </w:rPr>
              <w:t>4</w:t>
            </w:r>
            <w:r>
              <w:rPr>
                <w:rFonts w:hint="eastAsia" w:ascii="宋体" w:cs="宋体"/>
                <w:kern w:val="0"/>
                <w:szCs w:val="21"/>
              </w:rPr>
              <w:t>次</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center"/>
          </w:tcPr>
          <w:p>
            <w:pPr>
              <w:tabs>
                <w:tab w:val="left" w:pos="880"/>
              </w:tabs>
              <w:autoSpaceDE w:val="0"/>
              <w:autoSpaceDN w:val="0"/>
              <w:adjustRightInd w:val="0"/>
              <w:spacing w:before="35" w:line="360" w:lineRule="auto"/>
              <w:ind w:right="161"/>
              <w:jc w:val="both"/>
              <w:rPr>
                <w:rFonts w:hint="default" w:ascii="宋体" w:cs="宋体" w:eastAsiaTheme="minorEastAsia"/>
                <w:color w:val="auto"/>
                <w:kern w:val="0"/>
                <w:szCs w:val="21"/>
                <w:highlight w:val="none"/>
                <w:lang w:val="en-US" w:eastAsia="zh-CN"/>
              </w:rPr>
            </w:pPr>
            <w:r>
              <w:rPr>
                <w:rFonts w:ascii="宋体" w:hAnsi="宋体" w:cs="宋体"/>
                <w:color w:val="auto"/>
                <w:kern w:val="0"/>
                <w:szCs w:val="21"/>
                <w:highlight w:val="none"/>
              </w:rPr>
              <w:t>20</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姓名及确认号</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ascii="宋体" w:hAnsi="宋体"/>
                <w:sz w:val="21"/>
                <w:szCs w:val="21"/>
                <w:lang w:eastAsia="zh-CN"/>
              </w:rPr>
              <w:t>姜</w:t>
            </w:r>
            <w:r>
              <w:rPr>
                <w:rFonts w:hint="eastAsia" w:ascii="宋体" w:hAnsi="宋体"/>
                <w:sz w:val="21"/>
                <w:szCs w:val="21"/>
                <w:lang w:val="en-US" w:eastAsia="zh-CN"/>
              </w:rPr>
              <w:t xml:space="preserve">  </w:t>
            </w:r>
            <w:r>
              <w:rPr>
                <w:rFonts w:hint="eastAsia" w:ascii="宋体" w:hAnsi="宋体"/>
                <w:sz w:val="21"/>
                <w:szCs w:val="21"/>
                <w:lang w:eastAsia="zh-CN"/>
              </w:rPr>
              <w:t>丽</w:t>
            </w:r>
            <w:r>
              <w:rPr>
                <w:rFonts w:ascii="宋体" w:hAnsi="宋体"/>
                <w:sz w:val="21"/>
                <w:szCs w:val="21"/>
              </w:rPr>
              <w:t xml:space="preserve"> ISC[S]00</w:t>
            </w:r>
            <w:r>
              <w:rPr>
                <w:rFonts w:hint="eastAsia" w:ascii="宋体" w:hAnsi="宋体"/>
                <w:sz w:val="21"/>
                <w:szCs w:val="21"/>
                <w:lang w:val="en-US" w:eastAsia="zh-CN"/>
              </w:rPr>
              <w:t>23</w:t>
            </w:r>
          </w:p>
          <w:p>
            <w:pPr>
              <w:tabs>
                <w:tab w:val="left" w:pos="880"/>
              </w:tabs>
              <w:autoSpaceDE w:val="0"/>
              <w:autoSpaceDN w:val="0"/>
              <w:adjustRightInd w:val="0"/>
              <w:spacing w:before="35" w:line="276" w:lineRule="auto"/>
              <w:ind w:right="161"/>
              <w:jc w:val="both"/>
              <w:rPr>
                <w:rFonts w:hint="default" w:ascii="宋体" w:hAnsi="宋体" w:eastAsia="宋体"/>
                <w:sz w:val="21"/>
                <w:szCs w:val="21"/>
                <w:lang w:val="en-US" w:eastAsia="zh-CN"/>
              </w:rPr>
            </w:pP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color w:val="auto"/>
                <w:kern w:val="0"/>
                <w:sz w:val="24"/>
                <w:szCs w:val="24"/>
                <w:highlight w:val="none"/>
                <w:lang w:eastAsia="zh-CN"/>
              </w:rPr>
            </w:pPr>
            <w:r>
              <w:rPr>
                <w:rFonts w:hint="eastAsia" w:ascii="宋体" w:hAnsi="宋体" w:eastAsia="宋体" w:cs="宋体"/>
                <w:kern w:val="0"/>
                <w:sz w:val="21"/>
                <w:szCs w:val="21"/>
                <w:highlight w:val="none"/>
                <w:shd w:val="clear" w:color="auto" w:fill="auto"/>
                <w:lang w:val="en-US" w:eastAsia="zh-CN"/>
              </w:rPr>
              <w:t>质量部、生产部（生产车间）、供销部、技术部、办公室</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大庆市万物石油机械制造有限公司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大庆市万物石油机械制造有限公司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9月25</w:t>
      </w:r>
      <w:r>
        <w:rPr>
          <w:rFonts w:ascii="Times New Roman" w:hAnsi="Times New Roman" w:cs="Times New Roman"/>
          <w:bCs/>
          <w:kern w:val="0"/>
          <w:szCs w:val="21"/>
          <w:highlight w:val="none"/>
        </w:rPr>
        <w:t>月，组织了公司测量管理体系内部审核。</w:t>
      </w:r>
      <w:r>
        <w:rPr>
          <w:rFonts w:hint="eastAsia" w:ascii="Times New Roman" w:hAnsi="Times New Roman" w:cs="Times New Roman"/>
          <w:bCs/>
          <w:kern w:val="0"/>
          <w:szCs w:val="21"/>
          <w:highlight w:val="none"/>
          <w:lang w:eastAsia="zh-CN"/>
        </w:rPr>
        <w:t>闫明娟</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30</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10</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15</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闫明娟</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r>
        <w:rPr>
          <w:rFonts w:hint="eastAsia" w:ascii="宋体" w:hAnsi="宋体" w:cs="宋体"/>
          <w:color w:val="000000"/>
          <w:kern w:val="0"/>
          <w:szCs w:val="21"/>
          <w:u w:val="none"/>
        </w:rPr>
        <w:t>油田机械设备加工、钻采配件、混合器、过滤器、调节堰、滤油机、水处理设备及配件（软化水装置及配件）的机械加工。</w:t>
      </w:r>
      <w:r>
        <w:rPr>
          <w:rFonts w:hint="eastAsia" w:ascii="宋体" w:hAnsi="宋体"/>
          <w:szCs w:val="21"/>
        </w:rPr>
        <w:t>等</w:t>
      </w:r>
      <w:r>
        <w:rPr>
          <w:rFonts w:hint="eastAsia" w:ascii="宋体" w:hAnsi="宋体"/>
          <w:szCs w:val="21"/>
          <w:lang w:eastAsia="zh-CN"/>
        </w:rPr>
        <w:t>。质量部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宋体"/>
          <w:bCs/>
          <w:kern w:val="0"/>
          <w:szCs w:val="21"/>
        </w:rPr>
        <w:t>共识</w:t>
      </w:r>
      <w:r>
        <w:rPr>
          <w:rFonts w:hint="eastAsia" w:ascii="宋体" w:hAnsi="宋体" w:cs="宋体"/>
          <w:bCs/>
          <w:kern w:val="0"/>
          <w:szCs w:val="21"/>
          <w:highlight w:val="none"/>
        </w:rPr>
        <w:t>别</w:t>
      </w:r>
      <w:r>
        <w:rPr>
          <w:rFonts w:hint="eastAsia" w:ascii="宋体" w:hAnsi="宋体" w:cs="宋体"/>
          <w:kern w:val="0"/>
          <w:szCs w:val="21"/>
          <w:lang w:eastAsia="zh-CN"/>
        </w:rPr>
        <w:t>水阀阀体外径</w:t>
      </w:r>
      <w:r>
        <w:rPr>
          <w:rFonts w:hint="eastAsia" w:ascii="宋体" w:hAnsi="宋体" w:cs="宋体"/>
          <w:kern w:val="0"/>
          <w:szCs w:val="21"/>
          <w:lang w:val="en-US" w:eastAsia="zh-CN"/>
        </w:rPr>
        <w:t>尺寸</w:t>
      </w:r>
      <w:r>
        <w:rPr>
          <w:rFonts w:hint="eastAsia" w:ascii="宋体" w:hAnsi="宋体" w:eastAsia="宋体" w:cs="宋体"/>
          <w:kern w:val="0"/>
          <w:sz w:val="21"/>
          <w:szCs w:val="21"/>
          <w:lang w:eastAsia="zh-CN"/>
        </w:rPr>
        <w:t>检测</w:t>
      </w:r>
      <w:r>
        <w:rPr>
          <w:rFonts w:hint="eastAsia" w:ascii="宋体" w:hAnsi="宋体" w:cs="宋体"/>
          <w:kern w:val="0"/>
          <w:szCs w:val="21"/>
          <w:shd w:val="clear" w:color="auto" w:fill="auto"/>
        </w:rPr>
        <w:t>测量过程</w:t>
      </w:r>
      <w:r>
        <w:rPr>
          <w:rFonts w:hint="eastAsia" w:ascii="宋体" w:hAnsi="宋体" w:cs="宋体"/>
          <w:kern w:val="0"/>
          <w:szCs w:val="21"/>
          <w:lang w:eastAsia="zh-CN"/>
        </w:rPr>
        <w:t>、硬度</w:t>
      </w:r>
      <w:r>
        <w:rPr>
          <w:rFonts w:hint="eastAsia" w:ascii="宋体" w:hAnsi="宋体" w:cs="宋体"/>
          <w:kern w:val="0"/>
          <w:szCs w:val="21"/>
          <w:shd w:val="clear" w:color="auto" w:fill="auto"/>
          <w:lang w:val="en-US" w:eastAsia="zh-CN"/>
        </w:rPr>
        <w:t>试验测量过程控制等6个关键测量过程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21</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Times New Roman" w:hAnsi="Times New Roman" w:cs="Times New Roman"/>
          <w:bCs/>
          <w:kern w:val="0"/>
          <w:szCs w:val="21"/>
          <w:lang w:eastAsia="zh-CN"/>
        </w:rPr>
        <w:t>水阀阀体外径</w:t>
      </w:r>
      <w:r>
        <w:rPr>
          <w:rFonts w:hint="eastAsia" w:ascii="宋体" w:hAnsi="宋体"/>
          <w:bCs/>
          <w:szCs w:val="21"/>
          <w:lang w:val="en-US" w:eastAsia="zh-CN"/>
        </w:rPr>
        <w:t>尺寸</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企业增加</w:t>
      </w:r>
      <w:r>
        <w:rPr>
          <w:rFonts w:hint="eastAsia" w:ascii="Times New Roman" w:hAnsi="Times New Roman" w:cs="Times New Roman"/>
          <w:bCs/>
          <w:kern w:val="0"/>
          <w:szCs w:val="21"/>
          <w:lang w:eastAsia="zh-CN"/>
        </w:rPr>
        <w:t>一个</w:t>
      </w:r>
      <w:r>
        <w:rPr>
          <w:rFonts w:ascii="Times New Roman" w:hAnsi="Times New Roman" w:cs="Times New Roman"/>
          <w:bCs/>
          <w:kern w:val="0"/>
          <w:szCs w:val="21"/>
        </w:rPr>
        <w:t>关键测量过程。</w:t>
      </w:r>
      <w:r>
        <w:rPr>
          <w:rFonts w:hint="eastAsia" w:ascii="Times New Roman" w:hAnsi="Times New Roman" w:cs="Times New Roman"/>
          <w:bCs/>
          <w:kern w:val="0"/>
          <w:szCs w:val="21"/>
          <w:lang w:eastAsia="zh-CN"/>
        </w:rPr>
        <w:t>查</w:t>
      </w:r>
      <w:r>
        <w:rPr>
          <w:rFonts w:ascii="Times New Roman" w:hAnsi="Times New Roman" w:cs="Times New Roman"/>
          <w:bCs/>
          <w:kern w:val="0"/>
          <w:szCs w:val="21"/>
        </w:rPr>
        <w:t>《</w:t>
      </w:r>
      <w:r>
        <w:rPr>
          <w:rFonts w:hint="eastAsia" w:ascii="Times New Roman" w:hAnsi="Times New Roman" w:cs="Times New Roman"/>
          <w:bCs/>
          <w:kern w:val="0"/>
          <w:szCs w:val="21"/>
          <w:lang w:eastAsia="zh-CN"/>
        </w:rPr>
        <w:t>水阀阀体外径</w:t>
      </w:r>
      <w:r>
        <w:rPr>
          <w:rFonts w:hint="eastAsia" w:ascii="宋体" w:hAnsi="宋体"/>
          <w:bCs/>
          <w:szCs w:val="21"/>
          <w:lang w:val="en-US" w:eastAsia="zh-CN"/>
        </w:rPr>
        <w:t>尺寸</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Times New Roman" w:hAnsi="Times New Roman" w:cs="Times New Roman"/>
          <w:bCs/>
          <w:kern w:val="0"/>
          <w:szCs w:val="21"/>
          <w:lang w:eastAsia="zh-CN"/>
        </w:rPr>
        <w:t>水阀阀体外径</w:t>
      </w:r>
      <w:r>
        <w:rPr>
          <w:rFonts w:hint="eastAsia" w:ascii="宋体" w:hAnsi="宋体"/>
          <w:bCs/>
          <w:szCs w:val="21"/>
          <w:lang w:val="en-US" w:eastAsia="zh-CN"/>
        </w:rPr>
        <w:t>尺寸</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Cs w:val="21"/>
          <w:lang w:eastAsia="zh-CN"/>
        </w:rPr>
        <w:t>水阀阀体外径</w:t>
      </w:r>
      <w:r>
        <w:rPr>
          <w:rFonts w:hint="eastAsia" w:ascii="宋体" w:hAnsi="宋体"/>
          <w:bCs/>
          <w:szCs w:val="21"/>
          <w:lang w:val="en-US" w:eastAsia="zh-CN"/>
        </w:rPr>
        <w:t>尺寸</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上年监督</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认证</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val="en-US" w:eastAsia="zh-CN"/>
        </w:rPr>
        <w:t>1</w:t>
      </w:r>
      <w:r>
        <w:rPr>
          <w:rFonts w:hint="eastAsia" w:ascii="宋体" w:hAnsi="宋体" w:cs="宋体"/>
          <w:bCs/>
          <w:kern w:val="0"/>
          <w:szCs w:val="21"/>
          <w:lang w:val="en-US" w:eastAsia="zh-CN"/>
        </w:rPr>
        <w:t>《测量设备台账》中校准日期及有效期没有及时更新</w:t>
      </w:r>
      <w:r>
        <w:rPr>
          <w:rFonts w:hint="eastAsia" w:ascii="宋体" w:hAnsi="宋体"/>
          <w:color w:val="auto"/>
          <w:szCs w:val="21"/>
          <w:lang w:val="en-US"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企业营业执照有变更（2020.8.13）经营范围增加，认证产品、组织机构等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spacing w:line="360" w:lineRule="auto"/>
        <w:ind w:firstLine="480"/>
        <w:rPr>
          <w:rFonts w:hint="default" w:ascii="宋体" w:hAnsi="宋体" w:cs="宋体"/>
          <w:bCs/>
          <w:color w:val="auto"/>
          <w:kern w:val="0"/>
          <w:szCs w:val="21"/>
          <w:highlight w:val="none"/>
          <w:lang w:val="en-US"/>
        </w:rPr>
      </w:pPr>
      <w:r>
        <w:rPr>
          <w:rFonts w:hint="eastAsia" w:ascii="宋体" w:hAnsi="宋体" w:cs="宋体"/>
          <w:b/>
          <w:bCs/>
          <w:color w:val="auto"/>
          <w:kern w:val="0"/>
          <w:szCs w:val="21"/>
          <w:highlight w:val="none"/>
          <w:lang w:val="en-US" w:eastAsia="zh-CN"/>
        </w:rPr>
        <w:t>10.1</w:t>
      </w:r>
      <w:r>
        <w:rPr>
          <w:rFonts w:hint="eastAsia" w:ascii="宋体" w:hAnsi="宋体" w:eastAsia="宋体" w:cs="宋体"/>
          <w:b w:val="0"/>
          <w:bCs/>
          <w:sz w:val="21"/>
          <w:szCs w:val="21"/>
          <w:lang w:val="en-US" w:eastAsia="zh-CN"/>
        </w:rPr>
        <w:t>质量部提供的平</w:t>
      </w:r>
      <w:r>
        <w:rPr>
          <w:rFonts w:hint="eastAsia" w:ascii="宋体" w:hAnsi="宋体" w:eastAsia="宋体" w:cs="宋体"/>
          <w:b w:val="0"/>
          <w:bCs/>
          <w:color w:val="auto"/>
          <w:kern w:val="0"/>
          <w:sz w:val="21"/>
          <w:szCs w:val="21"/>
          <w:highlight w:val="none"/>
          <w:shd w:val="clear" w:color="auto" w:fill="auto"/>
          <w:lang w:val="en-US" w:eastAsia="zh-CN"/>
        </w:rPr>
        <w:t>接法兰加</w:t>
      </w:r>
      <w:r>
        <w:rPr>
          <w:rFonts w:hint="eastAsia" w:ascii="宋体" w:hAnsi="宋体" w:cs="宋体"/>
          <w:b w:val="0"/>
          <w:bCs/>
          <w:color w:val="auto"/>
          <w:kern w:val="0"/>
          <w:sz w:val="21"/>
          <w:szCs w:val="21"/>
          <w:highlight w:val="none"/>
          <w:shd w:val="clear" w:color="auto" w:fill="auto"/>
          <w:lang w:val="en-US" w:eastAsia="zh-CN"/>
        </w:rPr>
        <w:t>工</w:t>
      </w:r>
      <w:r>
        <w:rPr>
          <w:rFonts w:hint="eastAsia" w:ascii="宋体" w:hAnsi="宋体" w:eastAsia="宋体" w:cs="宋体"/>
          <w:b w:val="0"/>
          <w:bCs/>
          <w:color w:val="auto"/>
          <w:kern w:val="0"/>
          <w:sz w:val="21"/>
          <w:szCs w:val="21"/>
          <w:highlight w:val="none"/>
          <w:shd w:val="clear" w:color="auto" w:fill="auto"/>
          <w:lang w:val="en-US" w:eastAsia="zh-CN"/>
        </w:rPr>
        <w:t>过程卡</w:t>
      </w:r>
      <w:r>
        <w:rPr>
          <w:rFonts w:hint="eastAsia" w:ascii="宋体" w:hAnsi="宋体" w:cs="宋体"/>
          <w:b w:val="0"/>
          <w:bCs/>
          <w:color w:val="auto"/>
          <w:kern w:val="0"/>
          <w:sz w:val="21"/>
          <w:szCs w:val="21"/>
          <w:highlight w:val="none"/>
          <w:shd w:val="clear" w:color="auto" w:fill="auto"/>
          <w:lang w:val="en-US" w:eastAsia="zh-CN"/>
        </w:rPr>
        <w:t>，</w:t>
      </w:r>
      <w:r>
        <w:rPr>
          <w:rFonts w:hint="eastAsia" w:ascii="宋体" w:hAnsi="宋体" w:eastAsia="宋体" w:cs="宋体"/>
          <w:b w:val="0"/>
          <w:bCs/>
          <w:color w:val="auto"/>
          <w:kern w:val="0"/>
          <w:sz w:val="21"/>
          <w:szCs w:val="21"/>
          <w:highlight w:val="none"/>
          <w:shd w:val="clear" w:color="auto" w:fill="auto"/>
          <w:lang w:val="en-US" w:eastAsia="zh-CN"/>
        </w:rPr>
        <w:t>型号：PN1.6DN15，中公差执行标准为</w:t>
      </w:r>
      <w:r>
        <w:rPr>
          <w:rFonts w:hint="eastAsia" w:ascii="宋体" w:hAnsi="宋体" w:eastAsia="宋体" w:cs="宋体"/>
          <w:b w:val="0"/>
          <w:bCs/>
          <w:kern w:val="0"/>
          <w:sz w:val="21"/>
          <w:szCs w:val="21"/>
          <w:lang w:val="en-US" w:eastAsia="zh-CN"/>
        </w:rPr>
        <w:t>GB/T9124-2000《</w:t>
      </w:r>
      <w:r>
        <w:rPr>
          <w:rFonts w:hint="eastAsia" w:ascii="宋体" w:hAnsi="宋体" w:eastAsia="宋体" w:cs="宋体"/>
          <w:b w:val="0"/>
          <w:bCs/>
          <w:i w:val="0"/>
          <w:caps w:val="0"/>
          <w:color w:val="000000"/>
          <w:spacing w:val="0"/>
          <w:sz w:val="21"/>
          <w:szCs w:val="21"/>
          <w:shd w:val="clear" w:fill="FFFFFF"/>
        </w:rPr>
        <w:t>钢制管法兰 技术条件</w:t>
      </w:r>
      <w:r>
        <w:rPr>
          <w:rFonts w:hint="eastAsia" w:ascii="宋体" w:hAnsi="宋体" w:eastAsia="宋体" w:cs="宋体"/>
          <w:b w:val="0"/>
          <w:bCs/>
          <w:kern w:val="0"/>
          <w:sz w:val="21"/>
          <w:szCs w:val="21"/>
          <w:lang w:val="en-US" w:eastAsia="zh-CN"/>
        </w:rPr>
        <w:t>》</w:t>
      </w:r>
      <w:r>
        <w:rPr>
          <w:rFonts w:hint="eastAsia" w:ascii="Times New Roman" w:hAnsi="Times New Roman" w:cs="Times New Roman"/>
          <w:b w:val="0"/>
          <w:bCs w:val="0"/>
          <w:kern w:val="0"/>
          <w:sz w:val="21"/>
          <w:szCs w:val="21"/>
          <w:lang w:val="en-US" w:eastAsia="zh-CN"/>
        </w:rPr>
        <w:t>没有更新。</w:t>
      </w:r>
      <w:r>
        <w:rPr>
          <w:rFonts w:hint="eastAsia" w:ascii="宋体" w:hAnsi="宋体" w:cs="宋体"/>
          <w:b w:val="0"/>
          <w:bCs/>
          <w:kern w:val="0"/>
          <w:sz w:val="21"/>
          <w:szCs w:val="21"/>
        </w:rPr>
        <w:t>不符合GB/T19022-2003标准</w:t>
      </w:r>
      <w:r>
        <w:rPr>
          <w:rFonts w:hint="eastAsia" w:cs="宋体"/>
          <w:b w:val="0"/>
          <w:bCs/>
          <w:kern w:val="0"/>
          <w:sz w:val="21"/>
          <w:szCs w:val="21"/>
          <w:lang w:val="en-US" w:eastAsia="zh-CN"/>
        </w:rPr>
        <w:t>6.2.1</w:t>
      </w:r>
      <w:r>
        <w:rPr>
          <w:rFonts w:hint="eastAsia" w:ascii="宋体" w:hAnsi="宋体" w:cs="宋体"/>
          <w:b w:val="0"/>
          <w:bCs/>
          <w:kern w:val="0"/>
          <w:sz w:val="21"/>
          <w:szCs w:val="21"/>
        </w:rPr>
        <w:t>条款</w:t>
      </w:r>
      <w:r>
        <w:rPr>
          <w:rFonts w:hint="eastAsia" w:ascii="宋体" w:hAnsi="宋体" w:cs="宋体"/>
          <w:b w:val="0"/>
          <w:bCs/>
          <w:kern w:val="0"/>
          <w:sz w:val="21"/>
          <w:szCs w:val="21"/>
          <w:lang w:eastAsia="zh-CN"/>
        </w:rPr>
        <w:t>关于“</w:t>
      </w:r>
      <w:r>
        <w:rPr>
          <w:rFonts w:hint="eastAsia" w:ascii="宋体"/>
        </w:rPr>
        <w:t>制定新的程序或更改现有的程序应经授权批准并受控。程序应现行有效，需要时可获得和提供</w:t>
      </w:r>
      <w:r>
        <w:rPr>
          <w:rFonts w:hint="eastAsia" w:ascii="宋体"/>
          <w:lang w:eastAsia="zh-CN"/>
        </w:rPr>
        <w:t>”</w:t>
      </w:r>
      <w:r>
        <w:rPr>
          <w:rFonts w:hint="eastAsia" w:ascii="宋体"/>
        </w:rPr>
        <w:t>。</w:t>
      </w:r>
      <w:r>
        <w:rPr>
          <w:rFonts w:hint="eastAsia" w:ascii="宋体"/>
          <w:lang w:eastAsia="zh-CN"/>
        </w:rPr>
        <w:t>的规定要求。</w:t>
      </w:r>
      <w:r>
        <w:rPr>
          <w:rFonts w:hint="eastAsia" w:ascii="宋体" w:hAnsi="宋体" w:cs="宋体"/>
          <w:color w:val="auto"/>
          <w:kern w:val="0"/>
          <w:szCs w:val="21"/>
          <w:highlight w:val="none"/>
          <w:lang w:eastAsia="zh-CN"/>
        </w:rPr>
        <w:t>属于次要不符合项。</w:t>
      </w:r>
      <w:bookmarkStart w:id="4" w:name="_GoBack"/>
      <w:bookmarkEnd w:id="4"/>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大庆市万物石油机械制造有限公司</w:t>
      </w:r>
      <w:r>
        <w:rPr>
          <w:rFonts w:ascii="Times New Roman" w:hAnsi="Times New Roman" w:cs="Times New Roman"/>
          <w:bCs/>
          <w:kern w:val="0"/>
          <w:szCs w:val="21"/>
          <w:highlight w:val="none"/>
        </w:rPr>
        <w:t>，</w:t>
      </w:r>
      <w:r>
        <w:rPr>
          <w:rFonts w:hint="eastAsia" w:ascii="宋体" w:hAnsi="宋体"/>
          <w:color w:val="000000"/>
          <w:szCs w:val="21"/>
        </w:rPr>
        <w:t>主要耗能为电；</w:t>
      </w:r>
      <w:r>
        <w:rPr>
          <w:rFonts w:hint="eastAsia" w:ascii="宋体" w:hAnsi="宋体" w:cs="宋体"/>
          <w:bCs/>
          <w:kern w:val="0"/>
          <w:szCs w:val="21"/>
        </w:rPr>
        <w:t>企业</w:t>
      </w:r>
      <w:r>
        <w:rPr>
          <w:rFonts w:hint="eastAsia" w:ascii="宋体" w:hAnsi="宋体" w:cs="宋体"/>
          <w:bCs/>
          <w:kern w:val="0"/>
          <w:szCs w:val="21"/>
          <w:lang w:val="en-US" w:eastAsia="zh-CN"/>
        </w:rPr>
        <w:t>2019年11月至2020年9月</w:t>
      </w:r>
      <w:r>
        <w:rPr>
          <w:rFonts w:hint="eastAsia" w:ascii="宋体" w:hAnsi="宋体" w:cs="宋体"/>
          <w:bCs/>
          <w:kern w:val="0"/>
          <w:szCs w:val="21"/>
        </w:rPr>
        <w:t>耗能为</w:t>
      </w:r>
      <w:r>
        <w:rPr>
          <w:rFonts w:hint="eastAsia" w:ascii="宋体" w:hAnsi="宋体" w:cs="宋体"/>
          <w:bCs/>
          <w:kern w:val="0"/>
          <w:szCs w:val="21"/>
          <w:lang w:val="en-US" w:eastAsia="zh-CN"/>
        </w:rPr>
        <w:t>1.05</w:t>
      </w:r>
      <w:r>
        <w:rPr>
          <w:rFonts w:hint="eastAsia" w:ascii="宋体" w:hAnsi="宋体" w:cs="宋体"/>
          <w:bCs/>
          <w:kern w:val="0"/>
          <w:szCs w:val="21"/>
        </w:rPr>
        <w:t>吨标煤</w:t>
      </w:r>
      <w:r>
        <w:rPr>
          <w:rFonts w:hint="eastAsia" w:ascii="宋体" w:hAnsi="宋体"/>
          <w:color w:val="000000"/>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10</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24</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大庆市万物石油机械制造有限公司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上年度监督后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大庆市万物石油机械制造有限公司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2020.10.24</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3"/>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60A2C1F"/>
    <w:rsid w:val="06255583"/>
    <w:rsid w:val="069E5AB7"/>
    <w:rsid w:val="07CB0C61"/>
    <w:rsid w:val="0AAC43F2"/>
    <w:rsid w:val="0B6A287A"/>
    <w:rsid w:val="0B9C159A"/>
    <w:rsid w:val="0C4A062D"/>
    <w:rsid w:val="0CF4221B"/>
    <w:rsid w:val="0D335818"/>
    <w:rsid w:val="0DFC7968"/>
    <w:rsid w:val="0E553E18"/>
    <w:rsid w:val="0E8A307E"/>
    <w:rsid w:val="10514274"/>
    <w:rsid w:val="106725C6"/>
    <w:rsid w:val="10CC502F"/>
    <w:rsid w:val="10F52E13"/>
    <w:rsid w:val="110C45FB"/>
    <w:rsid w:val="11550A66"/>
    <w:rsid w:val="1193589A"/>
    <w:rsid w:val="12114279"/>
    <w:rsid w:val="13B07256"/>
    <w:rsid w:val="147A5742"/>
    <w:rsid w:val="14AF6172"/>
    <w:rsid w:val="15217ADC"/>
    <w:rsid w:val="15501560"/>
    <w:rsid w:val="158D185E"/>
    <w:rsid w:val="17E86A55"/>
    <w:rsid w:val="191875B9"/>
    <w:rsid w:val="1A9066D8"/>
    <w:rsid w:val="1ACB2E07"/>
    <w:rsid w:val="1B6E0BCC"/>
    <w:rsid w:val="1DB528F4"/>
    <w:rsid w:val="1E8D2076"/>
    <w:rsid w:val="1F96490F"/>
    <w:rsid w:val="1FD87C5A"/>
    <w:rsid w:val="202E5BEC"/>
    <w:rsid w:val="205A621D"/>
    <w:rsid w:val="221F4A52"/>
    <w:rsid w:val="22D6310F"/>
    <w:rsid w:val="234C1DE6"/>
    <w:rsid w:val="236837F1"/>
    <w:rsid w:val="26D61E0E"/>
    <w:rsid w:val="290D70F9"/>
    <w:rsid w:val="294A7B5F"/>
    <w:rsid w:val="29EC5CDB"/>
    <w:rsid w:val="2CAB432C"/>
    <w:rsid w:val="2DD74E91"/>
    <w:rsid w:val="2E000AD3"/>
    <w:rsid w:val="2E92798F"/>
    <w:rsid w:val="2E94229B"/>
    <w:rsid w:val="2EE23BD1"/>
    <w:rsid w:val="30DE05E1"/>
    <w:rsid w:val="33947CD2"/>
    <w:rsid w:val="34D4260D"/>
    <w:rsid w:val="367709AC"/>
    <w:rsid w:val="36823C9C"/>
    <w:rsid w:val="37596989"/>
    <w:rsid w:val="37C53059"/>
    <w:rsid w:val="38505CE2"/>
    <w:rsid w:val="38E460E2"/>
    <w:rsid w:val="39364992"/>
    <w:rsid w:val="3A8F40F6"/>
    <w:rsid w:val="3B6C0871"/>
    <w:rsid w:val="3D8C65CA"/>
    <w:rsid w:val="3FD079A4"/>
    <w:rsid w:val="410611B0"/>
    <w:rsid w:val="4119198D"/>
    <w:rsid w:val="415E78AA"/>
    <w:rsid w:val="42C727C5"/>
    <w:rsid w:val="43584738"/>
    <w:rsid w:val="46425F4D"/>
    <w:rsid w:val="46FF1A20"/>
    <w:rsid w:val="478068A7"/>
    <w:rsid w:val="4B646F95"/>
    <w:rsid w:val="4CD650EE"/>
    <w:rsid w:val="4D3B07E4"/>
    <w:rsid w:val="4DF83EDC"/>
    <w:rsid w:val="4E2C127C"/>
    <w:rsid w:val="4F4C158E"/>
    <w:rsid w:val="4F966158"/>
    <w:rsid w:val="50975894"/>
    <w:rsid w:val="50AB3606"/>
    <w:rsid w:val="52450263"/>
    <w:rsid w:val="52CF4CBD"/>
    <w:rsid w:val="55C948E7"/>
    <w:rsid w:val="560936BF"/>
    <w:rsid w:val="56BD4064"/>
    <w:rsid w:val="57B34F29"/>
    <w:rsid w:val="584066CD"/>
    <w:rsid w:val="59EE788F"/>
    <w:rsid w:val="5A335F8D"/>
    <w:rsid w:val="5A4E23BB"/>
    <w:rsid w:val="5AEA42C2"/>
    <w:rsid w:val="5C132391"/>
    <w:rsid w:val="5DA46180"/>
    <w:rsid w:val="60C64E46"/>
    <w:rsid w:val="62BA3AD0"/>
    <w:rsid w:val="63C16F8E"/>
    <w:rsid w:val="63FC6CAF"/>
    <w:rsid w:val="653A5005"/>
    <w:rsid w:val="654B5DFD"/>
    <w:rsid w:val="65C01B44"/>
    <w:rsid w:val="6B9A7111"/>
    <w:rsid w:val="6CC32C31"/>
    <w:rsid w:val="6F264392"/>
    <w:rsid w:val="6F2A687E"/>
    <w:rsid w:val="6FCF21C7"/>
    <w:rsid w:val="729F40AE"/>
    <w:rsid w:val="73877C76"/>
    <w:rsid w:val="738E408B"/>
    <w:rsid w:val="7405196C"/>
    <w:rsid w:val="74062830"/>
    <w:rsid w:val="74243E8A"/>
    <w:rsid w:val="7567525C"/>
    <w:rsid w:val="75E04B0D"/>
    <w:rsid w:val="77555FF3"/>
    <w:rsid w:val="784E5A3C"/>
    <w:rsid w:val="788E567B"/>
    <w:rsid w:val="7AE25BD9"/>
    <w:rsid w:val="7CB55D5F"/>
    <w:rsid w:val="7EA333B8"/>
    <w:rsid w:val="7EEE1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1</TotalTime>
  <ScaleCrop>false</ScaleCrop>
  <LinksUpToDate>false</LinksUpToDate>
  <CharactersWithSpaces>3072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2020-10-24T07:48:51Z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