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 w:val="32"/>
          <w:szCs w:val="32"/>
          <w:u w:val="single"/>
        </w:rPr>
      </w:pPr>
      <w:r>
        <w:rPr>
          <w:rFonts w:hint="eastAsia"/>
          <w:sz w:val="32"/>
          <w:szCs w:val="32"/>
        </w:rPr>
        <w:t>合同编号：</w:t>
      </w:r>
      <w:bookmarkStart w:id="0" w:name="合同编号"/>
      <w:r>
        <w:rPr>
          <w:rFonts w:hint="eastAsia"/>
          <w:sz w:val="32"/>
          <w:szCs w:val="32"/>
          <w:u w:val="single"/>
        </w:rPr>
        <w:t>0184-2019-Q-2020</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北京华夷通文化发展有限责任公司</w:t>
      </w:r>
      <w:bookmarkEnd w:id="1"/>
      <w:r>
        <w:rPr>
          <w:rFonts w:hint="eastAsia"/>
          <w:sz w:val="28"/>
          <w:szCs w:val="28"/>
          <w:u w:val="single"/>
        </w:rPr>
        <w:t xml:space="preserve">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rPr>
                <w:szCs w:val="21"/>
              </w:rPr>
            </w:pPr>
            <w:r>
              <w:rPr>
                <w:rFonts w:asciiTheme="minorEastAsia" w:hAnsiTheme="minorEastAsia" w:eastAsiaTheme="minorEastAsia"/>
                <w:sz w:val="20"/>
              </w:rPr>
              <w:t>北京华夷通文化发展有限责任公司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color w:val="558ED5" w:themeColor="text2" w:themeTint="99"/>
                <w14:textFill>
                  <w14:solidFill>
                    <w14:schemeClr w14:val="tx2">
                      <w14:lumMod w14:val="60000"/>
                      <w14:lumOff w14:val="40000"/>
                    </w14:schemeClr>
                  </w14:solidFill>
                </w14:textFill>
              </w:rPr>
            </w:pPr>
            <w:r>
              <w:rPr>
                <w:rFonts w:asciiTheme="minorEastAsia" w:hAnsiTheme="minorEastAsia" w:eastAsiaTheme="minorEastAsia"/>
                <w:sz w:val="20"/>
              </w:rPr>
              <w:t xml:space="preserve">北京市丰台区丰管路16号9号楼3层3031C    </w:t>
            </w:r>
          </w:p>
        </w:tc>
        <w:tc>
          <w:tcPr>
            <w:tcW w:w="1242"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p/>
        </w:tc>
        <w:tc>
          <w:tcPr>
            <w:tcW w:w="1771" w:type="dxa"/>
          </w:tcPr>
          <w:p>
            <w:pPr>
              <w:spacing w:line="280" w:lineRule="exact"/>
              <w:rPr>
                <w:rFonts w:ascii="宋体"/>
                <w:b/>
                <w:color w:val="000000"/>
                <w:szCs w:val="21"/>
              </w:rPr>
            </w:pPr>
            <w:r>
              <w:rPr>
                <w:rFonts w:hint="eastAsia" w:ascii="宋体"/>
                <w:b/>
                <w:color w:val="000000"/>
                <w:szCs w:val="21"/>
              </w:rPr>
              <w:t>100071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asciiTheme="minorEastAsia" w:hAnsiTheme="minorEastAsia" w:eastAsiaTheme="minorEastAsia"/>
                <w:sz w:val="20"/>
              </w:rPr>
              <w:t>北京市丰台区丰管路16号9号楼1022</w:t>
            </w:r>
          </w:p>
        </w:tc>
        <w:tc>
          <w:tcPr>
            <w:tcW w:w="1242" w:type="dxa"/>
            <w:vMerge w:val="continue"/>
            <w:vAlign w:val="center"/>
          </w:tcPr>
          <w:p/>
        </w:tc>
        <w:tc>
          <w:tcPr>
            <w:tcW w:w="1771" w:type="dxa"/>
          </w:tcPr>
          <w:p>
            <w:pPr>
              <w:spacing w:line="280" w:lineRule="exact"/>
              <w:rPr>
                <w:rFonts w:ascii="宋体"/>
                <w:b/>
                <w:color w:val="000000"/>
                <w:szCs w:val="21"/>
              </w:rPr>
            </w:pPr>
            <w:r>
              <w:rPr>
                <w:rFonts w:hint="eastAsia" w:ascii="宋体"/>
                <w:b/>
                <w:color w:val="000000"/>
                <w:szCs w:val="21"/>
              </w:rPr>
              <w:t>100071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center"/>
          </w:tcPr>
          <w:p>
            <w:pPr>
              <w:rPr>
                <w:szCs w:val="21"/>
              </w:rPr>
            </w:pPr>
            <w:r>
              <w:rPr>
                <w:sz w:val="20"/>
              </w:rPr>
              <w:t>禹</w:t>
            </w:r>
            <w:r>
              <w:rPr>
                <w:rFonts w:hint="eastAsia"/>
                <w:sz w:val="20"/>
              </w:rPr>
              <w:t>丽霞</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rPr>
                <w:rFonts w:ascii="宋体"/>
                <w:b/>
                <w:color w:val="000000"/>
                <w:szCs w:val="21"/>
              </w:rPr>
            </w:pPr>
            <w:r>
              <w:rPr>
                <w:rFonts w:hint="eastAsia"/>
                <w:sz w:val="20"/>
              </w:rPr>
              <w:t>13910629378</w:t>
            </w:r>
          </w:p>
        </w:tc>
        <w:tc>
          <w:tcPr>
            <w:tcW w:w="1242" w:type="dxa"/>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center"/>
          </w:tcPr>
          <w:p>
            <w:pPr>
              <w:rPr>
                <w:szCs w:val="21"/>
              </w:rPr>
            </w:pPr>
            <w:r>
              <w:rPr>
                <w:sz w:val="20"/>
              </w:rPr>
              <w:t>胡艳艳</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center"/>
          </w:tcPr>
          <w:p>
            <w:pPr>
              <w:rPr>
                <w:rFonts w:ascii="宋体"/>
                <w:b/>
                <w:color w:val="000000"/>
                <w:szCs w:val="21"/>
              </w:rPr>
            </w:pPr>
            <w:r>
              <w:rPr>
                <w:sz w:val="20"/>
              </w:rPr>
              <w:t>胡艳艳</w:t>
            </w:r>
          </w:p>
        </w:tc>
        <w:tc>
          <w:tcPr>
            <w:tcW w:w="1242" w:type="dxa"/>
          </w:tcPr>
          <w:p>
            <w:pPr>
              <w:jc w:val="center"/>
              <w:rPr>
                <w:rFonts w:ascii="宋体"/>
                <w:b/>
                <w:color w:val="000000"/>
                <w:szCs w:val="21"/>
              </w:rPr>
            </w:pPr>
            <w:r>
              <w:rPr>
                <w:rFonts w:hint="eastAsia" w:ascii="宋体"/>
                <w:b/>
                <w:color w:val="000000"/>
                <w:szCs w:val="21"/>
              </w:rPr>
              <w:t>邮箱</w:t>
            </w:r>
          </w:p>
        </w:tc>
        <w:tc>
          <w:tcPr>
            <w:tcW w:w="1771" w:type="dxa"/>
          </w:tcPr>
          <w:p>
            <w:pPr>
              <w:rPr>
                <w:rFonts w:ascii="宋体"/>
                <w:b/>
                <w:color w:val="000000"/>
                <w:szCs w:val="21"/>
              </w:rPr>
            </w:pPr>
            <w:r>
              <w:rPr>
                <w:rFonts w:ascii="宋体"/>
                <w:b/>
                <w:color w:val="000000"/>
                <w:szCs w:val="21"/>
              </w:rPr>
              <w:t>726508036@qq.com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p>
            <w:r>
              <w:rPr>
                <w:rFonts w:hint="eastAsia"/>
                <w:strik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69"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生产/服务提供流程简图</w:t>
            </w:r>
          </w:p>
          <w:p/>
          <w:p/>
        </w:tc>
        <w:tc>
          <w:tcPr>
            <w:tcW w:w="8058" w:type="dxa"/>
            <w:gridSpan w:val="5"/>
            <w:shd w:val="clear" w:color="auto" w:fill="auto"/>
          </w:tcPr>
          <w:p>
            <w:pPr>
              <w:numPr>
                <w:ilvl w:val="0"/>
                <w:numId w:val="1"/>
              </w:numPr>
              <w:snapToGrid w:val="0"/>
              <w:spacing w:line="360" w:lineRule="exact"/>
              <w:jc w:val="center"/>
              <w:rPr>
                <w:rFonts w:ascii="宋体" w:hAnsi="宋体"/>
                <w:szCs w:val="21"/>
              </w:rPr>
            </w:pPr>
            <w:r>
              <w:rPr>
                <w:rFonts w:ascii="宋体" w:hAnsi="宋体"/>
                <w:szCs w:val="21"/>
              </w:rPr>
              <w:t>翻译流程∶译前沟通保持——项目分析——术语库提取——任务派发及调整——</w:t>
            </w:r>
          </w:p>
          <w:p>
            <w:pPr>
              <w:snapToGrid w:val="0"/>
              <w:spacing w:line="360" w:lineRule="exact"/>
              <w:ind w:firstLine="420" w:firstLineChars="200"/>
              <w:rPr>
                <w:rFonts w:ascii="宋体" w:hAnsi="宋体"/>
                <w:szCs w:val="21"/>
              </w:rPr>
            </w:pPr>
            <w:r>
              <w:rPr>
                <w:rFonts w:ascii="宋体" w:hAnsi="宋体"/>
                <w:szCs w:val="21"/>
              </w:rPr>
              <w:t>审校——后期整理——提交用户——客户监测及评估</w:t>
            </w:r>
          </w:p>
          <w:p>
            <w:pPr>
              <w:tabs>
                <w:tab w:val="left" w:pos="360"/>
              </w:tabs>
              <w:ind w:left="360" w:hanging="360"/>
              <w:rPr>
                <w:rFonts w:ascii="宋体"/>
                <w:color w:val="000000"/>
                <w:szCs w:val="21"/>
              </w:rPr>
            </w:pPr>
            <w:r>
              <w:rPr>
                <w:rFonts w:ascii="宋体" w:hAnsi="宋体"/>
                <w:szCs w:val="21"/>
              </w:rPr>
              <w:t>b.销售流程∶ 收集市场信息 → 联系潜在客户 → 技术交流 →方案设计 →投标或谈判签 → 技术协议或合同 → 按客户需求下单采购→交付设备、服务给用户 &gt; 现场调试</w:t>
            </w:r>
          </w:p>
        </w:tc>
      </w:tr>
    </w:tbl>
    <w:p/>
    <w:p>
      <w:r>
        <w:rPr>
          <w:rFonts w:hint="eastAsia"/>
        </w:rPr>
        <w:t>二、本次审核信息</w:t>
      </w:r>
    </w:p>
    <w:tbl>
      <w:tblPr>
        <w:tblStyle w:val="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747"/>
        <w:gridCol w:w="2351"/>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2" w:name="auDate"/>
            <w:bookmarkEnd w:id="2"/>
            <w:r>
              <w:rPr>
                <w:rFonts w:hint="eastAsia"/>
              </w:rPr>
              <w:t xml:space="preserve">   2020 年 </w:t>
            </w:r>
            <w:r>
              <w:t>1</w:t>
            </w:r>
            <w:r>
              <w:rPr>
                <w:rFonts w:hint="eastAsia"/>
              </w:rPr>
              <w:t>1 月 13日11：00 至  2020  年 11 月13日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☑第1次监督审核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□GB/T28001-2011   □GB/T45001-2020</w:t>
            </w:r>
          </w:p>
          <w:p>
            <w:pPr>
              <w:jc w:val="left"/>
              <w:rPr>
                <w:lang w:val="de-DE"/>
              </w:rPr>
            </w:pPr>
            <w:r>
              <w:rPr>
                <w:rFonts w:hint="eastAsia"/>
                <w:lang w:val="de-DE"/>
              </w:rPr>
              <w:t>FSMS：□ GB/T22000-2006  □ISO22000：2018 □技术规范：</w:t>
            </w:r>
            <w:r>
              <w:rPr>
                <w:rFonts w:hint="eastAsia" w:ascii="宋体" w:hAnsi="宋体"/>
                <w:bCs/>
                <w:color w:val="000000"/>
                <w:szCs w:val="21"/>
                <w:u w:val="single"/>
                <w:lang w:val="de-DE"/>
              </w:rPr>
              <w:t xml:space="preserve">CNCA/CTS 0013-2008A (CCAA 0021-2014)《 食品安全管理体系 运输和贮藏企业要求》 </w:t>
            </w:r>
            <w:r>
              <w:rPr>
                <w:rFonts w:hint="eastAsia"/>
                <w:lang w:val="de-DE"/>
              </w:rPr>
              <w:t xml:space="preserve">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480" w:type="dxa"/>
            <w:gridSpan w:val="2"/>
            <w:vAlign w:val="center"/>
          </w:tcPr>
          <w:p/>
        </w:tc>
        <w:tc>
          <w:tcPr>
            <w:tcW w:w="2404"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480" w:type="dxa"/>
            <w:gridSpan w:val="2"/>
            <w:vAlign w:val="center"/>
          </w:tcPr>
          <w:p>
            <w:pPr>
              <w:rPr>
                <w:rFonts w:ascii="宋体" w:hAnsi="宋体"/>
                <w:b/>
                <w:color w:val="000000"/>
                <w:szCs w:val="21"/>
              </w:rPr>
            </w:pPr>
            <w:bookmarkStart w:id="3" w:name="审核范围"/>
            <w:r>
              <w:rPr>
                <w:sz w:val="20"/>
              </w:rPr>
              <w:t>多语言翻译服务；计算机加密软件及辅助设备的销售</w:t>
            </w:r>
            <w:bookmarkEnd w:id="3"/>
          </w:p>
        </w:tc>
        <w:tc>
          <w:tcPr>
            <w:tcW w:w="2404" w:type="dxa"/>
            <w:gridSpan w:val="2"/>
            <w:vAlign w:val="center"/>
          </w:tcPr>
          <w:p>
            <w:pPr>
              <w:spacing w:line="400" w:lineRule="exact"/>
              <w:rPr>
                <w:rFonts w:ascii="宋体" w:hAnsi="宋体"/>
                <w:b/>
                <w:color w:val="000000"/>
                <w:szCs w:val="21"/>
              </w:rPr>
            </w:pPr>
            <w:r>
              <w:rPr>
                <w:sz w:val="20"/>
              </w:rPr>
              <w:t>29.09.01,35.08.00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480" w:type="dxa"/>
            <w:gridSpan w:val="2"/>
            <w:vAlign w:val="center"/>
          </w:tcPr>
          <w:p>
            <w:pPr>
              <w:spacing w:line="400" w:lineRule="exact"/>
              <w:rPr>
                <w:rFonts w:ascii="宋体" w:hAnsi="宋体"/>
                <w:b/>
                <w:color w:val="000000"/>
                <w:szCs w:val="21"/>
              </w:rPr>
            </w:pPr>
            <w:r>
              <w:rPr>
                <w:rFonts w:hint="eastAsia" w:ascii="宋体" w:hAnsi="宋体"/>
                <w:b/>
                <w:color w:val="000000"/>
                <w:szCs w:val="21"/>
              </w:rPr>
              <w:t>——</w:t>
            </w:r>
          </w:p>
        </w:tc>
        <w:tc>
          <w:tcPr>
            <w:tcW w:w="2404"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480" w:type="dxa"/>
            <w:gridSpan w:val="2"/>
            <w:vAlign w:val="center"/>
          </w:tcPr>
          <w:p>
            <w:pPr>
              <w:spacing w:line="400" w:lineRule="exact"/>
              <w:rPr>
                <w:rFonts w:ascii="宋体" w:hAnsi="宋体"/>
                <w:b/>
                <w:color w:val="000000"/>
                <w:szCs w:val="21"/>
              </w:rPr>
            </w:pPr>
            <w:r>
              <w:rPr>
                <w:rFonts w:hint="eastAsia" w:ascii="宋体" w:hAnsi="宋体"/>
                <w:b/>
                <w:color w:val="000000"/>
                <w:szCs w:val="21"/>
              </w:rPr>
              <w:t>——</w:t>
            </w:r>
          </w:p>
        </w:tc>
        <w:tc>
          <w:tcPr>
            <w:tcW w:w="2404"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480" w:type="dxa"/>
            <w:gridSpan w:val="2"/>
            <w:vAlign w:val="center"/>
          </w:tcPr>
          <w:p>
            <w:pPr>
              <w:spacing w:line="400" w:lineRule="exact"/>
              <w:rPr>
                <w:rFonts w:ascii="宋体" w:hAnsi="宋体"/>
                <w:b/>
                <w:color w:val="000000"/>
                <w:szCs w:val="21"/>
              </w:rPr>
            </w:pPr>
            <w:r>
              <w:rPr>
                <w:rFonts w:hint="eastAsia" w:ascii="宋体" w:hAnsi="宋体"/>
                <w:b/>
                <w:color w:val="000000"/>
                <w:szCs w:val="21"/>
              </w:rPr>
              <w:t>——</w:t>
            </w:r>
          </w:p>
        </w:tc>
        <w:tc>
          <w:tcPr>
            <w:tcW w:w="2404"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480" w:type="dxa"/>
            <w:gridSpan w:val="2"/>
            <w:vAlign w:val="center"/>
          </w:tcPr>
          <w:p>
            <w:pPr>
              <w:spacing w:line="400" w:lineRule="exact"/>
              <w:rPr>
                <w:rFonts w:ascii="宋体" w:hAnsi="宋体"/>
                <w:b/>
                <w:color w:val="000000"/>
                <w:szCs w:val="21"/>
              </w:rPr>
            </w:pPr>
            <w:r>
              <w:rPr>
                <w:rFonts w:hint="eastAsia" w:ascii="宋体" w:hAnsi="宋体"/>
                <w:b/>
                <w:color w:val="000000"/>
                <w:szCs w:val="21"/>
              </w:rPr>
              <w:t>——</w:t>
            </w:r>
          </w:p>
        </w:tc>
        <w:tc>
          <w:tcPr>
            <w:tcW w:w="2404"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480" w:type="dxa"/>
            <w:gridSpan w:val="2"/>
            <w:vAlign w:val="center"/>
          </w:tcPr>
          <w:p>
            <w:pPr>
              <w:spacing w:line="400" w:lineRule="exact"/>
              <w:rPr>
                <w:rFonts w:ascii="宋体" w:hAnsi="宋体"/>
                <w:b/>
                <w:color w:val="000000"/>
                <w:szCs w:val="21"/>
              </w:rPr>
            </w:pPr>
            <w:r>
              <w:rPr>
                <w:rFonts w:hint="eastAsia" w:ascii="宋体" w:hAnsi="宋体"/>
                <w:b/>
                <w:color w:val="000000"/>
                <w:szCs w:val="21"/>
              </w:rPr>
              <w:t>——</w:t>
            </w:r>
          </w:p>
        </w:tc>
        <w:tc>
          <w:tcPr>
            <w:tcW w:w="2404"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pPr>
              <w:rPr>
                <w:b/>
                <w:bCs/>
              </w:rPr>
            </w:pPr>
            <w:r>
              <w:rPr>
                <w:rFonts w:hint="eastAsia"/>
                <w:b/>
                <w:bC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2019 年 1 月 11 日</w:t>
            </w:r>
          </w:p>
        </w:tc>
        <w:tc>
          <w:tcPr>
            <w:tcW w:w="2747" w:type="dxa"/>
            <w:vAlign w:val="center"/>
          </w:tcPr>
          <w:p>
            <w:r>
              <w:rPr>
                <w:rFonts w:hint="eastAsia"/>
              </w:rPr>
              <w:t>管理体系运行已超过3个月</w:t>
            </w:r>
          </w:p>
        </w:tc>
        <w:tc>
          <w:tcPr>
            <w:tcW w:w="2404"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2019年 5月 29日</w:t>
            </w:r>
          </w:p>
        </w:tc>
        <w:tc>
          <w:tcPr>
            <w:tcW w:w="2747" w:type="dxa"/>
            <w:vAlign w:val="center"/>
          </w:tcPr>
          <w:p>
            <w:r>
              <w:rPr>
                <w:rFonts w:hint="eastAsia"/>
              </w:rPr>
              <w:t>认证证书有效期</w:t>
            </w:r>
          </w:p>
          <w:p>
            <w:r>
              <w:rPr>
                <w:rFonts w:hint="eastAsia"/>
              </w:rPr>
              <w:t>（初审除外）</w:t>
            </w:r>
          </w:p>
        </w:tc>
        <w:tc>
          <w:tcPr>
            <w:tcW w:w="2404"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50"/>
        <w:gridCol w:w="92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5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92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bCs/>
                <w:color w:val="000000"/>
                <w:szCs w:val="21"/>
              </w:rPr>
            </w:pPr>
            <w:r>
              <w:rPr>
                <w:rFonts w:hint="eastAsia"/>
                <w:bCs/>
                <w:color w:val="000000"/>
                <w:szCs w:val="21"/>
              </w:rPr>
              <w:t>北京华夷通文化发展有限责任公司</w:t>
            </w:r>
          </w:p>
          <w:p>
            <w:pPr>
              <w:spacing w:before="40" w:after="40"/>
              <w:rPr>
                <w:bCs/>
                <w:color w:val="000000"/>
                <w:szCs w:val="21"/>
              </w:rPr>
            </w:pPr>
            <w:r>
              <w:rPr>
                <w:rFonts w:hint="eastAsia"/>
                <w:bCs/>
                <w:color w:val="000000"/>
                <w:szCs w:val="21"/>
              </w:rPr>
              <w:t xml:space="preserve">北京市丰台区丰管路16号9号楼3层3031C    </w:t>
            </w:r>
          </w:p>
          <w:p>
            <w:pPr>
              <w:spacing w:before="40" w:after="40"/>
              <w:rPr>
                <w:bCs/>
                <w:color w:val="000000"/>
                <w:szCs w:val="21"/>
              </w:rPr>
            </w:pPr>
          </w:p>
          <w:p>
            <w:pPr>
              <w:spacing w:before="40" w:after="40"/>
              <w:rPr>
                <w:bCs/>
                <w:color w:val="000000"/>
                <w:szCs w:val="21"/>
                <w:lang w:val="de-DE" w:eastAsia="ja-JP"/>
              </w:rPr>
            </w:pPr>
          </w:p>
        </w:tc>
        <w:tc>
          <w:tcPr>
            <w:tcW w:w="2267" w:type="dxa"/>
          </w:tcPr>
          <w:p>
            <w:pPr>
              <w:spacing w:before="40" w:after="40"/>
              <w:rPr>
                <w:bCs/>
                <w:color w:val="000000"/>
                <w:szCs w:val="21"/>
              </w:rPr>
            </w:pPr>
            <w:r>
              <w:rPr>
                <w:rFonts w:hint="eastAsia"/>
                <w:bCs/>
                <w:color w:val="000000"/>
                <w:szCs w:val="21"/>
              </w:rPr>
              <w:t>北京市丰台区丰管路16号9号楼1022</w:t>
            </w:r>
          </w:p>
          <w:p>
            <w:pPr>
              <w:jc w:val="left"/>
              <w:rPr>
                <w:szCs w:val="21"/>
              </w:rPr>
            </w:pPr>
          </w:p>
          <w:p>
            <w:pPr>
              <w:jc w:val="left"/>
              <w:rPr>
                <w:szCs w:val="21"/>
              </w:rPr>
            </w:pPr>
          </w:p>
          <w:p>
            <w:pPr>
              <w:snapToGrid w:val="0"/>
              <w:spacing w:line="360" w:lineRule="auto"/>
              <w:rPr>
                <w:szCs w:val="21"/>
              </w:rPr>
            </w:pPr>
          </w:p>
          <w:p>
            <w:pPr>
              <w:rPr>
                <w:rFonts w:eastAsia="黑体"/>
                <w:szCs w:val="21"/>
                <w:lang w:val="de-DE" w:eastAsia="ja-JP"/>
              </w:rPr>
            </w:pPr>
          </w:p>
        </w:tc>
        <w:tc>
          <w:tcPr>
            <w:tcW w:w="571" w:type="dxa"/>
            <w:vAlign w:val="center"/>
          </w:tcPr>
          <w:p>
            <w:pPr>
              <w:spacing w:before="40" w:after="40"/>
              <w:rPr>
                <w:rFonts w:eastAsia="黑体"/>
                <w:szCs w:val="21"/>
              </w:rPr>
            </w:pPr>
            <w:r>
              <w:rPr>
                <w:rFonts w:hint="eastAsia" w:eastAsia="黑体"/>
                <w:szCs w:val="21"/>
              </w:rPr>
              <w:t>20</w:t>
            </w:r>
          </w:p>
        </w:tc>
        <w:tc>
          <w:tcPr>
            <w:tcW w:w="2550" w:type="dxa"/>
            <w:vAlign w:val="center"/>
          </w:tcPr>
          <w:p>
            <w:pPr>
              <w:pStyle w:val="21"/>
              <w:rPr>
                <w:rFonts w:eastAsia="黑体" w:cs="Arial"/>
                <w:sz w:val="21"/>
                <w:szCs w:val="21"/>
                <w:lang w:val="en-US" w:eastAsia="ja-JP"/>
              </w:rPr>
            </w:pPr>
            <w:r>
              <w:rPr>
                <w:rFonts w:hint="eastAsia"/>
                <w:sz w:val="21"/>
                <w:szCs w:val="21"/>
              </w:rPr>
              <w:t>Q</w:t>
            </w:r>
            <w:r>
              <w:rPr>
                <w:sz w:val="21"/>
                <w:szCs w:val="21"/>
              </w:rPr>
              <w:t>:</w:t>
            </w:r>
            <w:r>
              <w:rPr>
                <w:rFonts w:hint="eastAsia"/>
                <w:sz w:val="21"/>
                <w:szCs w:val="21"/>
              </w:rPr>
              <w:t xml:space="preserve"> </w:t>
            </w:r>
            <w:r>
              <w:t>语言翻译服务；计算机加密软件及辅助设备的销售</w:t>
            </w:r>
          </w:p>
        </w:tc>
        <w:tc>
          <w:tcPr>
            <w:tcW w:w="922" w:type="dxa"/>
            <w:vAlign w:val="center"/>
          </w:tcPr>
          <w:p>
            <w:pPr>
              <w:spacing w:before="40" w:after="40"/>
              <w:rPr>
                <w:rFonts w:eastAsia="黑体"/>
                <w:szCs w:val="21"/>
              </w:rPr>
            </w:pPr>
            <w:r>
              <w:rPr>
                <w:rFonts w:hint="eastAsia"/>
                <w:lang w:val="de-DE"/>
              </w:rPr>
              <w:t>GB/T19001-2016</w:t>
            </w:r>
            <w:r>
              <w:rPr>
                <w:rFonts w:hint="eastAsia"/>
              </w:rPr>
              <w:t xml:space="preserve"> </w:t>
            </w:r>
          </w:p>
        </w:tc>
        <w:tc>
          <w:tcPr>
            <w:tcW w:w="668" w:type="dxa"/>
            <w:shd w:val="clear" w:color="auto" w:fill="FFFFFF"/>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p>
        </w:tc>
        <w:tc>
          <w:tcPr>
            <w:tcW w:w="2267" w:type="dxa"/>
          </w:tcPr>
          <w:p>
            <w:pPr>
              <w:spacing w:before="40" w:after="40"/>
              <w:rPr>
                <w:bCs/>
                <w:color w:val="000000"/>
                <w:szCs w:val="21"/>
                <w:lang w:val="de-DE"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50" w:type="dxa"/>
            <w:vAlign w:val="center"/>
          </w:tcPr>
          <w:p>
            <w:pPr>
              <w:pStyle w:val="21"/>
              <w:rPr>
                <w:rFonts w:eastAsia="黑体" w:cs="Arial"/>
                <w:sz w:val="21"/>
                <w:szCs w:val="21"/>
                <w:lang w:val="en-US" w:eastAsia="ja-JP"/>
              </w:rPr>
            </w:pPr>
          </w:p>
        </w:tc>
        <w:tc>
          <w:tcPr>
            <w:tcW w:w="922" w:type="dxa"/>
            <w:vAlign w:val="center"/>
          </w:tcPr>
          <w:p>
            <w:pPr>
              <w:spacing w:before="40" w:after="40"/>
              <w:rPr>
                <w:rFonts w:eastAsia="黑体"/>
                <w:szCs w:val="21"/>
                <w:lang w:eastAsia="ja-JP"/>
              </w:rPr>
            </w:pPr>
          </w:p>
        </w:tc>
        <w:tc>
          <w:tcPr>
            <w:tcW w:w="668" w:type="dxa"/>
            <w:shd w:val="clear" w:color="auto" w:fill="FFFFFF"/>
          </w:tcPr>
          <w:p>
            <w:pPr>
              <w:rPr>
                <w:rFonts w:eastAsia="黑体"/>
                <w:szCs w:val="21"/>
              </w:rPr>
            </w:pP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69"/>
        <w:gridCol w:w="600"/>
        <w:gridCol w:w="2562"/>
        <w:gridCol w:w="2386"/>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6"/>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0" w:type="dxa"/>
            <w:vAlign w:val="center"/>
          </w:tcPr>
          <w:p>
            <w:r>
              <w:rPr>
                <w:rFonts w:hint="eastAsia"/>
              </w:rPr>
              <w:t>姓名</w:t>
            </w:r>
          </w:p>
        </w:tc>
        <w:tc>
          <w:tcPr>
            <w:tcW w:w="1269" w:type="dxa"/>
            <w:vAlign w:val="center"/>
          </w:tcPr>
          <w:p>
            <w:r>
              <w:rPr>
                <w:rFonts w:hint="eastAsia"/>
              </w:rPr>
              <w:t>组内</w:t>
            </w:r>
          </w:p>
          <w:p>
            <w:r>
              <w:rPr>
                <w:rFonts w:hint="eastAsia"/>
              </w:rPr>
              <w:t>身份</w:t>
            </w:r>
          </w:p>
        </w:tc>
        <w:tc>
          <w:tcPr>
            <w:tcW w:w="600" w:type="dxa"/>
            <w:vAlign w:val="center"/>
          </w:tcPr>
          <w:p>
            <w:r>
              <w:rPr>
                <w:rFonts w:hint="eastAsia"/>
              </w:rPr>
              <w:t>性别</w:t>
            </w:r>
          </w:p>
        </w:tc>
        <w:tc>
          <w:tcPr>
            <w:tcW w:w="2562" w:type="dxa"/>
            <w:vAlign w:val="center"/>
          </w:tcPr>
          <w:p>
            <w:r>
              <w:rPr>
                <w:rFonts w:hint="eastAsia"/>
              </w:rPr>
              <w:t>审核员注册证书号</w:t>
            </w:r>
          </w:p>
        </w:tc>
        <w:tc>
          <w:tcPr>
            <w:tcW w:w="2386" w:type="dxa"/>
            <w:vAlign w:val="center"/>
          </w:tcPr>
          <w:p>
            <w:pPr>
              <w:jc w:val="center"/>
              <w:rPr>
                <w:sz w:val="18"/>
                <w:szCs w:val="18"/>
              </w:rPr>
            </w:pPr>
            <w:r>
              <w:rPr>
                <w:rFonts w:hint="eastAsia"/>
                <w:sz w:val="18"/>
                <w:szCs w:val="18"/>
              </w:rPr>
              <w:t>工作单位（仅限兼职审核员填写）</w:t>
            </w:r>
          </w:p>
        </w:tc>
        <w:tc>
          <w:tcPr>
            <w:tcW w:w="157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10" w:type="dxa"/>
            <w:vAlign w:val="center"/>
          </w:tcPr>
          <w:p>
            <w:pPr>
              <w:jc w:val="center"/>
              <w:rPr>
                <w:sz w:val="18"/>
                <w:szCs w:val="18"/>
              </w:rPr>
            </w:pPr>
            <w:r>
              <w:rPr>
                <w:rFonts w:hint="eastAsia"/>
                <w:sz w:val="18"/>
                <w:szCs w:val="18"/>
              </w:rPr>
              <w:t>组长（被张静见证）</w:t>
            </w:r>
          </w:p>
        </w:tc>
        <w:tc>
          <w:tcPr>
            <w:tcW w:w="1269" w:type="dxa"/>
            <w:vAlign w:val="center"/>
          </w:tcPr>
          <w:p>
            <w:pPr>
              <w:jc w:val="center"/>
              <w:rPr>
                <w:sz w:val="18"/>
                <w:szCs w:val="18"/>
              </w:rPr>
            </w:pPr>
            <w:r>
              <w:rPr>
                <w:sz w:val="18"/>
                <w:szCs w:val="18"/>
              </w:rPr>
              <w:t>肖新龙</w:t>
            </w:r>
          </w:p>
        </w:tc>
        <w:tc>
          <w:tcPr>
            <w:tcW w:w="600" w:type="dxa"/>
            <w:vAlign w:val="center"/>
          </w:tcPr>
          <w:p>
            <w:pPr>
              <w:jc w:val="center"/>
              <w:rPr>
                <w:sz w:val="18"/>
                <w:szCs w:val="18"/>
              </w:rPr>
            </w:pPr>
            <w:r>
              <w:rPr>
                <w:sz w:val="18"/>
                <w:szCs w:val="18"/>
              </w:rPr>
              <w:t>女</w:t>
            </w:r>
          </w:p>
        </w:tc>
        <w:tc>
          <w:tcPr>
            <w:tcW w:w="2562" w:type="dxa"/>
            <w:vAlign w:val="center"/>
          </w:tcPr>
          <w:p>
            <w:pPr>
              <w:jc w:val="center"/>
              <w:rPr>
                <w:sz w:val="18"/>
                <w:szCs w:val="18"/>
              </w:rPr>
            </w:pPr>
            <w:r>
              <w:rPr>
                <w:sz w:val="18"/>
                <w:szCs w:val="18"/>
              </w:rPr>
              <w:t xml:space="preserve">2020-N1QMS-1232380  </w:t>
            </w:r>
          </w:p>
        </w:tc>
        <w:tc>
          <w:tcPr>
            <w:tcW w:w="2386" w:type="dxa"/>
            <w:vAlign w:val="center"/>
          </w:tcPr>
          <w:p>
            <w:pPr>
              <w:rPr>
                <w:sz w:val="18"/>
                <w:szCs w:val="18"/>
              </w:rPr>
            </w:pPr>
            <w:r>
              <w:rPr>
                <w:rFonts w:hint="eastAsia"/>
                <w:sz w:val="18"/>
                <w:szCs w:val="18"/>
              </w:rPr>
              <w:t>——</w:t>
            </w:r>
          </w:p>
        </w:tc>
        <w:tc>
          <w:tcPr>
            <w:tcW w:w="157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0" w:type="dxa"/>
            <w:vAlign w:val="center"/>
          </w:tcPr>
          <w:p>
            <w:pPr>
              <w:jc w:val="center"/>
              <w:rPr>
                <w:sz w:val="18"/>
                <w:szCs w:val="18"/>
              </w:rPr>
            </w:pPr>
            <w:r>
              <w:rPr>
                <w:rFonts w:hint="eastAsia"/>
                <w:sz w:val="18"/>
                <w:szCs w:val="18"/>
              </w:rPr>
              <w:t>组员（见证肖新龙）</w:t>
            </w:r>
          </w:p>
        </w:tc>
        <w:tc>
          <w:tcPr>
            <w:tcW w:w="1269" w:type="dxa"/>
            <w:vAlign w:val="center"/>
          </w:tcPr>
          <w:p>
            <w:pPr>
              <w:spacing w:line="240" w:lineRule="exact"/>
              <w:jc w:val="center"/>
              <w:rPr>
                <w:sz w:val="18"/>
                <w:szCs w:val="18"/>
              </w:rPr>
            </w:pPr>
            <w:r>
              <w:rPr>
                <w:sz w:val="18"/>
                <w:szCs w:val="18"/>
              </w:rPr>
              <w:t>张静</w:t>
            </w:r>
          </w:p>
        </w:tc>
        <w:tc>
          <w:tcPr>
            <w:tcW w:w="600" w:type="dxa"/>
            <w:vAlign w:val="center"/>
          </w:tcPr>
          <w:p>
            <w:pPr>
              <w:spacing w:line="240" w:lineRule="exact"/>
              <w:rPr>
                <w:sz w:val="18"/>
                <w:szCs w:val="18"/>
              </w:rPr>
            </w:pPr>
            <w:r>
              <w:rPr>
                <w:sz w:val="18"/>
                <w:szCs w:val="18"/>
              </w:rPr>
              <w:t>女</w:t>
            </w:r>
          </w:p>
        </w:tc>
        <w:tc>
          <w:tcPr>
            <w:tcW w:w="2562" w:type="dxa"/>
            <w:vAlign w:val="center"/>
          </w:tcPr>
          <w:p>
            <w:pPr>
              <w:jc w:val="center"/>
              <w:rPr>
                <w:sz w:val="18"/>
                <w:szCs w:val="18"/>
              </w:rPr>
            </w:pPr>
            <w:r>
              <w:rPr>
                <w:sz w:val="18"/>
                <w:szCs w:val="18"/>
              </w:rPr>
              <w:t>2018-N1QMS-1011923</w:t>
            </w:r>
          </w:p>
        </w:tc>
        <w:tc>
          <w:tcPr>
            <w:tcW w:w="2386" w:type="dxa"/>
            <w:vAlign w:val="center"/>
          </w:tcPr>
          <w:p>
            <w:pPr>
              <w:rPr>
                <w:sz w:val="18"/>
                <w:szCs w:val="18"/>
              </w:rPr>
            </w:pPr>
            <w:r>
              <w:rPr>
                <w:rFonts w:hint="eastAsia"/>
                <w:sz w:val="18"/>
                <w:szCs w:val="18"/>
              </w:rPr>
              <w:t>——</w:t>
            </w:r>
          </w:p>
        </w:tc>
        <w:tc>
          <w:tcPr>
            <w:tcW w:w="1570" w:type="dxa"/>
            <w:vAlign w:val="center"/>
          </w:tcPr>
          <w:p>
            <w:pPr>
              <w:rPr>
                <w:sz w:val="20"/>
              </w:rPr>
            </w:pPr>
            <w:r>
              <w:rPr>
                <w:sz w:val="20"/>
              </w:rPr>
              <w:t>29.09.01,</w:t>
            </w:r>
          </w:p>
          <w:p>
            <w:pPr>
              <w:rPr>
                <w:sz w:val="18"/>
                <w:szCs w:val="18"/>
              </w:rPr>
            </w:pPr>
            <w:r>
              <w:rPr>
                <w:sz w:val="20"/>
              </w:rPr>
              <w:t>35.08.00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10" w:type="dxa"/>
            <w:vAlign w:val="center"/>
          </w:tcPr>
          <w:p>
            <w:pPr>
              <w:rPr>
                <w:szCs w:val="21"/>
              </w:rPr>
            </w:pPr>
          </w:p>
        </w:tc>
        <w:tc>
          <w:tcPr>
            <w:tcW w:w="1269" w:type="dxa"/>
            <w:vAlign w:val="center"/>
          </w:tcPr>
          <w:p>
            <w:pPr>
              <w:rPr>
                <w:szCs w:val="21"/>
              </w:rPr>
            </w:pPr>
          </w:p>
        </w:tc>
        <w:tc>
          <w:tcPr>
            <w:tcW w:w="600" w:type="dxa"/>
            <w:vAlign w:val="center"/>
          </w:tcPr>
          <w:p>
            <w:pPr>
              <w:rPr>
                <w:szCs w:val="21"/>
              </w:rPr>
            </w:pPr>
          </w:p>
        </w:tc>
        <w:tc>
          <w:tcPr>
            <w:tcW w:w="2562" w:type="dxa"/>
            <w:vAlign w:val="center"/>
          </w:tcPr>
          <w:p>
            <w:pPr>
              <w:rPr>
                <w:sz w:val="18"/>
                <w:szCs w:val="18"/>
              </w:rPr>
            </w:pPr>
          </w:p>
        </w:tc>
        <w:tc>
          <w:tcPr>
            <w:tcW w:w="2386" w:type="dxa"/>
            <w:vAlign w:val="center"/>
          </w:tcPr>
          <w:p>
            <w:pPr>
              <w:rPr>
                <w:sz w:val="18"/>
                <w:szCs w:val="18"/>
              </w:rPr>
            </w:pPr>
          </w:p>
        </w:tc>
        <w:tc>
          <w:tcPr>
            <w:tcW w:w="1570" w:type="dxa"/>
            <w:vAlign w:val="center"/>
          </w:tcPr>
          <w:p>
            <w:pPr>
              <w:rPr>
                <w:sz w:val="18"/>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10" w:type="dxa"/>
            <w:vAlign w:val="center"/>
          </w:tcPr>
          <w:p>
            <w:pPr>
              <w:rPr>
                <w:szCs w:val="21"/>
              </w:rPr>
            </w:pPr>
          </w:p>
        </w:tc>
        <w:tc>
          <w:tcPr>
            <w:tcW w:w="1269" w:type="dxa"/>
            <w:vAlign w:val="center"/>
          </w:tcPr>
          <w:p>
            <w:pPr>
              <w:rPr>
                <w:szCs w:val="21"/>
              </w:rPr>
            </w:pPr>
          </w:p>
        </w:tc>
        <w:tc>
          <w:tcPr>
            <w:tcW w:w="600" w:type="dxa"/>
            <w:vAlign w:val="center"/>
          </w:tcPr>
          <w:p>
            <w:pPr>
              <w:rPr>
                <w:szCs w:val="21"/>
              </w:rPr>
            </w:pPr>
          </w:p>
        </w:tc>
        <w:tc>
          <w:tcPr>
            <w:tcW w:w="2562" w:type="dxa"/>
            <w:vAlign w:val="center"/>
          </w:tcPr>
          <w:p>
            <w:pPr>
              <w:rPr>
                <w:sz w:val="18"/>
                <w:szCs w:val="18"/>
              </w:rPr>
            </w:pPr>
          </w:p>
        </w:tc>
        <w:tc>
          <w:tcPr>
            <w:tcW w:w="2386" w:type="dxa"/>
            <w:vAlign w:val="center"/>
          </w:tcPr>
          <w:p>
            <w:pPr>
              <w:rPr>
                <w:sz w:val="18"/>
                <w:szCs w:val="18"/>
              </w:rPr>
            </w:pPr>
          </w:p>
        </w:tc>
        <w:tc>
          <w:tcPr>
            <w:tcW w:w="1570"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10" w:type="dxa"/>
            <w:vAlign w:val="center"/>
          </w:tcPr>
          <w:p/>
        </w:tc>
        <w:tc>
          <w:tcPr>
            <w:tcW w:w="1269" w:type="dxa"/>
            <w:vAlign w:val="center"/>
          </w:tcPr>
          <w:p/>
        </w:tc>
        <w:tc>
          <w:tcPr>
            <w:tcW w:w="600" w:type="dxa"/>
            <w:vAlign w:val="center"/>
          </w:tcPr>
          <w:p/>
        </w:tc>
        <w:tc>
          <w:tcPr>
            <w:tcW w:w="2562" w:type="dxa"/>
            <w:vAlign w:val="center"/>
          </w:tcPr>
          <w:p/>
        </w:tc>
        <w:tc>
          <w:tcPr>
            <w:tcW w:w="2386" w:type="dxa"/>
            <w:vAlign w:val="center"/>
          </w:tcPr>
          <w:p/>
        </w:tc>
        <w:tc>
          <w:tcPr>
            <w:tcW w:w="157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6"/>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r>
              <w:rPr>
                <w:rFonts w:hint="eastAsia"/>
              </w:rPr>
              <w:t>姓名</w:t>
            </w:r>
          </w:p>
        </w:tc>
        <w:tc>
          <w:tcPr>
            <w:tcW w:w="1269" w:type="dxa"/>
            <w:vAlign w:val="center"/>
          </w:tcPr>
          <w:p>
            <w:r>
              <w:rPr>
                <w:rFonts w:hint="eastAsia"/>
              </w:rPr>
              <w:t>作用</w:t>
            </w:r>
          </w:p>
        </w:tc>
        <w:tc>
          <w:tcPr>
            <w:tcW w:w="600" w:type="dxa"/>
            <w:vAlign w:val="center"/>
          </w:tcPr>
          <w:p>
            <w:r>
              <w:rPr>
                <w:rFonts w:hint="eastAsia"/>
              </w:rPr>
              <w:t>性别</w:t>
            </w:r>
          </w:p>
        </w:tc>
        <w:tc>
          <w:tcPr>
            <w:tcW w:w="4948" w:type="dxa"/>
            <w:gridSpan w:val="2"/>
            <w:vAlign w:val="center"/>
          </w:tcPr>
          <w:p>
            <w:r>
              <w:rPr>
                <w:rFonts w:hint="eastAsia"/>
              </w:rPr>
              <w:t>工作单位</w:t>
            </w:r>
          </w:p>
        </w:tc>
        <w:tc>
          <w:tcPr>
            <w:tcW w:w="1570"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tc>
        <w:tc>
          <w:tcPr>
            <w:tcW w:w="1269" w:type="dxa"/>
            <w:vAlign w:val="center"/>
          </w:tcPr>
          <w:p/>
        </w:tc>
        <w:tc>
          <w:tcPr>
            <w:tcW w:w="600" w:type="dxa"/>
            <w:vAlign w:val="center"/>
          </w:tcPr>
          <w:p/>
        </w:tc>
        <w:tc>
          <w:tcPr>
            <w:tcW w:w="4948" w:type="dxa"/>
            <w:gridSpan w:val="2"/>
            <w:vAlign w:val="center"/>
          </w:tcPr>
          <w:p/>
        </w:tc>
        <w:tc>
          <w:tcPr>
            <w:tcW w:w="157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tc>
        <w:tc>
          <w:tcPr>
            <w:tcW w:w="1269" w:type="dxa"/>
            <w:vAlign w:val="center"/>
          </w:tcPr>
          <w:p/>
        </w:tc>
        <w:tc>
          <w:tcPr>
            <w:tcW w:w="600" w:type="dxa"/>
            <w:vAlign w:val="center"/>
          </w:tcPr>
          <w:p/>
        </w:tc>
        <w:tc>
          <w:tcPr>
            <w:tcW w:w="4948" w:type="dxa"/>
            <w:gridSpan w:val="2"/>
            <w:vAlign w:val="center"/>
          </w:tcPr>
          <w:p/>
        </w:tc>
        <w:tc>
          <w:tcPr>
            <w:tcW w:w="1570" w:type="dxa"/>
            <w:vAlign w:val="center"/>
          </w:tcPr>
          <w:p/>
        </w:tc>
      </w:tr>
    </w:tbl>
    <w:p/>
    <w:p>
      <w:pPr>
        <w:rPr>
          <w:rFonts w:eastAsia="MS Mincho"/>
          <w:lang w:eastAsia="ja-JP"/>
        </w:rPr>
      </w:pPr>
    </w:p>
    <w:p>
      <w:r>
        <w:rPr>
          <w:rFonts w:hint="eastAsia"/>
        </w:rPr>
        <w:t>六、上次审核后发生的影响组织管理体系的重要变更（</w:t>
      </w:r>
      <w:r>
        <w:rPr>
          <w:rFonts w:hint="eastAsia"/>
        </w:rPr>
        <w:sym w:font="Wingdings" w:char="00A8"/>
      </w:r>
      <w:r>
        <w:rPr>
          <w:rFonts w:hint="eastAsia"/>
        </w:rPr>
        <w:t xml:space="preserve">发生了变更 </w:t>
      </w:r>
      <w:r>
        <w:rPr>
          <w:rFonts w:hint="eastAsia"/>
        </w:rPr>
        <w:sym w:font="Wingdings" w:char="00FE"/>
      </w:r>
      <w:r>
        <w:rPr>
          <w:rFonts w:hint="eastAsia"/>
        </w:rPr>
        <w:t xml:space="preserve">未发生变更 ）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 ☑QMS □EcMS □EMS □OHSMS □FSMS □HACCP 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无重大质量事故和投诉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□已关闭；</w:t>
            </w:r>
          </w:p>
          <w:p>
            <w:r>
              <w:rPr>
                <w:rFonts w:hint="eastAsia"/>
              </w:rPr>
              <w:t>□未关闭的见不符合项报告（不适用）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上次不符合的整改情况（监督和再认证填写）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不符合项未再次发生，纠正措施有效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按照认证的合同正确</w:t>
            </w:r>
            <w:r>
              <w:rPr>
                <w:rFonts w:hint="eastAsia"/>
                <w:lang w:val="en-GB"/>
              </w:rPr>
              <w:t>使用</w:t>
            </w:r>
            <w:r>
              <w:rPr>
                <w:rFonts w:hint="eastAsia"/>
              </w:rPr>
              <w:t>认证</w:t>
            </w:r>
            <w:r>
              <w:rPr>
                <w:rFonts w:hint="eastAsia"/>
                <w:lang w:val="en-GB"/>
              </w:rPr>
              <w:t>证书和标志</w:t>
            </w:r>
          </w:p>
        </w:tc>
      </w:tr>
    </w:tbl>
    <w:p/>
    <w:p>
      <w:r>
        <w:rPr>
          <w:rFonts w:hint="eastAsia"/>
        </w:rPr>
        <w:t>八、已识别出的任何未解决的问题：不适用</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r>
              <w:rPr>
                <w:rFonts w:hint="eastAsia"/>
              </w:rPr>
              <w:t>体系名称缩写</w:t>
            </w:r>
          </w:p>
        </w:tc>
        <w:tc>
          <w:tcPr>
            <w:tcW w:w="1698" w:type="dxa"/>
            <w:shd w:val="clear" w:color="auto" w:fill="auto"/>
          </w:tcPr>
          <w:p>
            <w:r>
              <w:rPr>
                <w:rFonts w:hint="eastAsia"/>
              </w:rPr>
              <w:t>一般不符合数量</w:t>
            </w:r>
          </w:p>
        </w:tc>
        <w:tc>
          <w:tcPr>
            <w:tcW w:w="1717" w:type="dxa"/>
            <w:shd w:val="clear" w:color="auto" w:fill="auto"/>
          </w:tcPr>
          <w:p>
            <w:r>
              <w:rPr>
                <w:rFonts w:hint="eastAsia"/>
              </w:rPr>
              <w:t>严重不符合数量</w:t>
            </w:r>
          </w:p>
        </w:tc>
        <w:tc>
          <w:tcPr>
            <w:tcW w:w="1560" w:type="dxa"/>
            <w:shd w:val="clear" w:color="auto" w:fill="auto"/>
          </w:tcPr>
          <w:p>
            <w:r>
              <w:rPr>
                <w:rFonts w:hint="eastAsia"/>
              </w:rPr>
              <w:t>不符合项总数</w:t>
            </w:r>
          </w:p>
        </w:tc>
        <w:tc>
          <w:tcPr>
            <w:tcW w:w="296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r>
              <w:rPr>
                <w:rFonts w:hint="eastAsia"/>
              </w:rPr>
              <w:t>QMS</w:t>
            </w:r>
          </w:p>
        </w:tc>
        <w:tc>
          <w:tcPr>
            <w:tcW w:w="1698" w:type="dxa"/>
            <w:shd w:val="clear" w:color="auto" w:fill="auto"/>
          </w:tcPr>
          <w:p>
            <w:r>
              <w:rPr>
                <w:rFonts w:hint="eastAsia"/>
              </w:rPr>
              <w:t>1</w:t>
            </w:r>
          </w:p>
        </w:tc>
        <w:tc>
          <w:tcPr>
            <w:tcW w:w="1717" w:type="dxa"/>
            <w:shd w:val="clear" w:color="auto" w:fill="auto"/>
          </w:tcPr>
          <w:p>
            <w:r>
              <w:t>2</w:t>
            </w:r>
          </w:p>
        </w:tc>
        <w:tc>
          <w:tcPr>
            <w:tcW w:w="1560" w:type="dxa"/>
            <w:shd w:val="clear" w:color="auto" w:fill="auto"/>
          </w:tcPr>
          <w:p>
            <w:r>
              <w:t>3</w:t>
            </w:r>
          </w:p>
        </w:tc>
        <w:tc>
          <w:tcPr>
            <w:tcW w:w="2965" w:type="dxa"/>
            <w:shd w:val="clear" w:color="auto" w:fill="auto"/>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shd w:val="clear" w:color="auto" w:fill="auto"/>
          </w:tcPr>
          <w:p>
            <w:r>
              <w:rPr>
                <w:rFonts w:hint="eastAsia"/>
              </w:rPr>
              <w:t>——</w:t>
            </w:r>
          </w:p>
        </w:tc>
        <w:tc>
          <w:tcPr>
            <w:tcW w:w="1717" w:type="dxa"/>
            <w:shd w:val="clear" w:color="auto" w:fill="auto"/>
          </w:tcPr>
          <w:p>
            <w:r>
              <w:rPr>
                <w:rFonts w:hint="eastAsia"/>
              </w:rPr>
              <w:t>——</w:t>
            </w:r>
          </w:p>
        </w:tc>
        <w:tc>
          <w:tcPr>
            <w:tcW w:w="1560" w:type="dxa"/>
            <w:shd w:val="clear" w:color="auto" w:fill="auto"/>
          </w:tcPr>
          <w:p>
            <w:r>
              <w:rPr>
                <w:rFonts w:hint="eastAsia"/>
              </w:rPr>
              <w:t>——</w:t>
            </w:r>
          </w:p>
        </w:tc>
        <w:tc>
          <w:tcPr>
            <w:tcW w:w="2965" w:type="dxa"/>
            <w:shd w:val="clear" w:color="auto" w:fill="auto"/>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shd w:val="clear" w:color="auto" w:fill="auto"/>
          </w:tcPr>
          <w:p>
            <w:r>
              <w:rPr>
                <w:rFonts w:hint="eastAsia"/>
              </w:rPr>
              <w:t>——</w:t>
            </w:r>
          </w:p>
        </w:tc>
        <w:tc>
          <w:tcPr>
            <w:tcW w:w="1717" w:type="dxa"/>
            <w:shd w:val="clear" w:color="auto" w:fill="auto"/>
          </w:tcPr>
          <w:p>
            <w:r>
              <w:rPr>
                <w:rFonts w:hint="eastAsia"/>
              </w:rPr>
              <w:t>——</w:t>
            </w:r>
          </w:p>
        </w:tc>
        <w:tc>
          <w:tcPr>
            <w:tcW w:w="1560" w:type="dxa"/>
            <w:shd w:val="clear" w:color="auto" w:fill="auto"/>
          </w:tcPr>
          <w:p>
            <w:r>
              <w:rPr>
                <w:rFonts w:hint="eastAsia"/>
              </w:rPr>
              <w:t>——</w:t>
            </w:r>
          </w:p>
        </w:tc>
        <w:tc>
          <w:tcPr>
            <w:tcW w:w="2965" w:type="dxa"/>
            <w:shd w:val="clear" w:color="auto" w:fill="auto"/>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shd w:val="clear" w:color="auto" w:fill="auto"/>
          </w:tcPr>
          <w:p>
            <w:r>
              <w:rPr>
                <w:rFonts w:hint="eastAsia"/>
              </w:rPr>
              <w:t>——</w:t>
            </w:r>
          </w:p>
        </w:tc>
        <w:tc>
          <w:tcPr>
            <w:tcW w:w="1717" w:type="dxa"/>
            <w:shd w:val="clear" w:color="auto" w:fill="auto"/>
          </w:tcPr>
          <w:p>
            <w:r>
              <w:rPr>
                <w:rFonts w:hint="eastAsia"/>
              </w:rPr>
              <w:t>——</w:t>
            </w:r>
          </w:p>
        </w:tc>
        <w:tc>
          <w:tcPr>
            <w:tcW w:w="1560" w:type="dxa"/>
            <w:shd w:val="clear" w:color="auto" w:fill="auto"/>
          </w:tcPr>
          <w:p>
            <w:r>
              <w:rPr>
                <w:rFonts w:hint="eastAsia"/>
              </w:rPr>
              <w:t>——</w:t>
            </w:r>
          </w:p>
        </w:tc>
        <w:tc>
          <w:tcPr>
            <w:tcW w:w="2965" w:type="dxa"/>
            <w:shd w:val="clear" w:color="auto" w:fill="auto"/>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shd w:val="clear" w:color="auto" w:fill="auto"/>
          </w:tcPr>
          <w:p>
            <w:r>
              <w:rPr>
                <w:rFonts w:hint="eastAsia"/>
              </w:rPr>
              <w:t>——</w:t>
            </w:r>
          </w:p>
        </w:tc>
        <w:tc>
          <w:tcPr>
            <w:tcW w:w="1717" w:type="dxa"/>
            <w:shd w:val="clear" w:color="auto" w:fill="auto"/>
          </w:tcPr>
          <w:p>
            <w:r>
              <w:rPr>
                <w:rFonts w:hint="eastAsia"/>
              </w:rPr>
              <w:t>——</w:t>
            </w:r>
          </w:p>
        </w:tc>
        <w:tc>
          <w:tcPr>
            <w:tcW w:w="1560" w:type="dxa"/>
            <w:shd w:val="clear" w:color="auto" w:fill="auto"/>
          </w:tcPr>
          <w:p>
            <w:r>
              <w:rPr>
                <w:rFonts w:hint="eastAsia"/>
              </w:rPr>
              <w:t>——</w:t>
            </w:r>
          </w:p>
        </w:tc>
        <w:tc>
          <w:tcPr>
            <w:tcW w:w="2965" w:type="dxa"/>
            <w:shd w:val="clear" w:color="auto" w:fill="auto"/>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shd w:val="clear" w:color="auto" w:fill="auto"/>
          </w:tcPr>
          <w:p>
            <w:r>
              <w:rPr>
                <w:rFonts w:hint="eastAsia"/>
              </w:rPr>
              <w:t>——</w:t>
            </w:r>
          </w:p>
        </w:tc>
        <w:tc>
          <w:tcPr>
            <w:tcW w:w="1717" w:type="dxa"/>
            <w:shd w:val="clear" w:color="auto" w:fill="auto"/>
          </w:tcPr>
          <w:p>
            <w:r>
              <w:rPr>
                <w:rFonts w:hint="eastAsia"/>
              </w:rPr>
              <w:t>——</w:t>
            </w:r>
          </w:p>
        </w:tc>
        <w:tc>
          <w:tcPr>
            <w:tcW w:w="1560" w:type="dxa"/>
            <w:shd w:val="clear" w:color="auto" w:fill="auto"/>
          </w:tcPr>
          <w:p>
            <w:r>
              <w:rPr>
                <w:rFonts w:hint="eastAsia"/>
              </w:rPr>
              <w:t>——</w:t>
            </w:r>
          </w:p>
        </w:tc>
        <w:tc>
          <w:tcPr>
            <w:tcW w:w="2965" w:type="dxa"/>
            <w:shd w:val="clear" w:color="auto" w:fill="auto"/>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□OHSMS基本满足GB/T45001:2020标准的要求，建立了自我完善机制，职业健康安全管理体系运行基本有效。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□FSMS基本满足ISO22000:2018标准的要求，建立了自我完善机制，环境管理体系运行基本有效。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tcPr>
          <w:p>
            <w:r>
              <w:rPr>
                <w:rFonts w:hint="eastAsia"/>
              </w:rPr>
              <w:t>——</w:t>
            </w:r>
          </w:p>
        </w:tc>
      </w:tr>
      <w:tr>
        <w:tblPrEx>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w:t>
            </w:r>
            <w:r>
              <w:rPr>
                <w:rFonts w:ascii="Segoe UI Emoji" w:hAnsi="Segoe UI Emoji" w:cs="Segoe UI Emoji"/>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vAlign w:val="center"/>
          </w:tcPr>
          <w:p>
            <w:pPr>
              <w:jc w:val="center"/>
            </w:pPr>
            <w:r>
              <w:rPr>
                <w:rFonts w:hint="eastAsia"/>
              </w:rPr>
              <w:t>审核组长签字</w:t>
            </w:r>
          </w:p>
        </w:tc>
        <w:tc>
          <w:tcPr>
            <w:tcW w:w="2835" w:type="dxa"/>
            <w:gridSpan w:val="2"/>
            <w:shd w:val="clear" w:color="auto" w:fill="auto"/>
          </w:tcPr>
          <w:p>
            <w:pPr>
              <w:jc w:val="center"/>
            </w:pPr>
            <w:r>
              <w:drawing>
                <wp:inline distT="0" distB="0" distL="0" distR="0">
                  <wp:extent cx="590550" cy="321310"/>
                  <wp:effectExtent l="0" t="0" r="635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01587" cy="327413"/>
                          </a:xfrm>
                          <a:prstGeom prst="rect">
                            <a:avLst/>
                          </a:prstGeom>
                        </pic:spPr>
                      </pic:pic>
                    </a:graphicData>
                  </a:graphic>
                </wp:inline>
              </w:drawing>
            </w:r>
          </w:p>
          <w:p>
            <w:pPr>
              <w:pStyle w:val="2"/>
            </w:pPr>
          </w:p>
        </w:tc>
        <w:tc>
          <w:tcPr>
            <w:tcW w:w="2835" w:type="dxa"/>
            <w:shd w:val="clear" w:color="auto" w:fill="auto"/>
          </w:tcPr>
          <w:p>
            <w:pPr>
              <w:jc w:val="center"/>
            </w:pPr>
          </w:p>
          <w:p>
            <w:pPr>
              <w:jc w:val="center"/>
            </w:pPr>
            <w:r>
              <w:rPr>
                <w:rFonts w:hint="eastAsia"/>
              </w:rPr>
              <w:t>日期</w:t>
            </w:r>
          </w:p>
        </w:tc>
        <w:tc>
          <w:tcPr>
            <w:tcW w:w="2836" w:type="dxa"/>
            <w:shd w:val="clear" w:color="auto" w:fill="auto"/>
          </w:tcPr>
          <w:p>
            <w:pPr>
              <w:jc w:val="center"/>
            </w:pPr>
          </w:p>
          <w:p>
            <w:pPr>
              <w:jc w:val="center"/>
              <w:rPr>
                <w:rFonts w:hint="default" w:eastAsia="宋体"/>
                <w:lang w:val="en-US" w:eastAsia="zh-CN"/>
              </w:rPr>
            </w:pPr>
            <w:r>
              <w:rPr>
                <w:rFonts w:hint="eastAsia"/>
              </w:rPr>
              <w:t>2020-</w:t>
            </w:r>
            <w:r>
              <w:t>1</w:t>
            </w:r>
            <w:r>
              <w:rPr>
                <w:rFonts w:hint="eastAsia"/>
                <w:lang w:val="en-US" w:eastAsia="zh-CN"/>
              </w:rPr>
              <w:t>2-14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Pr>
        <w:rPr>
          <w:rFonts w:hint="eastAsia"/>
        </w:rPr>
      </w:pPr>
      <w:bookmarkStart w:id="5" w:name="_GoBack"/>
      <w:bookmarkEnd w:id="5"/>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r>
              <w:rPr>
                <w:rFonts w:hint="eastAsia"/>
              </w:rPr>
              <w:t>体系要素</w:t>
            </w:r>
          </w:p>
        </w:tc>
        <w:tc>
          <w:tcPr>
            <w:tcW w:w="8748" w:type="dxa"/>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r>
              <w:rPr>
                <w:rFonts w:hint="eastAsia"/>
              </w:rPr>
              <w:t>组织环境</w:t>
            </w:r>
          </w:p>
        </w:tc>
        <w:tc>
          <w:tcPr>
            <w:tcW w:w="8748" w:type="dxa"/>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pPr>
                    <w:tabs>
                      <w:tab w:val="center" w:pos="3579"/>
                    </w:tabs>
                  </w:pPr>
                  <w:r>
                    <w:rPr>
                      <w:rFonts w:hint="eastAsia"/>
                    </w:rPr>
                    <w:t xml:space="preserve">☑法律法规 ☑技术 ☑竞争 ☑市场 </w:t>
                  </w:r>
                  <w:r>
                    <w:rPr>
                      <w:rFonts w:hint="eastAsia"/>
                    </w:rPr>
                    <w:tab/>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☑价值观  ☑文化  ☑知识 ☑绩效 □工艺□设备 ☑人员能力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tc>
        <w:tc>
          <w:tcPr>
            <w:tcW w:w="8748" w:type="dxa"/>
          </w:tcPr>
          <w:p>
            <w:pPr>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w:t>
                  </w:r>
                </w:p>
              </w:tc>
              <w:tc>
                <w:tcPr>
                  <w:tcW w:w="6912" w:type="dxa"/>
                </w:tcPr>
                <w:p>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☑消费者</w:t>
                  </w:r>
                </w:p>
              </w:tc>
              <w:tc>
                <w:tcPr>
                  <w:tcW w:w="6912" w:type="dxa"/>
                </w:tcPr>
                <w:p>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tc>
        <w:tc>
          <w:tcPr>
            <w:tcW w:w="8748" w:type="dxa"/>
          </w:tcPr>
          <w:p>
            <w:r>
              <w:rPr>
                <w:rFonts w:hint="eastAsia"/>
              </w:rPr>
              <w:t>组织应明确相关管理体系的范围；（详见第一条款审核范围）</w:t>
            </w:r>
          </w:p>
          <w:p>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tc>
        <w:tc>
          <w:tcPr>
            <w:tcW w:w="8748" w:type="dxa"/>
          </w:tcPr>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☑市场拓展 □设备能力 ☑人员能力 □检测水平☑合同评审 ☑知识保密 </w:t>
            </w:r>
          </w:p>
          <w:p>
            <w:pPr>
              <w:spacing w:before="40" w:after="40"/>
            </w:pPr>
            <w:r>
              <w:rPr>
                <w:rFonts w:hint="eastAsia"/>
              </w:rPr>
              <w:t>□新产品设计开发 □原材料采购 ☑外部供方控制 ☑生产/服务控制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pPr>
            <w:r>
              <w:rPr>
                <w:rFonts w:hint="eastAsia"/>
              </w:rPr>
              <w:t xml:space="preserve">□人员培训 □储存☑无 </w:t>
            </w:r>
          </w:p>
          <w:p>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r>
              <w:rPr>
                <w:rFonts w:hint="eastAsia"/>
              </w:rPr>
              <w:t>领导作用</w:t>
            </w:r>
          </w:p>
        </w:tc>
        <w:tc>
          <w:tcPr>
            <w:tcW w:w="8748" w:type="dxa"/>
          </w:tcPr>
          <w:p>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r>
              <w:rPr>
                <w:rFonts w:hint="eastAsia"/>
              </w:rPr>
              <w:t>QMS最高管理者应确及证实其以顾客为关注焦点的领导作用和承诺；通过——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r>
              <w:rPr>
                <w:rFonts w:hint="eastAsia"/>
              </w:rPr>
              <w:t>最高管理者制定了文件化的管理体系方针：</w:t>
            </w:r>
            <w:r>
              <w:rPr>
                <w:rFonts w:hint="eastAsia"/>
                <w:b/>
                <w:bCs/>
                <w:color w:val="0000FF"/>
                <w:szCs w:val="18"/>
                <w:u w:val="single"/>
              </w:rPr>
              <w:t>专业、诚信、创新、共赢。</w:t>
            </w:r>
            <w:r>
              <w:rPr>
                <w:b/>
                <w:bCs/>
                <w:color w:val="0000FF"/>
                <w:szCs w:val="18"/>
                <w:u w:val="single"/>
              </w:rPr>
              <w:t xml:space="preserve">  </w:t>
            </w:r>
            <w:r>
              <w:rPr>
                <w:b/>
                <w:bCs/>
                <w:color w:val="000000"/>
                <w:szCs w:val="18"/>
                <w:u w:val="single"/>
              </w:rPr>
              <w:t xml:space="preserve">  </w:t>
            </w:r>
            <w:r>
              <w:rPr>
                <w:rFonts w:hint="eastAsia"/>
                <w:u w:val="single"/>
              </w:rPr>
              <w:t xml:space="preserve">          </w:t>
            </w:r>
          </w:p>
          <w:p>
            <w:r>
              <w:rPr>
                <w:rFonts w:hint="eastAsia"/>
              </w:rPr>
              <w:t xml:space="preserve"> </w:t>
            </w: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r>
              <w:rPr>
                <w:rFonts w:hint="eastAsia"/>
              </w:rPr>
              <w:t>最高管理者确定了组织架构及相关岗位的职责、权限，并进行了全员的沟通和理解；</w:t>
            </w:r>
          </w:p>
          <w:p>
            <w:r>
              <w:rPr>
                <w:rFonts w:hint="eastAsia"/>
              </w:rPr>
              <w:t>QMS的主管部门是——</w:t>
            </w:r>
            <w:r>
              <w:rPr>
                <w:rFonts w:hint="eastAsia"/>
                <w:color w:val="0000FF"/>
                <w:u w:val="single"/>
              </w:rPr>
              <w:t>管理层、办公室、销售部、项目部、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1214" w:type="dxa"/>
            <w:vMerge w:val="restart"/>
          </w:tcPr>
          <w:p>
            <w:r>
              <w:rPr>
                <w:rFonts w:hint="eastAsia"/>
              </w:rPr>
              <w:t>策划</w:t>
            </w:r>
          </w:p>
        </w:tc>
        <w:tc>
          <w:tcPr>
            <w:tcW w:w="8748" w:type="dxa"/>
          </w:tcPr>
          <w:p>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7"/>
              <w:gridCol w:w="387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7"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主要的风险描述</w:t>
                  </w:r>
                </w:p>
              </w:tc>
              <w:tc>
                <w:tcPr>
                  <w:tcW w:w="3870"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应对措施</w:t>
                  </w:r>
                </w:p>
              </w:tc>
              <w:tc>
                <w:tcPr>
                  <w:tcW w:w="1685"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7" w:type="dxa"/>
                  <w:shd w:val="clear" w:color="auto" w:fill="auto"/>
                </w:tcPr>
                <w:p>
                  <w:pPr>
                    <w:rPr>
                      <w:color w:val="0000FF"/>
                      <w:highlight w:val="cyan"/>
                    </w:rPr>
                  </w:pPr>
                  <w:r>
                    <w:rPr>
                      <w:rFonts w:hint="eastAsia"/>
                    </w:rPr>
                    <w:t>人员流动</w:t>
                  </w:r>
                </w:p>
              </w:tc>
              <w:tc>
                <w:tcPr>
                  <w:tcW w:w="3870" w:type="dxa"/>
                  <w:shd w:val="clear" w:color="auto" w:fill="auto"/>
                </w:tcPr>
                <w:p>
                  <w:pPr>
                    <w:rPr>
                      <w:color w:val="0000FF"/>
                      <w:highlight w:val="cyan"/>
                    </w:rPr>
                  </w:pPr>
                  <w:r>
                    <w:rPr>
                      <w:rFonts w:hint="eastAsia"/>
                    </w:rPr>
                    <w:t>常年招聘、培训</w:t>
                  </w:r>
                </w:p>
              </w:tc>
              <w:tc>
                <w:tcPr>
                  <w:tcW w:w="1685" w:type="dxa"/>
                  <w:shd w:val="clear" w:color="auto" w:fill="auto"/>
                </w:tcPr>
                <w:p>
                  <w:pPr>
                    <w:rPr>
                      <w:color w:val="0000FF"/>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7" w:type="dxa"/>
                  <w:shd w:val="clear" w:color="auto" w:fill="auto"/>
                </w:tcPr>
                <w:p>
                  <w:pPr>
                    <w:rPr>
                      <w:color w:val="0000FF"/>
                      <w:highlight w:val="cyan"/>
                    </w:rPr>
                  </w:pPr>
                </w:p>
              </w:tc>
              <w:tc>
                <w:tcPr>
                  <w:tcW w:w="3870" w:type="dxa"/>
                  <w:shd w:val="clear" w:color="auto" w:fill="auto"/>
                </w:tcPr>
                <w:p>
                  <w:pPr>
                    <w:rPr>
                      <w:color w:val="0000FF"/>
                      <w:highlight w:val="cyan"/>
                    </w:rPr>
                  </w:pPr>
                </w:p>
              </w:tc>
              <w:tc>
                <w:tcPr>
                  <w:tcW w:w="1685" w:type="dxa"/>
                  <w:shd w:val="clear" w:color="auto" w:fill="auto"/>
                </w:tcPr>
                <w:p>
                  <w:pPr>
                    <w:rPr>
                      <w:color w:val="0000FF"/>
                    </w:rPr>
                  </w:pPr>
                  <w:r>
                    <w:rPr>
                      <w:rFonts w:hint="eastAsia"/>
                    </w:rPr>
                    <w:sym w:font="Wingdings" w:char="00A8"/>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7" w:type="dxa"/>
                  <w:shd w:val="clear" w:color="auto" w:fill="auto"/>
                </w:tcPr>
                <w:p>
                  <w:pPr>
                    <w:rPr>
                      <w:color w:val="0000FF"/>
                      <w:highlight w:val="cyan"/>
                    </w:rPr>
                  </w:pPr>
                </w:p>
              </w:tc>
              <w:tc>
                <w:tcPr>
                  <w:tcW w:w="3870" w:type="dxa"/>
                  <w:shd w:val="clear" w:color="auto" w:fill="auto"/>
                  <w:vAlign w:val="center"/>
                </w:tcPr>
                <w:p>
                  <w:pPr>
                    <w:rPr>
                      <w:color w:val="0000FF"/>
                      <w:highlight w:val="cyan"/>
                    </w:rPr>
                  </w:pPr>
                </w:p>
              </w:tc>
              <w:tc>
                <w:tcPr>
                  <w:tcW w:w="1685" w:type="dxa"/>
                  <w:shd w:val="clear" w:color="auto" w:fill="auto"/>
                </w:tcPr>
                <w:p>
                  <w:pPr>
                    <w:rPr>
                      <w:color w:val="0000FF"/>
                    </w:rPr>
                  </w:pPr>
                  <w:r>
                    <w:rPr>
                      <w:rFonts w:hint="eastAsia"/>
                    </w:rPr>
                    <w:sym w:font="Wingdings" w:char="00A8"/>
                  </w:r>
                  <w:r>
                    <w:rPr>
                      <w:rFonts w:hint="eastAsia"/>
                    </w:rPr>
                    <w:t>有效</w:t>
                  </w:r>
                  <w:r>
                    <w:rPr>
                      <w:rFonts w:hint="eastAsia"/>
                    </w:rPr>
                    <w:sym w:font="Wingdings" w:char="00A8"/>
                  </w:r>
                  <w:r>
                    <w:rPr>
                      <w:rFonts w:hint="eastAsia"/>
                    </w:rPr>
                    <w:t>不足</w:t>
                  </w:r>
                </w:p>
              </w:tc>
            </w:tr>
          </w:tbl>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42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主要的机遇描述</w:t>
                  </w:r>
                </w:p>
              </w:tc>
              <w:tc>
                <w:tcPr>
                  <w:tcW w:w="425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不断开发新市场</w:t>
                  </w:r>
                </w:p>
              </w:tc>
              <w:tc>
                <w:tcPr>
                  <w:tcW w:w="4258" w:type="dxa"/>
                </w:tcPr>
                <w:p>
                  <w:r>
                    <w:rPr>
                      <w:rFonts w:hint="eastAsia"/>
                    </w:rPr>
                    <w:t>网站挖掘、国家机遇的带动</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4258"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4258" w:type="dxa"/>
                </w:tcPr>
                <w:p/>
              </w:tc>
              <w:tc>
                <w:tcPr>
                  <w:tcW w:w="1717" w:type="dxa"/>
                </w:tcPr>
                <w:p/>
              </w:tc>
            </w:tr>
          </w:tbl>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8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rPr>
                      <w:rFonts w:ascii="宋体" w:hAnsi="宋体"/>
                    </w:rPr>
                  </w:pPr>
                  <w:r>
                    <w:rPr>
                      <w:rFonts w:hint="eastAsia" w:ascii="宋体" w:hAnsi="宋体"/>
                    </w:rPr>
                    <w:t>质量目标</w:t>
                  </w:r>
                </w:p>
              </w:tc>
              <w:tc>
                <w:tcPr>
                  <w:tcW w:w="2887" w:type="dxa"/>
                  <w:shd w:val="clear" w:color="auto" w:fill="auto"/>
                </w:tcPr>
                <w:p>
                  <w:pPr>
                    <w:rPr>
                      <w:rFonts w:ascii="宋体" w:hAnsi="宋体"/>
                    </w:rPr>
                  </w:pPr>
                  <w:r>
                    <w:rPr>
                      <w:rFonts w:hint="eastAsia" w:ascii="宋体" w:hAnsi="宋体"/>
                    </w:rPr>
                    <w:t>计算方法</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widowControl/>
                    <w:spacing w:before="40"/>
                    <w:jc w:val="left"/>
                    <w:rPr>
                      <w:color w:val="000000"/>
                      <w:szCs w:val="21"/>
                    </w:rPr>
                  </w:pPr>
                  <w:r>
                    <w:rPr>
                      <w:rFonts w:hint="eastAsia"/>
                      <w:color w:val="000000"/>
                      <w:szCs w:val="21"/>
                    </w:rPr>
                    <w:t>Q：合同履约率≥100％</w:t>
                  </w:r>
                </w:p>
              </w:tc>
              <w:tc>
                <w:tcPr>
                  <w:tcW w:w="2887" w:type="dxa"/>
                  <w:shd w:val="clear" w:color="auto" w:fill="auto"/>
                </w:tcPr>
                <w:p>
                  <w:pPr>
                    <w:widowControl/>
                    <w:spacing w:before="40"/>
                    <w:jc w:val="left"/>
                    <w:rPr>
                      <w:rFonts w:hint="default" w:eastAsia="宋体"/>
                      <w:color w:val="000000"/>
                      <w:szCs w:val="18"/>
                      <w:lang w:val="en-US" w:eastAsia="zh-CN"/>
                    </w:rPr>
                  </w:pPr>
                  <w:r>
                    <w:rPr>
                      <w:rFonts w:hint="eastAsia"/>
                      <w:color w:val="000000"/>
                      <w:szCs w:val="21"/>
                    </w:rPr>
                    <w:t>合同履约量</w:t>
                  </w:r>
                  <w:r>
                    <w:rPr>
                      <w:rFonts w:hint="eastAsia"/>
                      <w:color w:val="000000"/>
                      <w:szCs w:val="18"/>
                    </w:rPr>
                    <w:t>/合同总量</w:t>
                  </w:r>
                  <w:r>
                    <w:rPr>
                      <w:rFonts w:hint="eastAsia"/>
                      <w:color w:val="000000"/>
                      <w:szCs w:val="18"/>
                      <w:lang w:val="en-US" w:eastAsia="zh-CN"/>
                    </w:rPr>
                    <w:t>X100%</w:t>
                  </w:r>
                </w:p>
              </w:tc>
              <w:tc>
                <w:tcPr>
                  <w:tcW w:w="1350" w:type="dxa"/>
                  <w:shd w:val="clear" w:color="auto" w:fill="auto"/>
                </w:tcPr>
                <w:p>
                  <w:pPr>
                    <w:widowControl/>
                    <w:spacing w:before="40"/>
                    <w:jc w:val="left"/>
                    <w:rPr>
                      <w:color w:val="000000"/>
                      <w:szCs w:val="18"/>
                    </w:rPr>
                  </w:pPr>
                  <w:r>
                    <w:rPr>
                      <w:rFonts w:hint="eastAsia"/>
                      <w:color w:val="000000"/>
                      <w:szCs w:val="18"/>
                    </w:rPr>
                    <w:t>供销部</w:t>
                  </w:r>
                </w:p>
              </w:tc>
              <w:tc>
                <w:tcPr>
                  <w:tcW w:w="1774" w:type="dxa"/>
                  <w:shd w:val="clear" w:color="auto" w:fill="auto"/>
                </w:tcPr>
                <w:p>
                  <w:pPr>
                    <w:widowControl/>
                    <w:spacing w:before="40"/>
                    <w:jc w:val="left"/>
                    <w:rPr>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widowControl/>
                    <w:spacing w:before="40"/>
                    <w:jc w:val="left"/>
                    <w:rPr>
                      <w:color w:val="000000"/>
                      <w:szCs w:val="21"/>
                    </w:rPr>
                  </w:pPr>
                  <w:r>
                    <w:rPr>
                      <w:rFonts w:hint="eastAsia"/>
                      <w:color w:val="000000"/>
                      <w:szCs w:val="21"/>
                    </w:rPr>
                    <w:t>Q：顾客满意率≥95％</w:t>
                  </w:r>
                </w:p>
              </w:tc>
              <w:tc>
                <w:tcPr>
                  <w:tcW w:w="2887" w:type="dxa"/>
                  <w:shd w:val="clear" w:color="auto" w:fill="auto"/>
                </w:tcPr>
                <w:p>
                  <w:pPr>
                    <w:widowControl/>
                    <w:spacing w:before="40"/>
                    <w:jc w:val="left"/>
                    <w:rPr>
                      <w:color w:val="000000"/>
                      <w:szCs w:val="21"/>
                    </w:rPr>
                  </w:pPr>
                  <w:r>
                    <w:rPr>
                      <w:rFonts w:hint="eastAsia"/>
                      <w:color w:val="000000"/>
                      <w:szCs w:val="21"/>
                    </w:rPr>
                    <w:t>调查问卷打分统计</w:t>
                  </w:r>
                </w:p>
              </w:tc>
              <w:tc>
                <w:tcPr>
                  <w:tcW w:w="1350" w:type="dxa"/>
                  <w:shd w:val="clear" w:color="auto" w:fill="auto"/>
                </w:tcPr>
                <w:p>
                  <w:pPr>
                    <w:widowControl/>
                    <w:spacing w:before="40"/>
                    <w:jc w:val="left"/>
                    <w:rPr>
                      <w:color w:val="000000"/>
                      <w:szCs w:val="21"/>
                    </w:rPr>
                  </w:pPr>
                  <w:r>
                    <w:rPr>
                      <w:rFonts w:hint="eastAsia"/>
                      <w:color w:val="000000"/>
                      <w:szCs w:val="21"/>
                    </w:rPr>
                    <w:t>各部门</w:t>
                  </w:r>
                </w:p>
              </w:tc>
              <w:tc>
                <w:tcPr>
                  <w:tcW w:w="1774" w:type="dxa"/>
                  <w:shd w:val="clear" w:color="auto" w:fill="auto"/>
                </w:tcPr>
                <w:p>
                  <w:pPr>
                    <w:widowControl/>
                    <w:spacing w:before="40"/>
                    <w:jc w:val="left"/>
                    <w:rPr>
                      <w:color w:val="000000"/>
                      <w:szCs w:val="21"/>
                    </w:rPr>
                  </w:pPr>
                  <w:r>
                    <w:rPr>
                      <w:rFonts w:hint="eastAsia"/>
                      <w:color w:val="000000"/>
                      <w:szCs w:val="18"/>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tc>
              <w:tc>
                <w:tcPr>
                  <w:tcW w:w="2887"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p>
            <w:pPr>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r>
              <w:rPr>
                <w:rFonts w:hint="eastAsia"/>
              </w:rPr>
              <w:t>支持</w:t>
            </w:r>
          </w:p>
        </w:tc>
        <w:tc>
          <w:tcPr>
            <w:tcW w:w="8748" w:type="dxa"/>
          </w:tcPr>
          <w:p>
            <w:r>
              <w:rPr>
                <w:rFonts w:hint="eastAsia"/>
              </w:rPr>
              <w:t>组织的资源状况：</w:t>
            </w:r>
          </w:p>
          <w:p>
            <w:r>
              <w:rPr>
                <w:rFonts w:hint="eastAsia"/>
              </w:rPr>
              <w:t>☑组织</w:t>
            </w:r>
            <w:r>
              <w:t>现有内部资源的能力</w:t>
            </w:r>
            <w:r>
              <w:rPr>
                <w:rFonts w:hint="eastAsia"/>
              </w:rPr>
              <w:t>可满足质量管理体系运行；</w:t>
            </w:r>
          </w:p>
          <w:p>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tc>
        <w:tc>
          <w:tcPr>
            <w:tcW w:w="8748" w:type="dxa"/>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可满足质量管理体系运行；</w:t>
            </w:r>
          </w:p>
          <w:p>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tc>
        <w:tc>
          <w:tcPr>
            <w:tcW w:w="874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组织应确定、提供并维护所需的基础设施情况：</w:t>
            </w:r>
          </w:p>
          <w:p>
            <w:pPr>
              <w:jc w:val="left"/>
            </w:pPr>
            <w:r>
              <w:rPr>
                <w:rFonts w:hint="eastAsia"/>
              </w:rPr>
              <w:t>建筑面积</w:t>
            </w:r>
            <w:r>
              <w:rPr>
                <w:rFonts w:hint="eastAsia"/>
                <w:u w:val="single"/>
              </w:rPr>
              <w:t xml:space="preserve">  140 </w:t>
            </w:r>
            <w:r>
              <w:rPr>
                <w:rFonts w:hint="eastAsia"/>
              </w:rPr>
              <w:t>平方米；加工间</w:t>
            </w:r>
            <w:r>
              <w:rPr>
                <w:rFonts w:hint="eastAsia"/>
                <w:u w:val="single"/>
              </w:rPr>
              <w:t xml:space="preserve"> 0</w:t>
            </w:r>
            <w:r>
              <w:rPr>
                <w:u w:val="single"/>
              </w:rPr>
              <w:t xml:space="preserve"> </w:t>
            </w:r>
            <w:r>
              <w:rPr>
                <w:rFonts w:hint="eastAsia"/>
                <w:u w:val="single"/>
              </w:rPr>
              <w:t xml:space="preserve"> </w:t>
            </w:r>
            <w:r>
              <w:rPr>
                <w:rFonts w:hint="eastAsia"/>
              </w:rPr>
              <w:t>个；库房</w:t>
            </w:r>
            <w:r>
              <w:rPr>
                <w:rFonts w:hint="eastAsia"/>
                <w:u w:val="single"/>
              </w:rPr>
              <w:t xml:space="preserve">  0  </w:t>
            </w:r>
            <w:r>
              <w:rPr>
                <w:rFonts w:hint="eastAsia"/>
              </w:rPr>
              <w:t>个；办公室</w:t>
            </w:r>
            <w:r>
              <w:rPr>
                <w:rFonts w:hint="eastAsia"/>
                <w:u w:val="single"/>
              </w:rPr>
              <w:t xml:space="preserve">2   </w:t>
            </w:r>
            <w:r>
              <w:rPr>
                <w:rFonts w:hint="eastAsia"/>
              </w:rPr>
              <w:t>个；运货车辆</w:t>
            </w:r>
            <w:r>
              <w:rPr>
                <w:rFonts w:hint="eastAsia"/>
                <w:u w:val="single"/>
              </w:rPr>
              <w:t xml:space="preserve">   0  </w:t>
            </w:r>
            <w:r>
              <w:rPr>
                <w:rFonts w:hint="eastAsia"/>
              </w:rPr>
              <w:t>辆</w:t>
            </w:r>
          </w:p>
          <w:p>
            <w:pPr>
              <w:jc w:val="left"/>
              <w:rPr>
                <w:u w:val="single"/>
              </w:rPr>
            </w:pPr>
            <w:r>
              <w:rPr>
                <w:rFonts w:hint="eastAsia"/>
              </w:rPr>
              <w:t>主要生产设备有：</w:t>
            </w:r>
            <w:r>
              <w:rPr>
                <w:rFonts w:hint="eastAsia" w:ascii="宋体" w:hAnsi="宋体"/>
                <w:u w:val="single"/>
              </w:rPr>
              <w:t>计算机、打印机、扫描仪</w:t>
            </w:r>
            <w:r>
              <w:rPr>
                <w:rFonts w:hint="eastAsia"/>
                <w:u w:val="single"/>
              </w:rPr>
              <w:t xml:space="preserve">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FE"/>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r>
              <w:rPr>
                <w:rFonts w:hint="eastAsia"/>
              </w:rPr>
              <w:t>☑组织</w:t>
            </w:r>
            <w:r>
              <w:t>现有</w:t>
            </w:r>
            <w:r>
              <w:rPr>
                <w:rFonts w:hint="eastAsia"/>
              </w:rPr>
              <w:t>基础设施可满足质量管理体系运行；</w:t>
            </w:r>
          </w:p>
          <w:p>
            <w:r>
              <w:rPr>
                <w:rFonts w:hint="eastAsia"/>
              </w:rPr>
              <w:t>□组织</w:t>
            </w:r>
            <w:r>
              <w:t>现有</w:t>
            </w:r>
            <w:r>
              <w:rPr>
                <w:rFonts w:hint="eastAsia"/>
              </w:rPr>
              <w:t>基础设施可基本满足质量管理体系运行，但是还有不足需要补充：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tc>
        <w:tc>
          <w:tcPr>
            <w:tcW w:w="8748" w:type="dxa"/>
          </w:tcPr>
          <w:p>
            <w:r>
              <w:t xml:space="preserve">组织应确定、提供并维护所需的人为因素与物理因素环境，以运行过程并获得合格产品和服务。 </w:t>
            </w:r>
          </w:p>
          <w:p>
            <w:r>
              <w:rPr>
                <w:rFonts w:hint="eastAsia"/>
              </w:rPr>
              <w:t>☑组织</w:t>
            </w:r>
            <w:r>
              <w:t>现有</w:t>
            </w:r>
            <w:r>
              <w:rPr>
                <w:rFonts w:hint="eastAsia"/>
              </w:rPr>
              <w:t>运行环境可满足质量管理体系运行；</w:t>
            </w:r>
          </w:p>
          <w:p>
            <w:r>
              <w:rPr>
                <w:rFonts w:hint="eastAsia"/>
              </w:rPr>
              <w:t>□组织</w:t>
            </w:r>
            <w:r>
              <w:t>现有</w:t>
            </w:r>
            <w:r>
              <w:rPr>
                <w:rFonts w:hint="eastAsia"/>
              </w:rPr>
              <w:t>运行环境可基本满足质量管理体系运行，说明：</w:t>
            </w:r>
            <w:r>
              <w:rPr>
                <w:rFonts w:hint="eastAsia"/>
                <w:u w:val="single"/>
              </w:rPr>
              <w:t xml:space="preserve">                         </w:t>
            </w:r>
          </w:p>
          <w:p>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tc>
        <w:tc>
          <w:tcPr>
            <w:tcW w:w="8748" w:type="dxa"/>
          </w:tcPr>
          <w:p>
            <w:r>
              <w:rPr>
                <w:rFonts w:hint="eastAsia"/>
              </w:rPr>
              <w:t>组织的</w:t>
            </w:r>
            <w:r>
              <w:t>监视和测量资源</w:t>
            </w:r>
            <w:r>
              <w:rPr>
                <w:rFonts w:hint="eastAsia"/>
              </w:rPr>
              <w:t>：</w:t>
            </w:r>
            <w:r>
              <w:rPr>
                <w:rFonts w:hint="eastAsia"/>
              </w:rPr>
              <w:sym w:font="Wingdings" w:char="00A8"/>
            </w:r>
            <w:r>
              <w:rPr>
                <w:rFonts w:hint="eastAsia"/>
              </w:rPr>
              <w:t xml:space="preserve">计量器具   </w:t>
            </w:r>
            <w:r>
              <w:rPr>
                <w:rFonts w:hint="eastAsia"/>
              </w:rPr>
              <w:sym w:font="Wingdings" w:char="00FE"/>
            </w:r>
            <w:r>
              <w:rPr>
                <w:rFonts w:hint="eastAsia"/>
              </w:rPr>
              <w:t xml:space="preserve">服务流程检查表  </w:t>
            </w:r>
            <w:r>
              <w:rPr>
                <w:rFonts w:hint="eastAsia"/>
              </w:rPr>
              <w:sym w:font="Wingdings" w:char="00A8"/>
            </w:r>
            <w:r>
              <w:rPr>
                <w:rFonts w:hint="eastAsia"/>
              </w:rPr>
              <w:t>其他</w:t>
            </w:r>
          </w:p>
          <w:p>
            <w:r>
              <w:rPr>
                <w:rFonts w:hint="eastAsia"/>
              </w:rPr>
              <w:t>计量器具的</w:t>
            </w:r>
            <w:r>
              <w:t>测量溯源</w:t>
            </w:r>
            <w:r>
              <w:rPr>
                <w:rFonts w:hint="eastAsia"/>
              </w:rPr>
              <w:t xml:space="preserve">方法：  </w:t>
            </w:r>
            <w:r>
              <w:rPr>
                <w:rFonts w:hint="eastAsia"/>
              </w:rPr>
              <w:sym w:font="Wingdings" w:char="00FE"/>
            </w:r>
            <w:r>
              <w:rPr>
                <w:rFonts w:hint="eastAsia"/>
              </w:rPr>
              <w:t xml:space="preserve">自校   </w:t>
            </w:r>
            <w:r>
              <w:rPr>
                <w:rFonts w:hint="eastAsia"/>
              </w:rPr>
              <w:sym w:font="Wingdings" w:char="00A8"/>
            </w:r>
            <w:r>
              <w:rPr>
                <w:rFonts w:hint="eastAsia"/>
              </w:rPr>
              <w:t xml:space="preserve">外校 </w:t>
            </w:r>
          </w:p>
          <w:p>
            <w:pP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国家强检的计量器具有：</w:t>
            </w:r>
            <w:r>
              <w:rPr>
                <w:rFonts w:hint="eastAsia"/>
                <w:color w:val="000000" w:themeColor="text1"/>
                <w:u w:val="single"/>
                <w14:textFill>
                  <w14:solidFill>
                    <w14:schemeClr w14:val="tx1"/>
                  </w14:solidFill>
                </w14:textFill>
              </w:rPr>
              <w:t>不适用                （列举1~4种）</w:t>
            </w:r>
          </w:p>
          <w:p>
            <w:pPr>
              <w:rPr>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tc>
        <w:tc>
          <w:tcPr>
            <w:tcW w:w="8748" w:type="dxa"/>
          </w:tcPr>
          <w:p>
            <w:r>
              <w:t>组织</w:t>
            </w:r>
            <w:r>
              <w:rPr>
                <w:rFonts w:hint="eastAsia"/>
              </w:rPr>
              <w:t>已</w:t>
            </w:r>
            <w:r>
              <w:t>确定所需的知识，以运行过程并获得合格产品和服务</w:t>
            </w:r>
            <w:r>
              <w:rPr>
                <w:rFonts w:hint="eastAsia"/>
              </w:rPr>
              <w:t xml:space="preserve"> </w:t>
            </w:r>
          </w:p>
          <w:p>
            <w:r>
              <w:rPr>
                <w:rFonts w:hint="eastAsia"/>
              </w:rPr>
              <w:t xml:space="preserve">内部知识: </w:t>
            </w:r>
            <w:r>
              <w:rPr>
                <w:rFonts w:hint="eastAsia"/>
              </w:rPr>
              <w:sym w:font="Wingdings" w:char="00A8"/>
            </w:r>
            <w:r>
              <w:rPr>
                <w:rFonts w:hint="eastAsia"/>
              </w:rPr>
              <w:t xml:space="preserve">加工工艺 </w:t>
            </w:r>
            <w:r>
              <w:rPr>
                <w:rFonts w:hint="eastAsia"/>
              </w:rPr>
              <w:sym w:font="Wingdings" w:char="00FE"/>
            </w:r>
            <w:r>
              <w:rPr>
                <w:rFonts w:hint="eastAsia"/>
              </w:rPr>
              <w:t xml:space="preserve">生产/服务经验  </w:t>
            </w:r>
            <w:r>
              <w:rPr>
                <w:rFonts w:hint="eastAsia"/>
              </w:rPr>
              <w:sym w:font="Wingdings" w:char="00FE"/>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r>
              <w:rPr>
                <w:rFonts w:hint="eastAsia"/>
              </w:rPr>
              <w:t>组织已确定在其控制的工作人员所需具备的能力，并采取措施以获得所需的能力，并评价措施的有效性；</w:t>
            </w:r>
          </w:p>
          <w:p>
            <w:pPr>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rPr>
                <w:rFonts w:hint="eastAsia"/>
              </w:rPr>
            </w:pPr>
            <w:r>
              <w:rPr>
                <w:rFonts w:hint="eastAsia"/>
                <w:color w:val="0000FF"/>
              </w:rPr>
              <w:t>无证明表明近一年对培训过程进行了策划，也未保留培训的证据</w:t>
            </w:r>
            <w:r>
              <w:rPr>
                <w:rFonts w:hint="eastAsia"/>
                <w:color w:val="0000FF"/>
                <w:lang w:eastAsia="zh-CN"/>
              </w:rPr>
              <w:t>，</w:t>
            </w:r>
            <w:r>
              <w:rPr>
                <w:rFonts w:hint="eastAsia"/>
                <w:color w:val="0000FF"/>
                <w:lang w:val="en-US" w:eastAsia="zh-CN"/>
              </w:rPr>
              <w:t>见不符合报告03。</w:t>
            </w:r>
          </w:p>
          <w:p>
            <w:r>
              <w:rPr>
                <w:rFonts w:hint="eastAsia"/>
              </w:rPr>
              <w:t xml:space="preserve">对国家规定持证上岗的人员资质进行了有效的管理。（不适用） </w:t>
            </w:r>
          </w:p>
          <w:p>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其他（不适用）  </w:t>
            </w:r>
          </w:p>
          <w:p>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FE"/>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r>
              <w:rPr>
                <w:rFonts w:hint="eastAsia"/>
              </w:rPr>
              <w:t>组织提高员工的质量意识，确保受其控制工作的人员知晓：质量方针；相关的质量目标；他们对质量管理体系有效性的贡献，包括改进绩效的益处；不符合质量管理体系要求的后果。</w:t>
            </w:r>
          </w:p>
          <w:p>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A8"/>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r>
              <w:rPr>
                <w:rFonts w:hint="eastAsia"/>
              </w:rPr>
              <w:t>组织已确定与质量管理体系相关的内部和外部沟通。</w:t>
            </w:r>
          </w:p>
          <w:p>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r>
              <w:rPr>
                <w:rFonts w:hint="eastAsia"/>
              </w:rPr>
              <w:t>外部沟通方式：</w:t>
            </w:r>
            <w:r>
              <w:rPr>
                <w:rFonts w:hint="eastAsia"/>
              </w:rPr>
              <w:sym w:font="Wingdings" w:char="00A8"/>
            </w:r>
            <w:r>
              <w:rPr>
                <w:rFonts w:hint="eastAsia"/>
              </w:rPr>
              <w:t xml:space="preserve">宣传材料 </w:t>
            </w:r>
            <w:r>
              <w:rPr>
                <w:rFonts w:hint="eastAsia"/>
              </w:rPr>
              <w:sym w:font="Wingdings" w:char="00FE"/>
            </w:r>
            <w:r>
              <w:rPr>
                <w:rFonts w:hint="eastAsia"/>
              </w:rPr>
              <w:t xml:space="preserve">网站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pPr>
              <w:rPr>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r>
              <w:rPr>
                <w:rFonts w:hint="eastAsia"/>
              </w:rPr>
              <w:t>对质量相关的外来文件（法律法规、产品标准）进行了识别和贯彻。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对QMS和产品相关的运行记录进行了保留、储存、保护、检索查询、处置等管理。</w:t>
            </w:r>
          </w:p>
          <w:p>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r>
              <w:rPr>
                <w:rFonts w:hint="eastAsia"/>
              </w:rPr>
              <w:t>运行</w:t>
            </w:r>
          </w:p>
        </w:tc>
        <w:tc>
          <w:tcPr>
            <w:tcW w:w="8748" w:type="dxa"/>
          </w:tcPr>
          <w:p>
            <w:r>
              <w:rPr>
                <w:rFonts w:hint="eastAsia"/>
              </w:rPr>
              <w:t>组织为对产品和服务提供满足的要求，已对产品和服务提供的过程（见4.4）进行策划、实施和控制。策划文件包括：</w:t>
            </w:r>
          </w:p>
          <w:p>
            <w:pPr>
              <w:rPr>
                <w:highlight w:val="yellow"/>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tc>
        <w:tc>
          <w:tcPr>
            <w:tcW w:w="8748" w:type="dxa"/>
          </w:tcPr>
          <w:p>
            <w:r>
              <w:rPr>
                <w:rFonts w:hint="eastAsia"/>
              </w:rPr>
              <w:t>组织建立并实施了与顾客沟通；如产品和服务的信息、顾客投诉、顾客财产、应急措施等。</w:t>
            </w:r>
          </w:p>
          <w:p>
            <w:r>
              <w:rPr>
                <w:rFonts w:hint="eastAsia"/>
              </w:rPr>
              <w:t>组织对产品和服务要求进行了评审，确保有能力向顾客提供满足要求的产品和服务。</w:t>
            </w:r>
          </w:p>
          <w:p>
            <w:r>
              <w:rPr>
                <w:rFonts w:hint="eastAsia"/>
              </w:rPr>
              <w:t xml:space="preserve">产品和服务要求为：  </w:t>
            </w:r>
            <w:r>
              <w:rPr>
                <w:rFonts w:hint="eastAsia"/>
              </w:rPr>
              <w:sym w:font="Wingdings" w:char="00FE"/>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tc>
        <w:tc>
          <w:tcPr>
            <w:tcW w:w="8748" w:type="dxa"/>
          </w:tcPr>
          <w:p>
            <w:r>
              <w:rPr>
                <w:rFonts w:hint="eastAsia"/>
              </w:rPr>
              <w:t>组织建立、实施和保持了适当的设计和开发过程，以确保后续的产品和服务的提供。（适用时）</w:t>
            </w:r>
          </w:p>
          <w:p>
            <w:r>
              <w:rPr>
                <w:rFonts w:hint="eastAsia"/>
                <w:color w:val="000000" w:themeColor="text1"/>
                <w14:textFill>
                  <w14:solidFill>
                    <w14:schemeClr w14:val="tx1"/>
                  </w14:solidFill>
                </w14:textFill>
              </w:rPr>
              <w:t>审核期间内设计和开发新产品/项目名称：</w:t>
            </w:r>
            <w:r>
              <w:rPr>
                <w:rFonts w:hint="eastAsia"/>
                <w:color w:val="000000" w:themeColor="text1"/>
                <w:u w:val="single"/>
                <w14:textFill>
                  <w14:solidFill>
                    <w14:schemeClr w14:val="tx1"/>
                  </w14:solidFill>
                </w14:textFill>
              </w:rPr>
              <w:t xml:space="preserve">          近一年没有新服务和新产品的研发                </w:t>
            </w:r>
            <w:r>
              <w:rPr>
                <w:rFonts w:hint="eastAsia"/>
                <w:color w:val="0000FF"/>
                <w:u w:val="single"/>
              </w:rPr>
              <w:t xml:space="preserve">             </w:t>
            </w:r>
          </w:p>
          <w:p>
            <w:r>
              <w:rPr>
                <w:rFonts w:hint="eastAsia"/>
              </w:rPr>
              <w:t>该项目的设计和开发的输入、输出、变更进行了控制。</w:t>
            </w:r>
          </w:p>
          <w:p>
            <w:r>
              <w:rPr>
                <w:rFonts w:hint="eastAsia"/>
              </w:rPr>
              <w:t>设计和开发控制：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tc>
        <w:tc>
          <w:tcPr>
            <w:tcW w:w="8748" w:type="dxa"/>
          </w:tcPr>
          <w:p>
            <w:pPr>
              <w:jc w:val="left"/>
            </w:pPr>
            <w:r>
              <w:rPr>
                <w:rFonts w:hint="eastAsia"/>
              </w:rPr>
              <w:t>组织对外部提供的过程、产品和服务的供方按照对产品/服务质量的类型和程度实施控制。</w:t>
            </w:r>
          </w:p>
          <w:p>
            <w:pPr>
              <w:jc w:val="left"/>
            </w:pPr>
            <w:r>
              <w:rPr>
                <w:rFonts w:hint="eastAsia"/>
              </w:rPr>
              <w:t>外部提供包括：</w:t>
            </w:r>
            <w:r>
              <w:rPr>
                <w:rFonts w:hint="eastAsia"/>
              </w:rPr>
              <w:sym w:font="Wingdings" w:char="00A8"/>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FE"/>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产品储存</w:t>
            </w:r>
          </w:p>
          <w:p>
            <w:pPr>
              <w:jc w:val="left"/>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tc>
        <w:tc>
          <w:tcPr>
            <w:tcW w:w="8748" w:type="dxa"/>
          </w:tcPr>
          <w:p>
            <w:pPr>
              <w:jc w:val="left"/>
            </w:pPr>
            <w:r>
              <w:rPr>
                <w:rFonts w:hint="eastAsia"/>
              </w:rPr>
              <w:t>组织的生产和服务提供流程图（见第三条款），</w:t>
            </w:r>
          </w:p>
          <w:p>
            <w:pPr>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8"/>
              <w:gridCol w:w="293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Pr>
                <w:p>
                  <w:pPr>
                    <w:jc w:val="left"/>
                  </w:pPr>
                  <w:r>
                    <w:rPr>
                      <w:rFonts w:hint="eastAsia"/>
                    </w:rPr>
                    <w:t>产品/服务名称</w:t>
                  </w:r>
                </w:p>
              </w:tc>
              <w:tc>
                <w:tcPr>
                  <w:tcW w:w="293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关键过程</w:t>
                  </w:r>
                </w:p>
              </w:tc>
              <w:tc>
                <w:tcPr>
                  <w:tcW w:w="3265"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Pr>
                <w:p>
                  <w:pPr>
                    <w:jc w:val="left"/>
                  </w:pPr>
                  <w:r>
                    <w:rPr>
                      <w:sz w:val="20"/>
                    </w:rPr>
                    <w:t>语言翻译服务；</w:t>
                  </w:r>
                </w:p>
              </w:tc>
              <w:tc>
                <w:tcPr>
                  <w:tcW w:w="293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复核</w:t>
                  </w:r>
                </w:p>
              </w:tc>
              <w:tc>
                <w:tcPr>
                  <w:tcW w:w="3265"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按照流程认证检查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Pr>
                <w:p>
                  <w:pPr>
                    <w:jc w:val="left"/>
                  </w:pPr>
                  <w:r>
                    <w:rPr>
                      <w:sz w:val="20"/>
                    </w:rPr>
                    <w:t>计算机加密软件及辅助设备的销售</w:t>
                  </w:r>
                </w:p>
              </w:tc>
              <w:tc>
                <w:tcPr>
                  <w:tcW w:w="2939"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销售</w:t>
                  </w:r>
                </w:p>
              </w:tc>
              <w:tc>
                <w:tcPr>
                  <w:tcW w:w="3265"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发货前检查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Pr>
                <w:p>
                  <w:pPr>
                    <w:jc w:val="left"/>
                  </w:pPr>
                </w:p>
              </w:tc>
              <w:tc>
                <w:tcPr>
                  <w:tcW w:w="2939" w:type="dxa"/>
                </w:tcPr>
                <w:p>
                  <w:pPr>
                    <w:jc w:val="left"/>
                  </w:pPr>
                </w:p>
              </w:tc>
              <w:tc>
                <w:tcPr>
                  <w:tcW w:w="3265" w:type="dxa"/>
                </w:tcPr>
                <w:p>
                  <w:pPr>
                    <w:jc w:val="left"/>
                    <w:rPr>
                      <w:color w:val="000000" w:themeColor="text1"/>
                      <w14:textFill>
                        <w14:solidFill>
                          <w14:schemeClr w14:val="tx1"/>
                        </w14:solidFill>
                      </w14:textFill>
                    </w:rPr>
                  </w:pPr>
                </w:p>
              </w:tc>
            </w:tr>
          </w:tbl>
          <w:p>
            <w:pPr>
              <w:jc w:val="left"/>
            </w:pPr>
          </w:p>
          <w:p>
            <w:pPr>
              <w:jc w:val="left"/>
            </w:pPr>
            <w:r>
              <w:rPr>
                <w:rFonts w:hint="eastAsia"/>
              </w:rPr>
              <w:t>需要确认的过程：</w:t>
            </w:r>
            <w:r>
              <w:rPr>
                <w:rFonts w:hint="eastAsia"/>
                <w:u w:val="single"/>
              </w:rPr>
              <w:t xml:space="preserve">  翻译、服务提供             </w:t>
            </w:r>
            <w:r>
              <w:rPr>
                <w:rFonts w:hint="eastAsia"/>
              </w:rPr>
              <w:t xml:space="preserve"> ，</w:t>
            </w:r>
          </w:p>
          <w:p>
            <w:pPr>
              <w:jc w:val="left"/>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jc w:val="left"/>
            </w:pPr>
          </w:p>
          <w:p>
            <w:pPr>
              <w:jc w:val="left"/>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tc>
        <w:tc>
          <w:tcPr>
            <w:tcW w:w="8748" w:type="dxa"/>
          </w:tcPr>
          <w:p>
            <w:pPr>
              <w:jc w:val="left"/>
            </w:pPr>
            <w:r>
              <w:rPr>
                <w:rFonts w:hint="eastAsia"/>
              </w:rPr>
              <w:t>组织在生产和服务提供的整个过程中对产品和监视和测量状态进行标识和追溯。</w:t>
            </w:r>
          </w:p>
          <w:p>
            <w:pPr>
              <w:jc w:val="left"/>
            </w:pPr>
            <w:r>
              <w:rPr>
                <w:rFonts w:hint="eastAsia"/>
              </w:rPr>
              <w:t>采用的标识方式：</w:t>
            </w:r>
            <w:r>
              <w:rPr>
                <w:rFonts w:hint="eastAsia"/>
              </w:rPr>
              <w:sym w:font="Wingdings" w:char="00A8"/>
            </w:r>
            <w:r>
              <w:rPr>
                <w:rFonts w:hint="eastAsia"/>
              </w:rPr>
              <w:t xml:space="preserve">标签 </w:t>
            </w:r>
            <w:r>
              <w:rPr>
                <w:rFonts w:hint="eastAsia"/>
              </w:rPr>
              <w:sym w:font="Wingdings" w:char="00A8"/>
            </w:r>
            <w:r>
              <w:rPr>
                <w:rFonts w:hint="eastAsia"/>
              </w:rPr>
              <w:t xml:space="preserve">标牌 </w:t>
            </w:r>
            <w:r>
              <w:rPr>
                <w:rFonts w:hint="eastAsia"/>
              </w:rPr>
              <w:sym w:font="Wingdings" w:char="00A8"/>
            </w:r>
            <w:r>
              <w:rPr>
                <w:rFonts w:hint="eastAsia"/>
              </w:rPr>
              <w:t xml:space="preserve">区域 </w:t>
            </w:r>
            <w:r>
              <w:rPr>
                <w:rFonts w:hint="eastAsia"/>
              </w:rPr>
              <w:sym w:font="Wingdings" w:char="00A8"/>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FE"/>
            </w:r>
            <w:r>
              <w:rPr>
                <w:rFonts w:hint="eastAsia"/>
              </w:rPr>
              <w:t>其他（项目号）</w:t>
            </w:r>
          </w:p>
          <w:p>
            <w:pPr>
              <w:jc w:val="left"/>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tc>
        <w:tc>
          <w:tcPr>
            <w:tcW w:w="8748" w:type="dxa"/>
          </w:tcPr>
          <w:p>
            <w:r>
              <w:rPr>
                <w:rFonts w:hint="eastAsia"/>
              </w:rPr>
              <w:t>组织爱护在组织控制下或使用顾客或外部供方的财产。</w:t>
            </w:r>
          </w:p>
          <w:p>
            <w:r>
              <w:rPr>
                <w:rFonts w:hint="eastAsia"/>
              </w:rPr>
              <w:t>目前的顾客或外部供方财产包括：</w:t>
            </w:r>
          </w:p>
          <w:p>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FE"/>
            </w:r>
            <w:r>
              <w:rPr>
                <w:rFonts w:hint="eastAsia"/>
              </w:rPr>
              <w:t>其他（稿件）</w:t>
            </w:r>
          </w:p>
          <w:p>
            <w:pPr>
              <w:jc w:val="left"/>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tc>
        <w:tc>
          <w:tcPr>
            <w:tcW w:w="8748" w:type="dxa"/>
          </w:tcPr>
          <w:p>
            <w:r>
              <w:rPr>
                <w:rFonts w:hint="eastAsia"/>
              </w:rPr>
              <w:t xml:space="preserve">组织应在生产和服务提供期间对输出进行必要防护，以确保符合要求。 </w:t>
            </w:r>
          </w:p>
          <w:p>
            <w:r>
              <w:rPr>
                <w:rFonts w:hint="eastAsia"/>
              </w:rPr>
              <w:t>可包括标识、处置、污染控制、包装、储存、传输或运输以及保护。</w:t>
            </w:r>
          </w:p>
          <w:p>
            <w:pPr>
              <w:jc w:val="left"/>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tc>
        <w:tc>
          <w:tcPr>
            <w:tcW w:w="8748" w:type="dxa"/>
          </w:tcPr>
          <w:p>
            <w:r>
              <w:rPr>
                <w:rFonts w:hint="eastAsia"/>
              </w:rPr>
              <w:t xml:space="preserve">组织应满足与产品和服务相关的交付后活动的要求。 </w:t>
            </w:r>
          </w:p>
          <w:p>
            <w:r>
              <w:rPr>
                <w:rFonts w:hint="eastAsia"/>
              </w:rPr>
              <w:t>目前交付后活动：</w:t>
            </w:r>
            <w:r>
              <w:rPr>
                <w:rFonts w:hint="eastAsia"/>
              </w:rPr>
              <w:sym w:font="Wingdings" w:char="00A8"/>
            </w:r>
            <w:r>
              <w:rPr>
                <w:rFonts w:hint="eastAsia"/>
              </w:rPr>
              <w:t xml:space="preserve">三包 </w:t>
            </w:r>
            <w:r>
              <w:rPr>
                <w:rFonts w:hint="eastAsia"/>
              </w:rPr>
              <w:sym w:font="Wingdings" w:char="00A8"/>
            </w:r>
            <w:r>
              <w:rPr>
                <w:rFonts w:hint="eastAsia"/>
              </w:rPr>
              <w:t>维修</w:t>
            </w:r>
            <w:r>
              <w:rPr>
                <w:rFonts w:hint="eastAsia"/>
                <w:szCs w:val="20"/>
              </w:rPr>
              <w:t xml:space="preserve"> </w:t>
            </w:r>
            <w:r>
              <w:rPr>
                <w:rFonts w:hint="eastAsia"/>
                <w:szCs w:val="20"/>
              </w:rPr>
              <w:sym w:font="Wingdings" w:char="00FE"/>
            </w:r>
            <w:r>
              <w:rPr>
                <w:rFonts w:hint="eastAsia"/>
                <w:szCs w:val="20"/>
              </w:rPr>
              <w:t xml:space="preserve">安装  </w:t>
            </w:r>
            <w:r>
              <w:rPr>
                <w:rFonts w:hint="eastAsia"/>
                <w:szCs w:val="20"/>
              </w:rPr>
              <w:sym w:font="Wingdings" w:char="00FE"/>
            </w:r>
            <w:r>
              <w:rPr>
                <w:rFonts w:hint="eastAsia"/>
                <w:szCs w:val="20"/>
              </w:rPr>
              <w:t xml:space="preserve">调试 </w:t>
            </w:r>
            <w:r>
              <w:rPr>
                <w:rFonts w:hint="eastAsia"/>
                <w:szCs w:val="20"/>
              </w:rPr>
              <w:sym w:font="Wingdings" w:char="00FE"/>
            </w:r>
            <w:r>
              <w:rPr>
                <w:rFonts w:hint="eastAsia"/>
                <w:szCs w:val="20"/>
              </w:rPr>
              <w:t>维修</w:t>
            </w:r>
            <w:r>
              <w:rPr>
                <w:rFonts w:hint="eastAsia"/>
              </w:rPr>
              <w:t xml:space="preserve"> </w:t>
            </w:r>
            <w:r>
              <w:rPr>
                <w:rFonts w:hint="eastAsia"/>
              </w:rPr>
              <w:sym w:font="Wingdings" w:char="00FE"/>
            </w:r>
            <w:r>
              <w:rPr>
                <w:rFonts w:hint="eastAsia"/>
              </w:rPr>
              <w:t xml:space="preserve">赔偿 </w:t>
            </w:r>
            <w:r>
              <w:rPr>
                <w:rFonts w:hint="eastAsia"/>
              </w:rPr>
              <w:sym w:font="Wingdings" w:char="00FE"/>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p>
          <w:p>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tc>
        <w:tc>
          <w:tcPr>
            <w:tcW w:w="8748" w:type="dxa"/>
          </w:tcPr>
          <w:p>
            <w:r>
              <w:rPr>
                <w:rFonts w:hint="eastAsia"/>
              </w:rPr>
              <w:t xml:space="preserve">组织对生产和服务提供的更改进行必要的评审和控制，以确保持续地符合要求。 </w:t>
            </w:r>
          </w:p>
          <w:p>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未变更</w:t>
            </w:r>
          </w:p>
          <w:p>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tc>
        <w:tc>
          <w:tcPr>
            <w:tcW w:w="8748" w:type="dxa"/>
          </w:tcPr>
          <w:p>
            <w:r>
              <w:rPr>
                <w:rFonts w:hint="eastAsia"/>
              </w:rPr>
              <w:t xml:space="preserve">组织在适当阶段实施策划的安排，以验证产品和服务的要求已得到满足。 </w:t>
            </w:r>
          </w:p>
          <w:p>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 xml:space="preserve">最终检验 </w:t>
            </w:r>
            <w:r>
              <w:rPr>
                <w:rFonts w:hint="eastAsia"/>
              </w:rPr>
              <w:sym w:font="Wingdings" w:char="00A8"/>
            </w:r>
            <w:r>
              <w:rPr>
                <w:rFonts w:hint="eastAsia"/>
              </w:rPr>
              <w:t xml:space="preserve">型式检验 </w:t>
            </w:r>
            <w:r>
              <w:rPr>
                <w:rFonts w:hint="eastAsia"/>
              </w:rPr>
              <w:sym w:font="Wingdings" w:char="00A8"/>
            </w:r>
            <w:r>
              <w:rPr>
                <w:rFonts w:hint="eastAsia"/>
              </w:rPr>
              <w:t>其他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《型式检验报告》，如：</w:t>
            </w:r>
            <w:r>
              <w:rPr>
                <w:rFonts w:hint="eastAsia"/>
                <w:color w:val="000000" w:themeColor="text1"/>
                <w:u w:val="single"/>
                <w14:textFill>
                  <w14:solidFill>
                    <w14:schemeClr w14:val="tx1"/>
                  </w14:solidFill>
                </w14:textFill>
              </w:rPr>
              <w:t xml:space="preserve">    不适用                            </w:t>
            </w:r>
          </w:p>
          <w:p>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tc>
        <w:tc>
          <w:tcPr>
            <w:tcW w:w="8748" w:type="dxa"/>
          </w:tcPr>
          <w:p>
            <w:r>
              <w:rPr>
                <w:rFonts w:hint="eastAsia"/>
              </w:rPr>
              <w:t>组织确保对不符合要求的输出进行识别和控制，以防止非预期的使用或交付。</w:t>
            </w:r>
          </w:p>
          <w:p>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r>
              <w:rPr>
                <w:rFonts w:hint="eastAsia"/>
              </w:rPr>
              <w:t>绩效评价</w:t>
            </w:r>
          </w:p>
        </w:tc>
        <w:tc>
          <w:tcPr>
            <w:tcW w:w="8748" w:type="dxa"/>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
              <w:rPr>
                <w:rFonts w:hint="eastAsia"/>
              </w:rPr>
              <w:t>组织已分析和评价通过监视和测量获得的适当的数据和信息。</w:t>
            </w:r>
          </w:p>
          <w:p>
            <w:r>
              <w:rPr>
                <w:rFonts w:hint="eastAsia"/>
              </w:rPr>
              <w:t>组织监视了顾客对其需求和期望已得到满足的程度的感受，调查方式：</w:t>
            </w:r>
          </w:p>
          <w:p>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A8"/>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FE"/>
            </w:r>
            <w:r>
              <w:rPr>
                <w:rFonts w:hint="eastAsia"/>
              </w:rPr>
              <w:t xml:space="preserve">顾客赞扬 </w:t>
            </w:r>
          </w:p>
          <w:p>
            <w:r>
              <w:rPr>
                <w:rFonts w:hint="eastAsia"/>
              </w:rPr>
              <w:sym w:font="Wingdings" w:char="00FE"/>
            </w:r>
            <w:r>
              <w:rPr>
                <w:rFonts w:hint="eastAsia"/>
              </w:rPr>
              <w:t>担保索赔和</w:t>
            </w:r>
            <w:r>
              <w:rPr>
                <w:rFonts w:hint="eastAsia"/>
              </w:rPr>
              <w:sym w:font="Wingdings" w:char="00A8"/>
            </w:r>
            <w:r>
              <w:rPr>
                <w:rFonts w:hint="eastAsia"/>
              </w:rPr>
              <w:t>经销商报告。</w:t>
            </w:r>
          </w:p>
          <w:p>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r>
              <w:rPr>
                <w:rFonts w:hint="eastAsia"/>
              </w:rPr>
              <w:t>组织已</w:t>
            </w:r>
            <w:r>
              <w:rPr>
                <w:rFonts w:hint="eastAsia"/>
              </w:rPr>
              <w:fldChar w:fldCharType="begin"/>
            </w:r>
            <w:r>
              <w:rPr>
                <w:rFonts w:hint="eastAsia"/>
              </w:rPr>
              <w:fldChar w:fldCharType="end"/>
            </w:r>
            <w:r>
              <w:rPr>
                <w:rFonts w:hint="eastAsia"/>
              </w:rPr>
              <w:t>通过年度策划</w:t>
            </w:r>
            <w:r>
              <w:rPr>
                <w:rFonts w:hint="eastAsia"/>
                <w:color w:val="0000FF"/>
              </w:rPr>
              <w:t>于</w:t>
            </w:r>
            <w:r>
              <w:rPr>
                <w:rFonts w:hint="eastAsia"/>
                <w:color w:val="0000FF"/>
                <w:u w:val="single"/>
                <w:lang w:val="en-US" w:eastAsia="zh-CN"/>
              </w:rPr>
              <w:t xml:space="preserve">     </w:t>
            </w:r>
            <w:r>
              <w:rPr>
                <w:rFonts w:hint="eastAsia"/>
                <w:color w:val="0000FF"/>
              </w:rPr>
              <w:t>年</w:t>
            </w:r>
            <w:r>
              <w:rPr>
                <w:rFonts w:hint="eastAsia"/>
                <w:color w:val="0000FF"/>
                <w:u w:val="single"/>
                <w:lang w:val="en-US" w:eastAsia="zh-CN"/>
              </w:rPr>
              <w:t xml:space="preserve">   </w:t>
            </w:r>
            <w:r>
              <w:rPr>
                <w:rFonts w:hint="eastAsia"/>
                <w:color w:val="0000FF"/>
                <w:u w:val="single"/>
              </w:rPr>
              <w:t xml:space="preserve"> </w:t>
            </w:r>
            <w:r>
              <w:rPr>
                <w:rFonts w:hint="eastAsia"/>
                <w:color w:val="0000FF"/>
              </w:rPr>
              <w:t>月</w:t>
            </w:r>
            <w:r>
              <w:rPr>
                <w:rFonts w:hint="eastAsia"/>
                <w:color w:val="0000FF"/>
                <w:u w:val="single"/>
              </w:rPr>
              <w:t xml:space="preserve"> </w:t>
            </w:r>
            <w:r>
              <w:rPr>
                <w:rFonts w:hint="eastAsia"/>
                <w:color w:val="0000FF"/>
                <w:u w:val="single"/>
                <w:lang w:val="en-US" w:eastAsia="zh-CN"/>
              </w:rPr>
              <w:t xml:space="preserve">    </w:t>
            </w:r>
            <w:r>
              <w:rPr>
                <w:rFonts w:hint="eastAsia"/>
                <w:color w:val="0000FF"/>
              </w:rPr>
              <w:t>日</w:t>
            </w:r>
            <w:r>
              <w:rPr>
                <w:rFonts w:hint="eastAsia"/>
              </w:rPr>
              <w:t>实施了质量管理体系内部审核，对质量管理体系的符合性和有效性进行了审核。内审发现的</w:t>
            </w:r>
            <w:r>
              <w:rPr>
                <w:rFonts w:hint="eastAsia"/>
                <w:color w:val="0000FF"/>
                <w:u w:val="single"/>
              </w:rPr>
              <w:t xml:space="preserve"> </w:t>
            </w:r>
            <w:r>
              <w:rPr>
                <w:rFonts w:hint="eastAsia"/>
                <w:color w:val="0000FF"/>
                <w:u w:val="single"/>
                <w:lang w:val="en-US" w:eastAsia="zh-CN"/>
              </w:rPr>
              <w:t xml:space="preserve">    </w:t>
            </w:r>
            <w:r>
              <w:rPr>
                <w:rFonts w:hint="eastAsia"/>
                <w:u w:val="single"/>
              </w:rPr>
              <w:t xml:space="preserve"> </w:t>
            </w:r>
            <w:r>
              <w:rPr>
                <w:rFonts w:hint="eastAsia"/>
              </w:rPr>
              <w:t>项不符合在本次审核前已完成整改。在公司内完成的这些审核是可信的。</w:t>
            </w:r>
          </w:p>
          <w:p>
            <w:pPr>
              <w:rPr>
                <w:rFonts w:hint="default" w:eastAsia="方正仿宋简体"/>
                <w:color w:val="0000FF"/>
                <w:lang w:val="en-US" w:eastAsia="zh-CN"/>
              </w:rPr>
            </w:pPr>
            <w:r>
              <w:rPr>
                <w:rFonts w:hint="eastAsia" w:ascii="方正仿宋简体" w:eastAsia="方正仿宋简体"/>
                <w:b/>
                <w:color w:val="0000FF"/>
              </w:rPr>
              <w:t>无证明表明近一年内按照G</w:t>
            </w:r>
            <w:r>
              <w:rPr>
                <w:rFonts w:ascii="方正仿宋简体" w:eastAsia="方正仿宋简体"/>
                <w:b/>
                <w:color w:val="0000FF"/>
              </w:rPr>
              <w:t>B/T19001-2016</w:t>
            </w:r>
            <w:r>
              <w:rPr>
                <w:rFonts w:hint="eastAsia" w:ascii="方正仿宋简体" w:eastAsia="方正仿宋简体"/>
                <w:b/>
                <w:color w:val="0000FF"/>
              </w:rPr>
              <w:t>标准进行了内部审核。</w:t>
            </w:r>
            <w:r>
              <w:rPr>
                <w:rFonts w:hint="eastAsia" w:ascii="方正仿宋简体" w:eastAsia="方正仿宋简体"/>
                <w:b/>
                <w:color w:val="0000FF"/>
                <w:lang w:val="en-US" w:eastAsia="zh-CN"/>
              </w:rPr>
              <w:t>见不符合报告01</w:t>
            </w:r>
          </w:p>
          <w:p>
            <w:r>
              <w:rPr>
                <w:rFonts w:hint="eastAsia"/>
              </w:rPr>
              <w:t>若是组织多场所/临时场所：（按照组织的实际情况选择）</w:t>
            </w:r>
          </w:p>
          <w:p>
            <w:r>
              <w:rPr>
                <w:rFonts w:hint="eastAsia"/>
              </w:rPr>
              <w:sym w:font="Wingdings" w:char="00A8"/>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rPr>
              <w:sym w:font="Wingdings" w:char="00A8"/>
            </w:r>
            <w:r>
              <w:rPr>
                <w:rFonts w:hint="eastAsia"/>
              </w:rPr>
              <w:t>对所有班次的现场操作已审核。</w:t>
            </w:r>
          </w:p>
          <w:p>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pPr>
              <w:rPr>
                <w:rFonts w:hint="eastAsia"/>
                <w:color w:val="0000FF"/>
              </w:rPr>
            </w:pPr>
            <w:r>
              <w:rPr>
                <w:rFonts w:hint="eastAsia"/>
              </w:rPr>
              <w:t>最高管理者已按策划的时间间隔，在</w:t>
            </w:r>
            <w:r>
              <w:rPr>
                <w:rFonts w:hint="eastAsia"/>
                <w:color w:val="0000FF"/>
                <w:u w:val="single"/>
              </w:rPr>
              <w:t xml:space="preserve"> </w:t>
            </w:r>
            <w:r>
              <w:rPr>
                <w:rFonts w:hint="eastAsia"/>
                <w:color w:val="0000FF"/>
                <w:u w:val="single"/>
                <w:lang w:val="en-US" w:eastAsia="zh-CN"/>
              </w:rPr>
              <w:t xml:space="preserve">   </w:t>
            </w:r>
            <w:r>
              <w:rPr>
                <w:rFonts w:hint="eastAsia"/>
                <w:color w:val="0000FF"/>
                <w:u w:val="single"/>
              </w:rPr>
              <w:t xml:space="preserve"> </w:t>
            </w:r>
            <w:r>
              <w:rPr>
                <w:rFonts w:hint="eastAsia"/>
                <w:color w:val="0000FF"/>
              </w:rPr>
              <w:t>年</w:t>
            </w:r>
            <w:r>
              <w:rPr>
                <w:rFonts w:hint="eastAsia"/>
                <w:color w:val="0000FF"/>
                <w:u w:val="single"/>
                <w:lang w:val="en-US" w:eastAsia="zh-CN"/>
              </w:rPr>
              <w:t xml:space="preserve">    </w:t>
            </w:r>
            <w:r>
              <w:rPr>
                <w:rFonts w:hint="eastAsia"/>
                <w:color w:val="0000FF"/>
              </w:rPr>
              <w:t>月</w:t>
            </w:r>
            <w:r>
              <w:rPr>
                <w:rFonts w:hint="eastAsia"/>
                <w:color w:val="0000FF"/>
                <w:u w:val="single"/>
                <w:lang w:val="en-US" w:eastAsia="zh-CN"/>
              </w:rPr>
              <w:t xml:space="preserve">    </w:t>
            </w:r>
            <w:r>
              <w:rPr>
                <w:rFonts w:hint="eastAsia"/>
                <w:color w:val="0000FF"/>
                <w:u w:val="single"/>
              </w:rPr>
              <w:t xml:space="preserve"> </w:t>
            </w:r>
            <w:r>
              <w:rPr>
                <w:rFonts w:hint="eastAsia"/>
                <w:color w:val="0000FF"/>
              </w:rPr>
              <w:t>日</w:t>
            </w:r>
            <w:r>
              <w:rPr>
                <w:rFonts w:hint="eastAsia"/>
              </w:rPr>
              <w:t>对组织的质量管理体系进行了评审，以确保其持续的适宜性、充分性和有效性；管理评审输入、输出均按要求提供。并对提出的改进措施进行了落实。</w:t>
            </w:r>
          </w:p>
          <w:p>
            <w:pPr>
              <w:rPr>
                <w:rFonts w:hint="default" w:eastAsia="方正仿宋简体"/>
                <w:lang w:val="en-US" w:eastAsia="zh-CN"/>
              </w:rPr>
            </w:pPr>
            <w:r>
              <w:rPr>
                <w:rFonts w:hint="eastAsia" w:ascii="方正仿宋简体" w:eastAsia="方正仿宋简体"/>
                <w:b/>
                <w:color w:val="0000FF"/>
              </w:rPr>
              <w:t>无证明表明近一年内按照G</w:t>
            </w:r>
            <w:r>
              <w:rPr>
                <w:rFonts w:ascii="方正仿宋简体" w:eastAsia="方正仿宋简体"/>
                <w:b/>
                <w:color w:val="0000FF"/>
              </w:rPr>
              <w:t>B/T19001-2016</w:t>
            </w:r>
            <w:r>
              <w:rPr>
                <w:rFonts w:hint="eastAsia" w:ascii="方正仿宋简体" w:eastAsia="方正仿宋简体"/>
                <w:b/>
                <w:color w:val="0000FF"/>
              </w:rPr>
              <w:t>标准进行了管理评审。</w:t>
            </w:r>
            <w:r>
              <w:rPr>
                <w:rFonts w:hint="eastAsia" w:ascii="方正仿宋简体" w:eastAsia="方正仿宋简体"/>
                <w:b/>
                <w:color w:val="0000FF"/>
                <w:lang w:val="en-US" w:eastAsia="zh-CN"/>
              </w:rPr>
              <w:t>见不符合报告02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r>
              <w:rPr>
                <w:rFonts w:hint="eastAsia"/>
              </w:rPr>
              <w:t>改进</w:t>
            </w:r>
          </w:p>
        </w:tc>
        <w:tc>
          <w:tcPr>
            <w:tcW w:w="8748" w:type="dxa"/>
          </w:tcPr>
          <w:p>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r>
              <w:rPr>
                <w:rFonts w:hint="eastAsia"/>
              </w:rPr>
              <w:t>组织针对质量管理体系运行中的不符合采取了有效纠正和纠正措施。针对下列方面采取了纠正措施：</w:t>
            </w:r>
          </w:p>
          <w:p>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tc>
        <w:tc>
          <w:tcPr>
            <w:tcW w:w="8748" w:type="dxa"/>
          </w:tcPr>
          <w:p>
            <w:r>
              <w:rPr>
                <w:rFonts w:hint="eastAsia"/>
              </w:rPr>
              <w:t xml:space="preserve">组织持续改进了质量管理体系的适宜性、充分性和有效性。 </w:t>
            </w:r>
          </w:p>
          <w:p>
            <w:r>
              <w:rPr>
                <w:rFonts w:hint="eastAsia"/>
              </w:rPr>
              <w:t>组织考虑分析和评价的结果以及管理评审的输出，确定了存在需求或机遇，这些需求或机遇作为持续改进的一部分加以应对。</w:t>
            </w:r>
          </w:p>
        </w:tc>
      </w:tr>
    </w:tbl>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rPr>
                <w:lang w:eastAsia="ja-JP"/>
              </w:rPr>
            </w:pPr>
            <w:r>
              <w:rPr>
                <w:rFonts w:hint="eastAsia"/>
                <w:lang w:val="en-GB"/>
              </w:rPr>
              <w:t>标准条款</w:t>
            </w:r>
          </w:p>
        </w:tc>
        <w:tc>
          <w:tcPr>
            <w:tcW w:w="649" w:type="dxa"/>
            <w:vAlign w:val="center"/>
          </w:tcPr>
          <w:p>
            <w:pPr>
              <w:rPr>
                <w:lang w:eastAsia="ja-JP"/>
              </w:rPr>
            </w:pPr>
            <w:r>
              <w:rPr>
                <w:rFonts w:hint="eastAsia"/>
              </w:rPr>
              <w:t>4.1</w:t>
            </w:r>
          </w:p>
        </w:tc>
        <w:tc>
          <w:tcPr>
            <w:tcW w:w="650" w:type="dxa"/>
            <w:vAlign w:val="center"/>
          </w:tcPr>
          <w:p>
            <w:pPr>
              <w:rPr>
                <w:lang w:eastAsia="ja-JP"/>
              </w:rPr>
            </w:pPr>
            <w:r>
              <w:rPr>
                <w:rFonts w:hint="eastAsia"/>
              </w:rPr>
              <w:t>4.2</w:t>
            </w:r>
          </w:p>
        </w:tc>
        <w:tc>
          <w:tcPr>
            <w:tcW w:w="650" w:type="dxa"/>
            <w:vAlign w:val="center"/>
          </w:tcPr>
          <w:p>
            <w:pPr>
              <w:rPr>
                <w:lang w:eastAsia="ja-JP"/>
              </w:rPr>
            </w:pPr>
            <w:r>
              <w:rPr>
                <w:rFonts w:hint="eastAsia"/>
              </w:rPr>
              <w:t>4.3</w:t>
            </w:r>
          </w:p>
        </w:tc>
        <w:tc>
          <w:tcPr>
            <w:tcW w:w="649" w:type="dxa"/>
            <w:vAlign w:val="center"/>
          </w:tcPr>
          <w:p>
            <w:pPr>
              <w:rPr>
                <w:lang w:eastAsia="ja-JP"/>
              </w:rPr>
            </w:pPr>
            <w:r>
              <w:rPr>
                <w:rFonts w:hint="eastAsia"/>
              </w:rPr>
              <w:t>4.4</w:t>
            </w:r>
          </w:p>
        </w:tc>
        <w:tc>
          <w:tcPr>
            <w:tcW w:w="650" w:type="dxa"/>
            <w:vAlign w:val="center"/>
          </w:tcPr>
          <w:p>
            <w:pPr>
              <w:rPr>
                <w:lang w:eastAsia="ja-JP"/>
              </w:rPr>
            </w:pPr>
            <w:r>
              <w:rPr>
                <w:rFonts w:hint="eastAsia"/>
              </w:rPr>
              <w:t>5.1</w:t>
            </w:r>
          </w:p>
        </w:tc>
        <w:tc>
          <w:tcPr>
            <w:tcW w:w="650" w:type="dxa"/>
            <w:vAlign w:val="center"/>
          </w:tcPr>
          <w:p>
            <w:pPr>
              <w:rPr>
                <w:lang w:eastAsia="ja-JP"/>
              </w:rPr>
            </w:pPr>
            <w:r>
              <w:rPr>
                <w:rFonts w:hint="eastAsia"/>
              </w:rPr>
              <w:t>5.2</w:t>
            </w:r>
          </w:p>
        </w:tc>
        <w:tc>
          <w:tcPr>
            <w:tcW w:w="649" w:type="dxa"/>
            <w:vAlign w:val="center"/>
          </w:tcPr>
          <w:p>
            <w:pPr>
              <w:rPr>
                <w:lang w:eastAsia="ja-JP"/>
              </w:rPr>
            </w:pPr>
            <w:r>
              <w:rPr>
                <w:rFonts w:hint="eastAsia"/>
              </w:rPr>
              <w:t>5.3</w:t>
            </w:r>
          </w:p>
        </w:tc>
        <w:tc>
          <w:tcPr>
            <w:tcW w:w="650" w:type="dxa"/>
            <w:vAlign w:val="center"/>
          </w:tcPr>
          <w:p>
            <w:pPr>
              <w:rPr>
                <w:lang w:eastAsia="ja-JP"/>
              </w:rPr>
            </w:pPr>
            <w:r>
              <w:rPr>
                <w:rFonts w:hint="eastAsia"/>
              </w:rPr>
              <w:t>6.1</w:t>
            </w:r>
          </w:p>
        </w:tc>
        <w:tc>
          <w:tcPr>
            <w:tcW w:w="650" w:type="dxa"/>
            <w:vAlign w:val="center"/>
          </w:tcPr>
          <w:p>
            <w:pPr>
              <w:rPr>
                <w:lang w:eastAsia="ja-JP"/>
              </w:rPr>
            </w:pPr>
            <w:r>
              <w:rPr>
                <w:rFonts w:hint="eastAsia"/>
              </w:rPr>
              <w:t>6.2</w:t>
            </w:r>
          </w:p>
        </w:tc>
        <w:tc>
          <w:tcPr>
            <w:tcW w:w="649" w:type="dxa"/>
            <w:vAlign w:val="center"/>
          </w:tcPr>
          <w:p>
            <w:pPr>
              <w:rPr>
                <w:lang w:eastAsia="ja-JP"/>
              </w:rPr>
            </w:pPr>
            <w:r>
              <w:rPr>
                <w:rFonts w:hint="eastAsia"/>
              </w:rPr>
              <w:t>6.3</w:t>
            </w:r>
          </w:p>
        </w:tc>
        <w:tc>
          <w:tcPr>
            <w:tcW w:w="650" w:type="dxa"/>
            <w:shd w:val="clear" w:color="auto" w:fill="BFBFBF"/>
            <w:vAlign w:val="center"/>
          </w:tcPr>
          <w:p>
            <w:pPr>
              <w:rPr>
                <w:lang w:eastAsia="ja-JP"/>
              </w:rPr>
            </w:pPr>
          </w:p>
        </w:tc>
        <w:tc>
          <w:tcPr>
            <w:tcW w:w="650" w:type="dxa"/>
            <w:shd w:val="pct25" w:color="auto" w:fill="auto"/>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rPr>
                <w:lang w:eastAsia="ja-JP"/>
              </w:rPr>
            </w:pPr>
            <w:r>
              <w:rPr>
                <w:rFonts w:hint="eastAsia"/>
                <w:lang w:val="en-GB"/>
              </w:rPr>
              <w:t>评价*)</w:t>
            </w:r>
          </w:p>
        </w:tc>
        <w:tc>
          <w:tcPr>
            <w:tcW w:w="649" w:type="dxa"/>
            <w:vAlign w:val="center"/>
          </w:tcPr>
          <w:p>
            <w:pPr>
              <w:rPr>
                <w:lang w:eastAsia="ja-JP"/>
              </w:rPr>
            </w:pPr>
            <w:r>
              <w:rPr>
                <w:rFonts w:hint="eastAsia"/>
              </w:rPr>
              <w:t>1</w:t>
            </w:r>
          </w:p>
        </w:tc>
        <w:tc>
          <w:tcPr>
            <w:tcW w:w="650" w:type="dxa"/>
          </w:tcPr>
          <w:p>
            <w:pPr>
              <w:rPr>
                <w:lang w:eastAsia="ja-JP"/>
              </w:rPr>
            </w:pPr>
            <w:r>
              <w:rPr>
                <w:rFonts w:hint="eastAsia"/>
              </w:rPr>
              <w:t>1</w:t>
            </w:r>
          </w:p>
        </w:tc>
        <w:tc>
          <w:tcPr>
            <w:tcW w:w="650" w:type="dxa"/>
            <w:vAlign w:val="center"/>
          </w:tcPr>
          <w:p>
            <w:pPr>
              <w:rPr>
                <w:lang w:eastAsia="ja-JP"/>
              </w:rPr>
            </w:pPr>
            <w:r>
              <w:rPr>
                <w:rFonts w:hint="eastAsia"/>
              </w:rPr>
              <w:t>1</w:t>
            </w:r>
          </w:p>
        </w:tc>
        <w:tc>
          <w:tcPr>
            <w:tcW w:w="649" w:type="dxa"/>
            <w:vAlign w:val="center"/>
          </w:tcPr>
          <w:p>
            <w:pPr>
              <w:rPr>
                <w:lang w:eastAsia="ja-JP"/>
              </w:rPr>
            </w:pPr>
            <w:r>
              <w:rPr>
                <w:rFonts w:hint="eastAsia"/>
              </w:rPr>
              <w:t>1</w:t>
            </w:r>
          </w:p>
        </w:tc>
        <w:tc>
          <w:tcPr>
            <w:tcW w:w="650" w:type="dxa"/>
            <w:vAlign w:val="center"/>
          </w:tcPr>
          <w:p>
            <w:pPr>
              <w:rPr>
                <w:lang w:eastAsia="ja-JP"/>
              </w:rPr>
            </w:pPr>
            <w:r>
              <w:rPr>
                <w:rFonts w:hint="eastAsia"/>
              </w:rPr>
              <w:t>1</w:t>
            </w:r>
          </w:p>
        </w:tc>
        <w:tc>
          <w:tcPr>
            <w:tcW w:w="650" w:type="dxa"/>
          </w:tcPr>
          <w:p>
            <w:pPr>
              <w:rPr>
                <w:lang w:eastAsia="ja-JP"/>
              </w:rPr>
            </w:pPr>
            <w:r>
              <w:rPr>
                <w:rFonts w:hint="eastAsia"/>
              </w:rPr>
              <w:t>1</w:t>
            </w:r>
          </w:p>
        </w:tc>
        <w:tc>
          <w:tcPr>
            <w:tcW w:w="649" w:type="dxa"/>
            <w:vAlign w:val="center"/>
          </w:tcPr>
          <w:p>
            <w:pPr>
              <w:rPr>
                <w:lang w:eastAsia="ja-JP"/>
              </w:rPr>
            </w:pPr>
            <w:r>
              <w:rPr>
                <w:rFonts w:hint="eastAsia"/>
              </w:rPr>
              <w:t>1</w:t>
            </w:r>
          </w:p>
        </w:tc>
        <w:tc>
          <w:tcPr>
            <w:tcW w:w="650" w:type="dxa"/>
            <w:vAlign w:val="center"/>
          </w:tcPr>
          <w:p>
            <w:pPr>
              <w:rPr>
                <w:lang w:eastAsia="ja-JP"/>
              </w:rPr>
            </w:pPr>
            <w:r>
              <w:rPr>
                <w:rFonts w:hint="eastAsia"/>
              </w:rPr>
              <w:t>1</w:t>
            </w:r>
          </w:p>
        </w:tc>
        <w:tc>
          <w:tcPr>
            <w:tcW w:w="650" w:type="dxa"/>
            <w:vAlign w:val="center"/>
          </w:tcPr>
          <w:p>
            <w:pPr>
              <w:rPr>
                <w:lang w:eastAsia="ja-JP"/>
              </w:rPr>
            </w:pPr>
            <w:r>
              <w:rPr>
                <w:rFonts w:hint="eastAsia"/>
              </w:rPr>
              <w:t>1</w:t>
            </w:r>
          </w:p>
        </w:tc>
        <w:tc>
          <w:tcPr>
            <w:tcW w:w="649" w:type="dxa"/>
            <w:vAlign w:val="center"/>
          </w:tcPr>
          <w:p>
            <w:pPr>
              <w:rPr>
                <w:lang w:eastAsia="ja-JP"/>
              </w:rPr>
            </w:pPr>
            <w:r>
              <w:rPr>
                <w:rFonts w:hint="eastAsia"/>
              </w:rPr>
              <w:t>1</w:t>
            </w:r>
          </w:p>
        </w:tc>
        <w:tc>
          <w:tcPr>
            <w:tcW w:w="650" w:type="dxa"/>
            <w:shd w:val="clear" w:color="auto" w:fill="BFBFBF"/>
            <w:vAlign w:val="center"/>
          </w:tcPr>
          <w:p>
            <w:pPr>
              <w:rPr>
                <w:lang w:eastAsia="ja-JP"/>
              </w:rPr>
            </w:pPr>
          </w:p>
        </w:tc>
        <w:tc>
          <w:tcPr>
            <w:tcW w:w="650" w:type="dxa"/>
            <w:shd w:val="pct25" w:color="auto" w:fill="auto"/>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r>
              <w:rPr>
                <w:rFonts w:hint="eastAsia"/>
              </w:rPr>
              <w:t>不符合数量</w:t>
            </w:r>
          </w:p>
        </w:tc>
        <w:tc>
          <w:tcPr>
            <w:tcW w:w="649" w:type="dxa"/>
            <w:vAlign w:val="center"/>
          </w:tcPr>
          <w:p>
            <w:pPr>
              <w:rPr>
                <w:lang w:eastAsia="ja-JP"/>
              </w:rPr>
            </w:pPr>
          </w:p>
        </w:tc>
        <w:tc>
          <w:tcPr>
            <w:tcW w:w="650" w:type="dxa"/>
            <w:vAlign w:val="center"/>
          </w:tcPr>
          <w:p>
            <w:pPr>
              <w:rPr>
                <w:lang w:eastAsia="ja-JP"/>
              </w:rPr>
            </w:pPr>
          </w:p>
        </w:tc>
        <w:tc>
          <w:tcPr>
            <w:tcW w:w="650" w:type="dxa"/>
            <w:vAlign w:val="center"/>
          </w:tcPr>
          <w:p>
            <w:pPr>
              <w:rPr>
                <w:lang w:eastAsia="ja-JP"/>
              </w:rPr>
            </w:pPr>
          </w:p>
        </w:tc>
        <w:tc>
          <w:tcPr>
            <w:tcW w:w="649" w:type="dxa"/>
            <w:vAlign w:val="center"/>
          </w:tcPr>
          <w:p>
            <w:pPr>
              <w:rPr>
                <w:lang w:eastAsia="ja-JP"/>
              </w:rPr>
            </w:pPr>
          </w:p>
        </w:tc>
        <w:tc>
          <w:tcPr>
            <w:tcW w:w="650" w:type="dxa"/>
            <w:vAlign w:val="center"/>
          </w:tcPr>
          <w:p>
            <w:pPr>
              <w:rPr>
                <w:lang w:eastAsia="ja-JP"/>
              </w:rPr>
            </w:pPr>
          </w:p>
        </w:tc>
        <w:tc>
          <w:tcPr>
            <w:tcW w:w="650" w:type="dxa"/>
            <w:vAlign w:val="center"/>
          </w:tcPr>
          <w:p>
            <w:pPr>
              <w:rPr>
                <w:lang w:eastAsia="ja-JP"/>
              </w:rPr>
            </w:pPr>
          </w:p>
        </w:tc>
        <w:tc>
          <w:tcPr>
            <w:tcW w:w="649" w:type="dxa"/>
            <w:vAlign w:val="center"/>
          </w:tcPr>
          <w:p>
            <w:pPr>
              <w:rPr>
                <w:lang w:eastAsia="ja-JP"/>
              </w:rPr>
            </w:pPr>
          </w:p>
        </w:tc>
        <w:tc>
          <w:tcPr>
            <w:tcW w:w="650" w:type="dxa"/>
            <w:vAlign w:val="center"/>
          </w:tcPr>
          <w:p>
            <w:pPr>
              <w:rPr>
                <w:lang w:eastAsia="ja-JP"/>
              </w:rPr>
            </w:pPr>
          </w:p>
        </w:tc>
        <w:tc>
          <w:tcPr>
            <w:tcW w:w="650" w:type="dxa"/>
            <w:vAlign w:val="center"/>
          </w:tcPr>
          <w:p>
            <w:pPr>
              <w:rPr>
                <w:lang w:eastAsia="ja-JP"/>
              </w:rPr>
            </w:pPr>
          </w:p>
        </w:tc>
        <w:tc>
          <w:tcPr>
            <w:tcW w:w="649" w:type="dxa"/>
            <w:vAlign w:val="center"/>
          </w:tcPr>
          <w:p>
            <w:pPr>
              <w:rPr>
                <w:lang w:eastAsia="ja-JP"/>
              </w:rPr>
            </w:pPr>
          </w:p>
        </w:tc>
        <w:tc>
          <w:tcPr>
            <w:tcW w:w="650" w:type="dxa"/>
            <w:shd w:val="clear" w:color="auto" w:fill="BFBFBF"/>
            <w:vAlign w:val="center"/>
          </w:tcPr>
          <w:p>
            <w:pPr>
              <w:rPr>
                <w:lang w:eastAsia="ja-JP"/>
              </w:rPr>
            </w:pPr>
          </w:p>
        </w:tc>
        <w:tc>
          <w:tcPr>
            <w:tcW w:w="650" w:type="dxa"/>
            <w:shd w:val="pct25" w:color="auto" w:fill="auto"/>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410" w:type="dxa"/>
            <w:vAlign w:val="center"/>
          </w:tcPr>
          <w:p>
            <w:pPr>
              <w:rPr>
                <w:lang w:eastAsia="ja-JP"/>
              </w:rPr>
            </w:pPr>
            <w:r>
              <w:rPr>
                <w:rFonts w:hint="eastAsia"/>
                <w:lang w:val="en-GB"/>
              </w:rPr>
              <w:t>标准条款</w:t>
            </w:r>
          </w:p>
        </w:tc>
        <w:tc>
          <w:tcPr>
            <w:tcW w:w="649" w:type="dxa"/>
            <w:vAlign w:val="center"/>
          </w:tcPr>
          <w:p>
            <w:pPr>
              <w:rPr>
                <w:lang w:eastAsia="ja-JP"/>
              </w:rPr>
            </w:pPr>
            <w:r>
              <w:rPr>
                <w:rFonts w:hint="eastAsia"/>
              </w:rPr>
              <w:t>7.1</w:t>
            </w:r>
          </w:p>
        </w:tc>
        <w:tc>
          <w:tcPr>
            <w:tcW w:w="650" w:type="dxa"/>
            <w:vAlign w:val="center"/>
          </w:tcPr>
          <w:p>
            <w:pPr>
              <w:rPr>
                <w:lang w:eastAsia="ja-JP"/>
              </w:rPr>
            </w:pPr>
            <w:r>
              <w:rPr>
                <w:rFonts w:hint="eastAsia"/>
              </w:rPr>
              <w:t>7.2</w:t>
            </w:r>
          </w:p>
        </w:tc>
        <w:tc>
          <w:tcPr>
            <w:tcW w:w="650" w:type="dxa"/>
            <w:vAlign w:val="center"/>
          </w:tcPr>
          <w:p>
            <w:pPr>
              <w:rPr>
                <w:lang w:eastAsia="ja-JP"/>
              </w:rPr>
            </w:pPr>
            <w:r>
              <w:rPr>
                <w:rFonts w:hint="eastAsia"/>
              </w:rPr>
              <w:t>7.3</w:t>
            </w:r>
          </w:p>
        </w:tc>
        <w:tc>
          <w:tcPr>
            <w:tcW w:w="649" w:type="dxa"/>
            <w:vAlign w:val="center"/>
          </w:tcPr>
          <w:p>
            <w:pPr>
              <w:rPr>
                <w:lang w:eastAsia="ja-JP"/>
              </w:rPr>
            </w:pPr>
            <w:r>
              <w:rPr>
                <w:rFonts w:hint="eastAsia"/>
              </w:rPr>
              <w:t>7.4</w:t>
            </w:r>
          </w:p>
        </w:tc>
        <w:tc>
          <w:tcPr>
            <w:tcW w:w="650" w:type="dxa"/>
            <w:vAlign w:val="center"/>
          </w:tcPr>
          <w:p>
            <w:pPr>
              <w:rPr>
                <w:lang w:eastAsia="ja-JP"/>
              </w:rPr>
            </w:pPr>
            <w:r>
              <w:rPr>
                <w:rFonts w:hint="eastAsia"/>
              </w:rPr>
              <w:t>7.5</w:t>
            </w:r>
          </w:p>
        </w:tc>
        <w:tc>
          <w:tcPr>
            <w:tcW w:w="650" w:type="dxa"/>
            <w:vAlign w:val="center"/>
          </w:tcPr>
          <w:p>
            <w:pPr>
              <w:rPr>
                <w:lang w:eastAsia="ja-JP"/>
              </w:rPr>
            </w:pPr>
            <w:r>
              <w:rPr>
                <w:rFonts w:hint="eastAsia"/>
              </w:rPr>
              <w:t>8.1</w:t>
            </w:r>
          </w:p>
        </w:tc>
        <w:tc>
          <w:tcPr>
            <w:tcW w:w="649" w:type="dxa"/>
            <w:vAlign w:val="center"/>
          </w:tcPr>
          <w:p>
            <w:pPr>
              <w:rPr>
                <w:lang w:eastAsia="ja-JP"/>
              </w:rPr>
            </w:pPr>
            <w:r>
              <w:rPr>
                <w:rFonts w:hint="eastAsia"/>
              </w:rPr>
              <w:t>8.2</w:t>
            </w:r>
          </w:p>
        </w:tc>
        <w:tc>
          <w:tcPr>
            <w:tcW w:w="650" w:type="dxa"/>
            <w:vAlign w:val="center"/>
          </w:tcPr>
          <w:p>
            <w:pPr>
              <w:rPr>
                <w:lang w:eastAsia="ja-JP"/>
              </w:rPr>
            </w:pPr>
            <w:r>
              <w:rPr>
                <w:rFonts w:hint="eastAsia"/>
              </w:rPr>
              <w:t>8.3</w:t>
            </w:r>
          </w:p>
        </w:tc>
        <w:tc>
          <w:tcPr>
            <w:tcW w:w="650" w:type="dxa"/>
            <w:vAlign w:val="center"/>
          </w:tcPr>
          <w:p>
            <w:pPr>
              <w:rPr>
                <w:lang w:eastAsia="ja-JP"/>
              </w:rPr>
            </w:pPr>
            <w:r>
              <w:rPr>
                <w:rFonts w:hint="eastAsia"/>
              </w:rPr>
              <w:t>8.4</w:t>
            </w:r>
          </w:p>
        </w:tc>
        <w:tc>
          <w:tcPr>
            <w:tcW w:w="649" w:type="dxa"/>
            <w:vAlign w:val="center"/>
          </w:tcPr>
          <w:p>
            <w:pPr>
              <w:rPr>
                <w:lang w:eastAsia="ja-JP"/>
              </w:rPr>
            </w:pPr>
            <w:r>
              <w:rPr>
                <w:rFonts w:hint="eastAsia"/>
              </w:rPr>
              <w:t>8.5</w:t>
            </w:r>
          </w:p>
        </w:tc>
        <w:tc>
          <w:tcPr>
            <w:tcW w:w="650" w:type="dxa"/>
            <w:vAlign w:val="center"/>
          </w:tcPr>
          <w:p>
            <w:pPr>
              <w:rPr>
                <w:lang w:eastAsia="ja-JP"/>
              </w:rPr>
            </w:pPr>
            <w:r>
              <w:rPr>
                <w:rFonts w:hint="eastAsia"/>
              </w:rPr>
              <w:t>8.6</w:t>
            </w:r>
          </w:p>
        </w:tc>
        <w:tc>
          <w:tcPr>
            <w:tcW w:w="650" w:type="dxa"/>
            <w:vAlign w:val="center"/>
          </w:tcPr>
          <w:p>
            <w:pPr>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rPr>
                <w:lang w:eastAsia="ja-JP"/>
              </w:rPr>
            </w:pPr>
            <w:r>
              <w:rPr>
                <w:rFonts w:hint="eastAsia"/>
                <w:lang w:val="en-GB"/>
              </w:rPr>
              <w:t>评价*)</w:t>
            </w:r>
          </w:p>
        </w:tc>
        <w:tc>
          <w:tcPr>
            <w:tcW w:w="649" w:type="dxa"/>
            <w:vAlign w:val="center"/>
          </w:tcPr>
          <w:p>
            <w:pPr>
              <w:rPr>
                <w:rFonts w:hint="eastAsia" w:eastAsia="宋体"/>
                <w:lang w:val="en-US" w:eastAsia="zh-CN"/>
              </w:rPr>
            </w:pPr>
            <w:r>
              <w:rPr>
                <w:rFonts w:hint="eastAsia"/>
                <w:lang w:val="en-US" w:eastAsia="zh-CN"/>
              </w:rPr>
              <w:t>1</w:t>
            </w:r>
          </w:p>
        </w:tc>
        <w:tc>
          <w:tcPr>
            <w:tcW w:w="650" w:type="dxa"/>
            <w:vAlign w:val="center"/>
          </w:tcPr>
          <w:p>
            <w:pPr>
              <w:rPr>
                <w:rFonts w:ascii="Times New Roman" w:hAnsi="Times New Roman" w:eastAsia="宋体" w:cs="Times New Roman"/>
                <w:kern w:val="2"/>
                <w:sz w:val="21"/>
                <w:szCs w:val="24"/>
                <w:lang w:val="en-US" w:eastAsia="ja-JP" w:bidi="ar-SA"/>
              </w:rPr>
            </w:pPr>
            <w:r>
              <w:rPr>
                <w:rFonts w:hint="eastAsia"/>
              </w:rPr>
              <w:t>3</w:t>
            </w:r>
          </w:p>
        </w:tc>
        <w:tc>
          <w:tcPr>
            <w:tcW w:w="650" w:type="dxa"/>
            <w:vAlign w:val="center"/>
          </w:tcPr>
          <w:p>
            <w:pPr>
              <w:rPr>
                <w:lang w:eastAsia="ja-JP"/>
              </w:rPr>
            </w:pPr>
            <w:r>
              <w:rPr>
                <w:rFonts w:hint="eastAsia"/>
              </w:rPr>
              <w:t>1</w:t>
            </w:r>
          </w:p>
        </w:tc>
        <w:tc>
          <w:tcPr>
            <w:tcW w:w="649" w:type="dxa"/>
            <w:vAlign w:val="center"/>
          </w:tcPr>
          <w:p>
            <w:pPr>
              <w:rPr>
                <w:lang w:eastAsia="ja-JP"/>
              </w:rPr>
            </w:pPr>
            <w:r>
              <w:rPr>
                <w:rFonts w:hint="eastAsia"/>
              </w:rPr>
              <w:t>1</w:t>
            </w:r>
          </w:p>
        </w:tc>
        <w:tc>
          <w:tcPr>
            <w:tcW w:w="650" w:type="dxa"/>
            <w:vAlign w:val="center"/>
          </w:tcPr>
          <w:p>
            <w:pPr>
              <w:rPr>
                <w:lang w:eastAsia="ja-JP"/>
              </w:rPr>
            </w:pPr>
            <w:r>
              <w:rPr>
                <w:rFonts w:hint="eastAsia"/>
              </w:rPr>
              <w:t>1</w:t>
            </w:r>
          </w:p>
        </w:tc>
        <w:tc>
          <w:tcPr>
            <w:tcW w:w="650" w:type="dxa"/>
          </w:tcPr>
          <w:p>
            <w:pPr>
              <w:rPr>
                <w:lang w:eastAsia="ja-JP"/>
              </w:rPr>
            </w:pPr>
            <w:r>
              <w:rPr>
                <w:rFonts w:hint="eastAsia"/>
              </w:rPr>
              <w:t>1</w:t>
            </w:r>
          </w:p>
        </w:tc>
        <w:tc>
          <w:tcPr>
            <w:tcW w:w="649" w:type="dxa"/>
            <w:vAlign w:val="center"/>
          </w:tcPr>
          <w:p>
            <w:pPr>
              <w:rPr>
                <w:lang w:eastAsia="ja-JP"/>
              </w:rPr>
            </w:pPr>
            <w:r>
              <w:rPr>
                <w:rFonts w:hint="eastAsia"/>
              </w:rPr>
              <w:t>1</w:t>
            </w:r>
          </w:p>
        </w:tc>
        <w:tc>
          <w:tcPr>
            <w:tcW w:w="650" w:type="dxa"/>
            <w:vAlign w:val="center"/>
          </w:tcPr>
          <w:p>
            <w:pPr>
              <w:rPr>
                <w:lang w:eastAsia="ja-JP"/>
              </w:rPr>
            </w:pPr>
            <w:r>
              <w:rPr>
                <w:rFonts w:hint="eastAsia"/>
              </w:rPr>
              <w:t>1</w:t>
            </w:r>
          </w:p>
        </w:tc>
        <w:tc>
          <w:tcPr>
            <w:tcW w:w="650" w:type="dxa"/>
            <w:vAlign w:val="center"/>
          </w:tcPr>
          <w:p>
            <w:pPr>
              <w:rPr>
                <w:lang w:eastAsia="ja-JP"/>
              </w:rPr>
            </w:pPr>
            <w:r>
              <w:rPr>
                <w:rFonts w:hint="eastAsia"/>
              </w:rPr>
              <w:t>1</w:t>
            </w:r>
          </w:p>
        </w:tc>
        <w:tc>
          <w:tcPr>
            <w:tcW w:w="649" w:type="dxa"/>
          </w:tcPr>
          <w:p>
            <w:pPr>
              <w:rPr>
                <w:lang w:eastAsia="ja-JP"/>
              </w:rPr>
            </w:pPr>
            <w:r>
              <w:rPr>
                <w:rFonts w:hint="eastAsia"/>
              </w:rPr>
              <w:t>1</w:t>
            </w:r>
          </w:p>
        </w:tc>
        <w:tc>
          <w:tcPr>
            <w:tcW w:w="650" w:type="dxa"/>
            <w:vAlign w:val="center"/>
          </w:tcPr>
          <w:p>
            <w:pPr>
              <w:rPr>
                <w:lang w:eastAsia="ja-JP"/>
              </w:rPr>
            </w:pPr>
            <w:r>
              <w:rPr>
                <w:rFonts w:hint="eastAsia"/>
              </w:rPr>
              <w:t>1</w:t>
            </w:r>
          </w:p>
        </w:tc>
        <w:tc>
          <w:tcPr>
            <w:tcW w:w="650" w:type="dxa"/>
            <w:vAlign w:val="center"/>
          </w:tcPr>
          <w:p>
            <w:pPr>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rPr>
                <w:lang w:eastAsia="ja-JP"/>
              </w:rPr>
            </w:pPr>
            <w:r>
              <w:rPr>
                <w:rFonts w:hint="eastAsia"/>
              </w:rPr>
              <w:t>不符合数量</w:t>
            </w:r>
          </w:p>
        </w:tc>
        <w:tc>
          <w:tcPr>
            <w:tcW w:w="649" w:type="dxa"/>
            <w:vAlign w:val="center"/>
          </w:tcPr>
          <w:p>
            <w:pPr>
              <w:rPr>
                <w:rFonts w:hint="default" w:eastAsia="宋体"/>
                <w:lang w:val="en-US" w:eastAsia="zh-CN"/>
              </w:rPr>
            </w:pPr>
          </w:p>
        </w:tc>
        <w:tc>
          <w:tcPr>
            <w:tcW w:w="65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03</w:t>
            </w:r>
          </w:p>
        </w:tc>
        <w:tc>
          <w:tcPr>
            <w:tcW w:w="650" w:type="dxa"/>
            <w:vAlign w:val="center"/>
          </w:tcPr>
          <w:p>
            <w:pPr>
              <w:rPr>
                <w:lang w:eastAsia="ja-JP"/>
              </w:rPr>
            </w:pPr>
          </w:p>
        </w:tc>
        <w:tc>
          <w:tcPr>
            <w:tcW w:w="649" w:type="dxa"/>
            <w:vAlign w:val="center"/>
          </w:tcPr>
          <w:p>
            <w:pPr>
              <w:rPr>
                <w:lang w:eastAsia="ja-JP"/>
              </w:rPr>
            </w:pPr>
          </w:p>
        </w:tc>
        <w:tc>
          <w:tcPr>
            <w:tcW w:w="650" w:type="dxa"/>
            <w:vAlign w:val="center"/>
          </w:tcPr>
          <w:p>
            <w:pPr>
              <w:rPr>
                <w:lang w:eastAsia="ja-JP"/>
              </w:rPr>
            </w:pPr>
          </w:p>
        </w:tc>
        <w:tc>
          <w:tcPr>
            <w:tcW w:w="650" w:type="dxa"/>
            <w:vAlign w:val="center"/>
          </w:tcPr>
          <w:p>
            <w:pPr>
              <w:rPr>
                <w:lang w:eastAsia="ja-JP"/>
              </w:rPr>
            </w:pPr>
          </w:p>
        </w:tc>
        <w:tc>
          <w:tcPr>
            <w:tcW w:w="649" w:type="dxa"/>
            <w:tcBorders>
              <w:bottom w:val="single" w:color="auto" w:sz="4" w:space="0"/>
            </w:tcBorders>
            <w:vAlign w:val="center"/>
          </w:tcPr>
          <w:p>
            <w:pPr>
              <w:rPr>
                <w:lang w:eastAsia="ja-JP"/>
              </w:rPr>
            </w:pPr>
          </w:p>
        </w:tc>
        <w:tc>
          <w:tcPr>
            <w:tcW w:w="650" w:type="dxa"/>
            <w:tcBorders>
              <w:bottom w:val="single" w:color="auto" w:sz="4" w:space="0"/>
            </w:tcBorders>
            <w:vAlign w:val="center"/>
          </w:tcPr>
          <w:p>
            <w:pPr>
              <w:rPr>
                <w:lang w:eastAsia="ja-JP"/>
              </w:rPr>
            </w:pPr>
          </w:p>
        </w:tc>
        <w:tc>
          <w:tcPr>
            <w:tcW w:w="650" w:type="dxa"/>
            <w:tcBorders>
              <w:bottom w:val="single" w:color="auto" w:sz="4" w:space="0"/>
            </w:tcBorders>
            <w:vAlign w:val="center"/>
          </w:tcPr>
          <w:p>
            <w:pPr>
              <w:rPr>
                <w:lang w:eastAsia="ja-JP"/>
              </w:rPr>
            </w:pPr>
          </w:p>
        </w:tc>
        <w:tc>
          <w:tcPr>
            <w:tcW w:w="649" w:type="dxa"/>
            <w:tcBorders>
              <w:bottom w:val="single" w:color="auto" w:sz="4" w:space="0"/>
            </w:tcBorders>
            <w:vAlign w:val="center"/>
          </w:tcPr>
          <w:p>
            <w:pPr>
              <w:rPr>
                <w:lang w:eastAsia="ja-JP"/>
              </w:rPr>
            </w:pPr>
          </w:p>
        </w:tc>
        <w:tc>
          <w:tcPr>
            <w:tcW w:w="650" w:type="dxa"/>
            <w:tcBorders>
              <w:bottom w:val="single" w:color="auto" w:sz="4" w:space="0"/>
            </w:tcBorders>
            <w:vAlign w:val="center"/>
          </w:tcPr>
          <w:p>
            <w:pPr>
              <w:rPr>
                <w:lang w:eastAsia="ja-JP"/>
              </w:rPr>
            </w:pPr>
          </w:p>
        </w:tc>
        <w:tc>
          <w:tcPr>
            <w:tcW w:w="650" w:type="dxa"/>
            <w:tcBorders>
              <w:bottom w:val="single" w:color="auto" w:sz="4" w:space="0"/>
            </w:tcBorders>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rPr>
                <w:lang w:eastAsia="ja-JP"/>
              </w:rPr>
            </w:pPr>
            <w:r>
              <w:rPr>
                <w:rFonts w:hint="eastAsia"/>
                <w:lang w:val="en-GB"/>
              </w:rPr>
              <w:t>标准条款</w:t>
            </w:r>
          </w:p>
        </w:tc>
        <w:tc>
          <w:tcPr>
            <w:tcW w:w="649" w:type="dxa"/>
            <w:vAlign w:val="center"/>
          </w:tcPr>
          <w:p>
            <w:pPr>
              <w:rPr>
                <w:lang w:eastAsia="ja-JP"/>
              </w:rPr>
            </w:pPr>
            <w:r>
              <w:rPr>
                <w:rFonts w:hint="eastAsia"/>
              </w:rPr>
              <w:t>9.1</w:t>
            </w:r>
          </w:p>
        </w:tc>
        <w:tc>
          <w:tcPr>
            <w:tcW w:w="650" w:type="dxa"/>
            <w:vAlign w:val="center"/>
          </w:tcPr>
          <w:p>
            <w:pPr>
              <w:rPr>
                <w:lang w:eastAsia="ja-JP"/>
              </w:rPr>
            </w:pPr>
            <w:r>
              <w:rPr>
                <w:rFonts w:hint="eastAsia"/>
              </w:rPr>
              <w:t>9.2</w:t>
            </w:r>
          </w:p>
        </w:tc>
        <w:tc>
          <w:tcPr>
            <w:tcW w:w="650" w:type="dxa"/>
            <w:vAlign w:val="center"/>
          </w:tcPr>
          <w:p>
            <w:pPr>
              <w:rPr>
                <w:lang w:eastAsia="ja-JP"/>
              </w:rPr>
            </w:pPr>
            <w:r>
              <w:rPr>
                <w:rFonts w:hint="eastAsia"/>
              </w:rPr>
              <w:t>9.3</w:t>
            </w:r>
          </w:p>
        </w:tc>
        <w:tc>
          <w:tcPr>
            <w:tcW w:w="649" w:type="dxa"/>
            <w:vAlign w:val="center"/>
          </w:tcPr>
          <w:p>
            <w:pPr>
              <w:rPr>
                <w:lang w:eastAsia="ja-JP"/>
              </w:rPr>
            </w:pPr>
            <w:r>
              <w:rPr>
                <w:rFonts w:hint="eastAsia"/>
              </w:rPr>
              <w:t>10.1</w:t>
            </w:r>
          </w:p>
        </w:tc>
        <w:tc>
          <w:tcPr>
            <w:tcW w:w="650" w:type="dxa"/>
            <w:vAlign w:val="center"/>
          </w:tcPr>
          <w:p>
            <w:pPr>
              <w:rPr>
                <w:lang w:eastAsia="ja-JP"/>
              </w:rPr>
            </w:pPr>
            <w:r>
              <w:rPr>
                <w:rFonts w:hint="eastAsia"/>
              </w:rPr>
              <w:t>10.2</w:t>
            </w:r>
          </w:p>
        </w:tc>
        <w:tc>
          <w:tcPr>
            <w:tcW w:w="650" w:type="dxa"/>
            <w:vAlign w:val="center"/>
          </w:tcPr>
          <w:p>
            <w:pPr>
              <w:rPr>
                <w:lang w:eastAsia="ja-JP"/>
              </w:rPr>
            </w:pPr>
            <w:r>
              <w:rPr>
                <w:rFonts w:hint="eastAsia"/>
              </w:rPr>
              <w:t>10.3</w:t>
            </w:r>
          </w:p>
        </w:tc>
        <w:tc>
          <w:tcPr>
            <w:tcW w:w="649" w:type="dxa"/>
            <w:shd w:val="pct25" w:color="auto" w:fill="auto"/>
            <w:vAlign w:val="center"/>
          </w:tcPr>
          <w:p>
            <w:pPr>
              <w:rPr>
                <w:lang w:eastAsia="ja-JP"/>
              </w:rPr>
            </w:pPr>
          </w:p>
        </w:tc>
        <w:tc>
          <w:tcPr>
            <w:tcW w:w="650" w:type="dxa"/>
            <w:shd w:val="pct25" w:color="auto" w:fill="auto"/>
            <w:vAlign w:val="center"/>
          </w:tcPr>
          <w:p>
            <w:pPr>
              <w:rPr>
                <w:lang w:eastAsia="ja-JP"/>
              </w:rPr>
            </w:pPr>
          </w:p>
        </w:tc>
        <w:tc>
          <w:tcPr>
            <w:tcW w:w="650" w:type="dxa"/>
            <w:shd w:val="pct25" w:color="auto" w:fill="auto"/>
            <w:vAlign w:val="center"/>
          </w:tcPr>
          <w:p>
            <w:pPr>
              <w:rPr>
                <w:lang w:eastAsia="ja-JP"/>
              </w:rPr>
            </w:pPr>
          </w:p>
        </w:tc>
        <w:tc>
          <w:tcPr>
            <w:tcW w:w="649" w:type="dxa"/>
            <w:shd w:val="pct25" w:color="auto" w:fill="auto"/>
            <w:vAlign w:val="center"/>
          </w:tcPr>
          <w:p>
            <w:pPr>
              <w:rPr>
                <w:lang w:eastAsia="ja-JP"/>
              </w:rPr>
            </w:pPr>
          </w:p>
        </w:tc>
        <w:tc>
          <w:tcPr>
            <w:tcW w:w="650" w:type="dxa"/>
            <w:shd w:val="pct25" w:color="auto" w:fill="auto"/>
            <w:vAlign w:val="center"/>
          </w:tcPr>
          <w:p>
            <w:pPr>
              <w:rPr>
                <w:lang w:eastAsia="ja-JP"/>
              </w:rPr>
            </w:pPr>
          </w:p>
        </w:tc>
        <w:tc>
          <w:tcPr>
            <w:tcW w:w="650" w:type="dxa"/>
            <w:shd w:val="pct25" w:color="auto" w:fill="auto"/>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rPr>
                <w:lang w:eastAsia="ja-JP"/>
              </w:rPr>
            </w:pPr>
            <w:r>
              <w:rPr>
                <w:rFonts w:hint="eastAsia"/>
                <w:lang w:val="en-GB"/>
              </w:rPr>
              <w:t>评价*)</w:t>
            </w:r>
          </w:p>
        </w:tc>
        <w:tc>
          <w:tcPr>
            <w:tcW w:w="649" w:type="dxa"/>
            <w:vAlign w:val="center"/>
          </w:tcPr>
          <w:p>
            <w:pPr>
              <w:rPr>
                <w:lang w:eastAsia="ja-JP"/>
              </w:rPr>
            </w:pPr>
            <w:r>
              <w:rPr>
                <w:rFonts w:hint="eastAsia"/>
              </w:rPr>
              <w:t>1</w:t>
            </w:r>
          </w:p>
        </w:tc>
        <w:tc>
          <w:tcPr>
            <w:tcW w:w="650" w:type="dxa"/>
          </w:tcPr>
          <w:p>
            <w:pPr>
              <w:rPr>
                <w:rFonts w:hint="eastAsia" w:eastAsia="宋体"/>
                <w:lang w:eastAsia="zh-CN"/>
              </w:rPr>
            </w:pPr>
            <w:r>
              <w:rPr>
                <w:rFonts w:hint="eastAsia"/>
                <w:lang w:val="en-US" w:eastAsia="zh-CN"/>
              </w:rPr>
              <w:t>3</w:t>
            </w:r>
          </w:p>
        </w:tc>
        <w:tc>
          <w:tcPr>
            <w:tcW w:w="650" w:type="dxa"/>
            <w:vAlign w:val="center"/>
          </w:tcPr>
          <w:p>
            <w:pPr>
              <w:rPr>
                <w:rFonts w:hint="eastAsia" w:eastAsia="宋体"/>
                <w:lang w:eastAsia="zh-CN"/>
              </w:rPr>
            </w:pPr>
            <w:r>
              <w:rPr>
                <w:rFonts w:hint="eastAsia"/>
                <w:lang w:val="en-US" w:eastAsia="zh-CN"/>
              </w:rPr>
              <w:t>3</w:t>
            </w:r>
          </w:p>
        </w:tc>
        <w:tc>
          <w:tcPr>
            <w:tcW w:w="649" w:type="dxa"/>
            <w:vAlign w:val="center"/>
          </w:tcPr>
          <w:p>
            <w:pPr>
              <w:rPr>
                <w:lang w:eastAsia="ja-JP"/>
              </w:rPr>
            </w:pPr>
            <w:r>
              <w:rPr>
                <w:rFonts w:hint="eastAsia"/>
              </w:rPr>
              <w:t>1</w:t>
            </w:r>
          </w:p>
        </w:tc>
        <w:tc>
          <w:tcPr>
            <w:tcW w:w="650" w:type="dxa"/>
            <w:vAlign w:val="center"/>
          </w:tcPr>
          <w:p>
            <w:pPr>
              <w:rPr>
                <w:lang w:eastAsia="ja-JP"/>
              </w:rPr>
            </w:pPr>
            <w:r>
              <w:rPr>
                <w:rFonts w:hint="eastAsia"/>
              </w:rPr>
              <w:t>1</w:t>
            </w:r>
          </w:p>
        </w:tc>
        <w:tc>
          <w:tcPr>
            <w:tcW w:w="650" w:type="dxa"/>
          </w:tcPr>
          <w:p>
            <w:pPr>
              <w:rPr>
                <w:lang w:eastAsia="ja-JP"/>
              </w:rPr>
            </w:pPr>
            <w:r>
              <w:rPr>
                <w:rFonts w:hint="eastAsia"/>
              </w:rPr>
              <w:t>1</w:t>
            </w:r>
          </w:p>
        </w:tc>
        <w:tc>
          <w:tcPr>
            <w:tcW w:w="649" w:type="dxa"/>
            <w:shd w:val="pct25" w:color="auto" w:fill="auto"/>
            <w:vAlign w:val="center"/>
          </w:tcPr>
          <w:p>
            <w:pPr>
              <w:rPr>
                <w:lang w:eastAsia="ja-JP"/>
              </w:rPr>
            </w:pPr>
          </w:p>
        </w:tc>
        <w:tc>
          <w:tcPr>
            <w:tcW w:w="650" w:type="dxa"/>
            <w:shd w:val="pct25" w:color="auto" w:fill="auto"/>
            <w:vAlign w:val="center"/>
          </w:tcPr>
          <w:p>
            <w:pPr>
              <w:rPr>
                <w:lang w:eastAsia="ja-JP"/>
              </w:rPr>
            </w:pPr>
          </w:p>
        </w:tc>
        <w:tc>
          <w:tcPr>
            <w:tcW w:w="650" w:type="dxa"/>
            <w:shd w:val="pct25" w:color="auto" w:fill="auto"/>
            <w:vAlign w:val="center"/>
          </w:tcPr>
          <w:p>
            <w:pPr>
              <w:rPr>
                <w:lang w:eastAsia="ja-JP"/>
              </w:rPr>
            </w:pPr>
          </w:p>
        </w:tc>
        <w:tc>
          <w:tcPr>
            <w:tcW w:w="649" w:type="dxa"/>
            <w:shd w:val="pct25" w:color="auto" w:fill="auto"/>
            <w:vAlign w:val="center"/>
          </w:tcPr>
          <w:p>
            <w:pPr>
              <w:rPr>
                <w:lang w:eastAsia="ja-JP"/>
              </w:rPr>
            </w:pPr>
          </w:p>
        </w:tc>
        <w:tc>
          <w:tcPr>
            <w:tcW w:w="650" w:type="dxa"/>
            <w:shd w:val="pct25" w:color="auto" w:fill="auto"/>
            <w:vAlign w:val="center"/>
          </w:tcPr>
          <w:p>
            <w:pPr>
              <w:rPr>
                <w:lang w:eastAsia="ja-JP"/>
              </w:rPr>
            </w:pPr>
          </w:p>
        </w:tc>
        <w:tc>
          <w:tcPr>
            <w:tcW w:w="650" w:type="dxa"/>
            <w:shd w:val="pct25" w:color="auto" w:fill="auto"/>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rPr>
                <w:lang w:eastAsia="ja-JP"/>
              </w:rPr>
            </w:pPr>
            <w:r>
              <w:rPr>
                <w:rFonts w:hint="eastAsia"/>
              </w:rPr>
              <w:t>不符合数量</w:t>
            </w:r>
          </w:p>
        </w:tc>
        <w:tc>
          <w:tcPr>
            <w:tcW w:w="649" w:type="dxa"/>
            <w:vAlign w:val="center"/>
          </w:tcPr>
          <w:p>
            <w:pPr>
              <w:rPr>
                <w:lang w:eastAsia="ja-JP"/>
              </w:rPr>
            </w:pPr>
          </w:p>
        </w:tc>
        <w:tc>
          <w:tcPr>
            <w:tcW w:w="650" w:type="dxa"/>
            <w:vAlign w:val="center"/>
          </w:tcPr>
          <w:p>
            <w:pPr>
              <w:rPr>
                <w:rFonts w:hint="default" w:eastAsia="宋体"/>
                <w:lang w:val="en-US" w:eastAsia="zh-CN"/>
              </w:rPr>
            </w:pPr>
            <w:r>
              <w:rPr>
                <w:rFonts w:hint="eastAsia"/>
                <w:lang w:val="en-US" w:eastAsia="zh-CN"/>
              </w:rPr>
              <w:t>01</w:t>
            </w:r>
          </w:p>
        </w:tc>
        <w:tc>
          <w:tcPr>
            <w:tcW w:w="650" w:type="dxa"/>
            <w:vAlign w:val="center"/>
          </w:tcPr>
          <w:p>
            <w:pPr>
              <w:rPr>
                <w:rFonts w:hint="default" w:eastAsia="宋体"/>
                <w:lang w:val="en-US" w:eastAsia="zh-CN"/>
              </w:rPr>
            </w:pPr>
            <w:r>
              <w:rPr>
                <w:rFonts w:hint="eastAsia"/>
                <w:lang w:val="en-US" w:eastAsia="zh-CN"/>
              </w:rPr>
              <w:t>02</w:t>
            </w:r>
          </w:p>
        </w:tc>
        <w:tc>
          <w:tcPr>
            <w:tcW w:w="649" w:type="dxa"/>
            <w:vAlign w:val="center"/>
          </w:tcPr>
          <w:p>
            <w:pPr>
              <w:rPr>
                <w:lang w:eastAsia="ja-JP"/>
              </w:rPr>
            </w:pPr>
          </w:p>
        </w:tc>
        <w:tc>
          <w:tcPr>
            <w:tcW w:w="650" w:type="dxa"/>
            <w:vAlign w:val="center"/>
          </w:tcPr>
          <w:p>
            <w:pPr>
              <w:rPr>
                <w:lang w:eastAsia="ja-JP"/>
              </w:rPr>
            </w:pPr>
          </w:p>
        </w:tc>
        <w:tc>
          <w:tcPr>
            <w:tcW w:w="650" w:type="dxa"/>
            <w:vAlign w:val="center"/>
          </w:tcPr>
          <w:p>
            <w:pPr>
              <w:rPr>
                <w:lang w:eastAsia="ja-JP"/>
              </w:rPr>
            </w:pPr>
          </w:p>
        </w:tc>
        <w:tc>
          <w:tcPr>
            <w:tcW w:w="649" w:type="dxa"/>
            <w:shd w:val="pct25" w:color="auto" w:fill="auto"/>
            <w:vAlign w:val="center"/>
          </w:tcPr>
          <w:p>
            <w:pPr>
              <w:rPr>
                <w:lang w:eastAsia="ja-JP"/>
              </w:rPr>
            </w:pPr>
          </w:p>
        </w:tc>
        <w:tc>
          <w:tcPr>
            <w:tcW w:w="650" w:type="dxa"/>
            <w:shd w:val="pct25" w:color="auto" w:fill="auto"/>
            <w:vAlign w:val="center"/>
          </w:tcPr>
          <w:p>
            <w:pPr>
              <w:rPr>
                <w:lang w:eastAsia="ja-JP"/>
              </w:rPr>
            </w:pPr>
          </w:p>
        </w:tc>
        <w:tc>
          <w:tcPr>
            <w:tcW w:w="650" w:type="dxa"/>
            <w:shd w:val="pct25" w:color="auto" w:fill="auto"/>
            <w:vAlign w:val="center"/>
          </w:tcPr>
          <w:p>
            <w:pPr>
              <w:rPr>
                <w:lang w:eastAsia="ja-JP"/>
              </w:rPr>
            </w:pPr>
          </w:p>
        </w:tc>
        <w:tc>
          <w:tcPr>
            <w:tcW w:w="649" w:type="dxa"/>
            <w:shd w:val="pct25" w:color="auto" w:fill="auto"/>
            <w:vAlign w:val="center"/>
          </w:tcPr>
          <w:p>
            <w:pPr>
              <w:rPr>
                <w:lang w:eastAsia="ja-JP"/>
              </w:rPr>
            </w:pPr>
          </w:p>
        </w:tc>
        <w:tc>
          <w:tcPr>
            <w:tcW w:w="650" w:type="dxa"/>
            <w:shd w:val="pct25" w:color="auto" w:fill="auto"/>
            <w:vAlign w:val="center"/>
          </w:tcPr>
          <w:p>
            <w:pPr>
              <w:rPr>
                <w:lang w:eastAsia="ja-JP"/>
              </w:rPr>
            </w:pPr>
          </w:p>
        </w:tc>
        <w:tc>
          <w:tcPr>
            <w:tcW w:w="650" w:type="dxa"/>
            <w:shd w:val="pct25" w:color="auto" w:fill="auto"/>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pStyle w:val="3"/>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Segoe UI Emoji">
    <w:panose1 w:val="020B0502040204020203"/>
    <w:charset w:val="00"/>
    <w:family w:val="swiss"/>
    <w:pitch w:val="default"/>
    <w:sig w:usb0="00000001" w:usb1="02000000" w:usb2="00000000" w:usb3="00000000" w:csb0="00000001" w:csb1="00000000"/>
  </w:font>
  <w:font w:name="方正仿宋简体">
    <w:altName w:val="黑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4"/>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286930F7"/>
    <w:multiLevelType w:val="singleLevel"/>
    <w:tmpl w:val="286930F7"/>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247CC"/>
    <w:rsid w:val="0003779C"/>
    <w:rsid w:val="0004195F"/>
    <w:rsid w:val="000443F0"/>
    <w:rsid w:val="00066255"/>
    <w:rsid w:val="00071D0F"/>
    <w:rsid w:val="00075C70"/>
    <w:rsid w:val="000833FB"/>
    <w:rsid w:val="0008517E"/>
    <w:rsid w:val="000F2F8F"/>
    <w:rsid w:val="0010293C"/>
    <w:rsid w:val="00175E4D"/>
    <w:rsid w:val="001A3416"/>
    <w:rsid w:val="001B702A"/>
    <w:rsid w:val="001D399B"/>
    <w:rsid w:val="001D5696"/>
    <w:rsid w:val="00213B3F"/>
    <w:rsid w:val="00234148"/>
    <w:rsid w:val="0023683F"/>
    <w:rsid w:val="0029718F"/>
    <w:rsid w:val="002B120A"/>
    <w:rsid w:val="002B2C71"/>
    <w:rsid w:val="002B7EA2"/>
    <w:rsid w:val="002D0DC0"/>
    <w:rsid w:val="002D1483"/>
    <w:rsid w:val="002E3D34"/>
    <w:rsid w:val="002E5BA6"/>
    <w:rsid w:val="002F549E"/>
    <w:rsid w:val="00321C23"/>
    <w:rsid w:val="00341103"/>
    <w:rsid w:val="00344E0D"/>
    <w:rsid w:val="00361B6E"/>
    <w:rsid w:val="00365163"/>
    <w:rsid w:val="00367A68"/>
    <w:rsid w:val="00373391"/>
    <w:rsid w:val="00376915"/>
    <w:rsid w:val="003A4C41"/>
    <w:rsid w:val="003E1392"/>
    <w:rsid w:val="003E3D4F"/>
    <w:rsid w:val="003F25C2"/>
    <w:rsid w:val="003F74C1"/>
    <w:rsid w:val="003F7D21"/>
    <w:rsid w:val="004100EA"/>
    <w:rsid w:val="00422C26"/>
    <w:rsid w:val="0043596D"/>
    <w:rsid w:val="004569AF"/>
    <w:rsid w:val="004614A7"/>
    <w:rsid w:val="00464786"/>
    <w:rsid w:val="00484B0B"/>
    <w:rsid w:val="004904D7"/>
    <w:rsid w:val="004C1602"/>
    <w:rsid w:val="004D3E71"/>
    <w:rsid w:val="004F3778"/>
    <w:rsid w:val="005164BD"/>
    <w:rsid w:val="00532B87"/>
    <w:rsid w:val="0056642D"/>
    <w:rsid w:val="0058344C"/>
    <w:rsid w:val="00584F23"/>
    <w:rsid w:val="00592421"/>
    <w:rsid w:val="00597F3C"/>
    <w:rsid w:val="005B675E"/>
    <w:rsid w:val="005E1CBB"/>
    <w:rsid w:val="00603285"/>
    <w:rsid w:val="00610FA8"/>
    <w:rsid w:val="006112A8"/>
    <w:rsid w:val="006306D9"/>
    <w:rsid w:val="00632A83"/>
    <w:rsid w:val="00692141"/>
    <w:rsid w:val="006C6F24"/>
    <w:rsid w:val="006D0E48"/>
    <w:rsid w:val="006D7D81"/>
    <w:rsid w:val="00712F52"/>
    <w:rsid w:val="00723C55"/>
    <w:rsid w:val="00747C8B"/>
    <w:rsid w:val="00751C1D"/>
    <w:rsid w:val="00770469"/>
    <w:rsid w:val="00775D3A"/>
    <w:rsid w:val="00784B49"/>
    <w:rsid w:val="007B2F73"/>
    <w:rsid w:val="007B778F"/>
    <w:rsid w:val="007C4DD7"/>
    <w:rsid w:val="007E362B"/>
    <w:rsid w:val="008030AC"/>
    <w:rsid w:val="00827C88"/>
    <w:rsid w:val="008317B8"/>
    <w:rsid w:val="00836A37"/>
    <w:rsid w:val="00842EB7"/>
    <w:rsid w:val="00845D78"/>
    <w:rsid w:val="00850E86"/>
    <w:rsid w:val="00854710"/>
    <w:rsid w:val="00857EF7"/>
    <w:rsid w:val="008648E8"/>
    <w:rsid w:val="0086496B"/>
    <w:rsid w:val="00877EB8"/>
    <w:rsid w:val="00885AE1"/>
    <w:rsid w:val="00887731"/>
    <w:rsid w:val="008A6929"/>
    <w:rsid w:val="008B0A14"/>
    <w:rsid w:val="008E67FF"/>
    <w:rsid w:val="008F3821"/>
    <w:rsid w:val="00911D46"/>
    <w:rsid w:val="009203AC"/>
    <w:rsid w:val="0092740B"/>
    <w:rsid w:val="00932B07"/>
    <w:rsid w:val="009342D0"/>
    <w:rsid w:val="00993765"/>
    <w:rsid w:val="009A3D6D"/>
    <w:rsid w:val="009A7BA8"/>
    <w:rsid w:val="009B43AC"/>
    <w:rsid w:val="009D1009"/>
    <w:rsid w:val="009E0C13"/>
    <w:rsid w:val="009E35D1"/>
    <w:rsid w:val="009E741A"/>
    <w:rsid w:val="00A057D9"/>
    <w:rsid w:val="00A112DB"/>
    <w:rsid w:val="00A11BB9"/>
    <w:rsid w:val="00A335F6"/>
    <w:rsid w:val="00A34B5C"/>
    <w:rsid w:val="00A56968"/>
    <w:rsid w:val="00A80B6D"/>
    <w:rsid w:val="00A934BA"/>
    <w:rsid w:val="00AB1797"/>
    <w:rsid w:val="00AB7D3D"/>
    <w:rsid w:val="00AC2EBE"/>
    <w:rsid w:val="00AC3F5D"/>
    <w:rsid w:val="00AC58DC"/>
    <w:rsid w:val="00AD4D43"/>
    <w:rsid w:val="00AE1964"/>
    <w:rsid w:val="00AE3533"/>
    <w:rsid w:val="00AE71F3"/>
    <w:rsid w:val="00AF0F3D"/>
    <w:rsid w:val="00AF66F6"/>
    <w:rsid w:val="00B2562A"/>
    <w:rsid w:val="00B34573"/>
    <w:rsid w:val="00B56B24"/>
    <w:rsid w:val="00B66951"/>
    <w:rsid w:val="00B86659"/>
    <w:rsid w:val="00BB02A8"/>
    <w:rsid w:val="00BC2711"/>
    <w:rsid w:val="00BC3244"/>
    <w:rsid w:val="00BD2793"/>
    <w:rsid w:val="00BD2B5C"/>
    <w:rsid w:val="00C007AD"/>
    <w:rsid w:val="00C42814"/>
    <w:rsid w:val="00C54428"/>
    <w:rsid w:val="00C60F4C"/>
    <w:rsid w:val="00C634D9"/>
    <w:rsid w:val="00C757A7"/>
    <w:rsid w:val="00CF144F"/>
    <w:rsid w:val="00D00BA6"/>
    <w:rsid w:val="00D1113C"/>
    <w:rsid w:val="00D17064"/>
    <w:rsid w:val="00D30422"/>
    <w:rsid w:val="00D40B33"/>
    <w:rsid w:val="00D40E52"/>
    <w:rsid w:val="00D617C5"/>
    <w:rsid w:val="00D81706"/>
    <w:rsid w:val="00D97A64"/>
    <w:rsid w:val="00DD2268"/>
    <w:rsid w:val="00E148C5"/>
    <w:rsid w:val="00E255D2"/>
    <w:rsid w:val="00E31917"/>
    <w:rsid w:val="00E32B36"/>
    <w:rsid w:val="00E52D9A"/>
    <w:rsid w:val="00E76584"/>
    <w:rsid w:val="00E90FFF"/>
    <w:rsid w:val="00E9214A"/>
    <w:rsid w:val="00E92A41"/>
    <w:rsid w:val="00E946C0"/>
    <w:rsid w:val="00E95AE0"/>
    <w:rsid w:val="00E9731A"/>
    <w:rsid w:val="00EC1391"/>
    <w:rsid w:val="00EE2D5C"/>
    <w:rsid w:val="00EF1481"/>
    <w:rsid w:val="00F15768"/>
    <w:rsid w:val="00F16536"/>
    <w:rsid w:val="00F326DC"/>
    <w:rsid w:val="00F32AFF"/>
    <w:rsid w:val="00F52EF9"/>
    <w:rsid w:val="00F64301"/>
    <w:rsid w:val="00F86288"/>
    <w:rsid w:val="00FA5C98"/>
    <w:rsid w:val="00FD38F7"/>
    <w:rsid w:val="00FD6EB5"/>
    <w:rsid w:val="00FF6078"/>
    <w:rsid w:val="022A73A0"/>
    <w:rsid w:val="02C705A2"/>
    <w:rsid w:val="03055103"/>
    <w:rsid w:val="036614DE"/>
    <w:rsid w:val="03A04AE5"/>
    <w:rsid w:val="0473678B"/>
    <w:rsid w:val="04984B4F"/>
    <w:rsid w:val="04BF28DC"/>
    <w:rsid w:val="04F253AD"/>
    <w:rsid w:val="04FE5AF0"/>
    <w:rsid w:val="052334D0"/>
    <w:rsid w:val="054944ED"/>
    <w:rsid w:val="059C7216"/>
    <w:rsid w:val="06280BA3"/>
    <w:rsid w:val="066E7CA6"/>
    <w:rsid w:val="06E814B3"/>
    <w:rsid w:val="07247F07"/>
    <w:rsid w:val="07453E91"/>
    <w:rsid w:val="078F5AA5"/>
    <w:rsid w:val="07D6127C"/>
    <w:rsid w:val="0817360D"/>
    <w:rsid w:val="08271056"/>
    <w:rsid w:val="084D40F7"/>
    <w:rsid w:val="093C4240"/>
    <w:rsid w:val="09713483"/>
    <w:rsid w:val="09B63CA5"/>
    <w:rsid w:val="09D154C9"/>
    <w:rsid w:val="09DB7BDC"/>
    <w:rsid w:val="0A896093"/>
    <w:rsid w:val="0ABE7597"/>
    <w:rsid w:val="0B011C95"/>
    <w:rsid w:val="0B585209"/>
    <w:rsid w:val="0BEC6006"/>
    <w:rsid w:val="0C312486"/>
    <w:rsid w:val="0C462D5C"/>
    <w:rsid w:val="0C897635"/>
    <w:rsid w:val="0CF70AD5"/>
    <w:rsid w:val="0DC61A68"/>
    <w:rsid w:val="0DCF1171"/>
    <w:rsid w:val="0E0E3D8F"/>
    <w:rsid w:val="0E4F6FC4"/>
    <w:rsid w:val="0E7E3CB0"/>
    <w:rsid w:val="0E9115C7"/>
    <w:rsid w:val="0F6D45A9"/>
    <w:rsid w:val="102941B5"/>
    <w:rsid w:val="10CE66A2"/>
    <w:rsid w:val="11610717"/>
    <w:rsid w:val="116620D4"/>
    <w:rsid w:val="117D5C2C"/>
    <w:rsid w:val="123B0C4C"/>
    <w:rsid w:val="125C3F85"/>
    <w:rsid w:val="12BB22D3"/>
    <w:rsid w:val="12E87EE4"/>
    <w:rsid w:val="13103FBC"/>
    <w:rsid w:val="131D6439"/>
    <w:rsid w:val="135C0807"/>
    <w:rsid w:val="13B33091"/>
    <w:rsid w:val="13CE3A28"/>
    <w:rsid w:val="141B5992"/>
    <w:rsid w:val="15805901"/>
    <w:rsid w:val="168C2F3F"/>
    <w:rsid w:val="1791435B"/>
    <w:rsid w:val="184E1945"/>
    <w:rsid w:val="184F1EEB"/>
    <w:rsid w:val="18A9617B"/>
    <w:rsid w:val="18C04DA6"/>
    <w:rsid w:val="1914584E"/>
    <w:rsid w:val="19B809A0"/>
    <w:rsid w:val="19C9634C"/>
    <w:rsid w:val="19F41442"/>
    <w:rsid w:val="1A7C511D"/>
    <w:rsid w:val="1B0E7427"/>
    <w:rsid w:val="1B123CDB"/>
    <w:rsid w:val="1B27032A"/>
    <w:rsid w:val="1B3D6AD2"/>
    <w:rsid w:val="1C440198"/>
    <w:rsid w:val="1C8E00C9"/>
    <w:rsid w:val="1DD8325C"/>
    <w:rsid w:val="1DE82072"/>
    <w:rsid w:val="1E94271D"/>
    <w:rsid w:val="1F5A7593"/>
    <w:rsid w:val="1F66158E"/>
    <w:rsid w:val="20894C79"/>
    <w:rsid w:val="21611269"/>
    <w:rsid w:val="21684FA1"/>
    <w:rsid w:val="227228C8"/>
    <w:rsid w:val="22CF7834"/>
    <w:rsid w:val="22E2744C"/>
    <w:rsid w:val="236E4CAA"/>
    <w:rsid w:val="239964D5"/>
    <w:rsid w:val="23D0287E"/>
    <w:rsid w:val="23E36D42"/>
    <w:rsid w:val="23F92929"/>
    <w:rsid w:val="241E1146"/>
    <w:rsid w:val="24350037"/>
    <w:rsid w:val="24A90475"/>
    <w:rsid w:val="24DD7AD7"/>
    <w:rsid w:val="25222FE3"/>
    <w:rsid w:val="2583007E"/>
    <w:rsid w:val="25C73BE4"/>
    <w:rsid w:val="264414A9"/>
    <w:rsid w:val="26CD7776"/>
    <w:rsid w:val="282D2075"/>
    <w:rsid w:val="287D37C7"/>
    <w:rsid w:val="288A7086"/>
    <w:rsid w:val="28900083"/>
    <w:rsid w:val="294B2CEA"/>
    <w:rsid w:val="298266E7"/>
    <w:rsid w:val="298E75E3"/>
    <w:rsid w:val="29A5000B"/>
    <w:rsid w:val="2A351B1D"/>
    <w:rsid w:val="2A4B433E"/>
    <w:rsid w:val="2AB90B8D"/>
    <w:rsid w:val="2ABD43D7"/>
    <w:rsid w:val="2B58515C"/>
    <w:rsid w:val="2B59267F"/>
    <w:rsid w:val="2C9C5862"/>
    <w:rsid w:val="2CD15CF9"/>
    <w:rsid w:val="2CDC1CAC"/>
    <w:rsid w:val="2CE76A45"/>
    <w:rsid w:val="2D312279"/>
    <w:rsid w:val="2D8F5297"/>
    <w:rsid w:val="2D9D2412"/>
    <w:rsid w:val="2DBA3F0D"/>
    <w:rsid w:val="2DBB15EE"/>
    <w:rsid w:val="2EBA64CC"/>
    <w:rsid w:val="2EFC2199"/>
    <w:rsid w:val="2F691172"/>
    <w:rsid w:val="2F8C189E"/>
    <w:rsid w:val="3111039E"/>
    <w:rsid w:val="315D2087"/>
    <w:rsid w:val="315D3D19"/>
    <w:rsid w:val="31604C21"/>
    <w:rsid w:val="31B43452"/>
    <w:rsid w:val="321A535A"/>
    <w:rsid w:val="32465323"/>
    <w:rsid w:val="33217059"/>
    <w:rsid w:val="33762162"/>
    <w:rsid w:val="33AE2288"/>
    <w:rsid w:val="3433543C"/>
    <w:rsid w:val="35923659"/>
    <w:rsid w:val="3596041E"/>
    <w:rsid w:val="359F3DC7"/>
    <w:rsid w:val="35E86B6B"/>
    <w:rsid w:val="36680020"/>
    <w:rsid w:val="36966F0E"/>
    <w:rsid w:val="37130289"/>
    <w:rsid w:val="38443A10"/>
    <w:rsid w:val="385B4F3C"/>
    <w:rsid w:val="387C56EF"/>
    <w:rsid w:val="390A1495"/>
    <w:rsid w:val="390C6928"/>
    <w:rsid w:val="391108A4"/>
    <w:rsid w:val="39245C09"/>
    <w:rsid w:val="3A2B65EA"/>
    <w:rsid w:val="3ACF0C29"/>
    <w:rsid w:val="3BB03DEC"/>
    <w:rsid w:val="3C6210A8"/>
    <w:rsid w:val="3C6B2A0C"/>
    <w:rsid w:val="3CF27344"/>
    <w:rsid w:val="3DE70C81"/>
    <w:rsid w:val="3EAD396E"/>
    <w:rsid w:val="3EF70220"/>
    <w:rsid w:val="3F0F4FB2"/>
    <w:rsid w:val="3FA04660"/>
    <w:rsid w:val="40172F3F"/>
    <w:rsid w:val="401B73D5"/>
    <w:rsid w:val="40354DE8"/>
    <w:rsid w:val="40F75A94"/>
    <w:rsid w:val="414E4D29"/>
    <w:rsid w:val="41847DAD"/>
    <w:rsid w:val="42EA091B"/>
    <w:rsid w:val="42F43F51"/>
    <w:rsid w:val="437213F6"/>
    <w:rsid w:val="44890926"/>
    <w:rsid w:val="44F13479"/>
    <w:rsid w:val="45457A01"/>
    <w:rsid w:val="458E4C55"/>
    <w:rsid w:val="45F66EC0"/>
    <w:rsid w:val="460A1702"/>
    <w:rsid w:val="46102F69"/>
    <w:rsid w:val="461323BD"/>
    <w:rsid w:val="462E1FAD"/>
    <w:rsid w:val="46331183"/>
    <w:rsid w:val="46577EEB"/>
    <w:rsid w:val="465C4469"/>
    <w:rsid w:val="471F510B"/>
    <w:rsid w:val="47317534"/>
    <w:rsid w:val="476E6DE8"/>
    <w:rsid w:val="480418F7"/>
    <w:rsid w:val="481E05A2"/>
    <w:rsid w:val="486530DA"/>
    <w:rsid w:val="4878363C"/>
    <w:rsid w:val="487D4CE0"/>
    <w:rsid w:val="48922792"/>
    <w:rsid w:val="494301F7"/>
    <w:rsid w:val="4952262E"/>
    <w:rsid w:val="498C1259"/>
    <w:rsid w:val="4A530618"/>
    <w:rsid w:val="4B4A3A22"/>
    <w:rsid w:val="4B6704D7"/>
    <w:rsid w:val="4BA55DEE"/>
    <w:rsid w:val="4BB00240"/>
    <w:rsid w:val="4C0A6F08"/>
    <w:rsid w:val="4C8978AB"/>
    <w:rsid w:val="4DE97690"/>
    <w:rsid w:val="4E0062C7"/>
    <w:rsid w:val="4E1E6CCC"/>
    <w:rsid w:val="4E5460FB"/>
    <w:rsid w:val="4EA24F8C"/>
    <w:rsid w:val="50164862"/>
    <w:rsid w:val="504B3A24"/>
    <w:rsid w:val="5187429B"/>
    <w:rsid w:val="51E569AA"/>
    <w:rsid w:val="520A3F74"/>
    <w:rsid w:val="524317A1"/>
    <w:rsid w:val="5278350D"/>
    <w:rsid w:val="52C91208"/>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99C2530"/>
    <w:rsid w:val="59A62325"/>
    <w:rsid w:val="59DB1B5F"/>
    <w:rsid w:val="59E42A83"/>
    <w:rsid w:val="5A2028FF"/>
    <w:rsid w:val="5B6A7D08"/>
    <w:rsid w:val="5B6E6EDD"/>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1932B2F"/>
    <w:rsid w:val="62B42312"/>
    <w:rsid w:val="630453E7"/>
    <w:rsid w:val="63185A5A"/>
    <w:rsid w:val="634A5006"/>
    <w:rsid w:val="63870057"/>
    <w:rsid w:val="63F15C45"/>
    <w:rsid w:val="642E715A"/>
    <w:rsid w:val="64600B31"/>
    <w:rsid w:val="650A2348"/>
    <w:rsid w:val="6526621F"/>
    <w:rsid w:val="6550702E"/>
    <w:rsid w:val="6551044C"/>
    <w:rsid w:val="65E41067"/>
    <w:rsid w:val="66FE3A08"/>
    <w:rsid w:val="67972F1E"/>
    <w:rsid w:val="680803AD"/>
    <w:rsid w:val="680C6625"/>
    <w:rsid w:val="68546520"/>
    <w:rsid w:val="69C1790D"/>
    <w:rsid w:val="6A524488"/>
    <w:rsid w:val="6A804EF2"/>
    <w:rsid w:val="6B480735"/>
    <w:rsid w:val="6CC73384"/>
    <w:rsid w:val="6D6D0B45"/>
    <w:rsid w:val="6DD62184"/>
    <w:rsid w:val="6DE60FF6"/>
    <w:rsid w:val="6E890C0D"/>
    <w:rsid w:val="6EA66863"/>
    <w:rsid w:val="6EF45D2D"/>
    <w:rsid w:val="6F8557CC"/>
    <w:rsid w:val="6F880F41"/>
    <w:rsid w:val="70234DFB"/>
    <w:rsid w:val="70B15E4D"/>
    <w:rsid w:val="71463893"/>
    <w:rsid w:val="71854ADE"/>
    <w:rsid w:val="722263AA"/>
    <w:rsid w:val="72301086"/>
    <w:rsid w:val="727F78E4"/>
    <w:rsid w:val="72870285"/>
    <w:rsid w:val="72BB1022"/>
    <w:rsid w:val="72FE79C7"/>
    <w:rsid w:val="73084835"/>
    <w:rsid w:val="733A7128"/>
    <w:rsid w:val="73442687"/>
    <w:rsid w:val="73701AB5"/>
    <w:rsid w:val="738A49B5"/>
    <w:rsid w:val="73E4715F"/>
    <w:rsid w:val="73F964D7"/>
    <w:rsid w:val="74007BC6"/>
    <w:rsid w:val="742959A7"/>
    <w:rsid w:val="745401D9"/>
    <w:rsid w:val="746B3816"/>
    <w:rsid w:val="75423305"/>
    <w:rsid w:val="75445AC3"/>
    <w:rsid w:val="75565FB6"/>
    <w:rsid w:val="75660212"/>
    <w:rsid w:val="75C96B43"/>
    <w:rsid w:val="75D3171F"/>
    <w:rsid w:val="768253C4"/>
    <w:rsid w:val="76AB1BE4"/>
    <w:rsid w:val="76BF04D0"/>
    <w:rsid w:val="76C56A0A"/>
    <w:rsid w:val="76E36545"/>
    <w:rsid w:val="770E2676"/>
    <w:rsid w:val="77492494"/>
    <w:rsid w:val="77813A26"/>
    <w:rsid w:val="77B50811"/>
    <w:rsid w:val="77BF567E"/>
    <w:rsid w:val="78032E90"/>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1714</Words>
  <Characters>9775</Characters>
  <Lines>81</Lines>
  <Paragraphs>22</Paragraphs>
  <TotalTime>2</TotalTime>
  <ScaleCrop>false</ScaleCrop>
  <LinksUpToDate>false</LinksUpToDate>
  <CharactersWithSpaces>11467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2020-11-16T03:51:00Z</dcterms:created>
  <dc:creator>微软用户</dc:creator>
  <cp:lastModifiedBy>肖新龙</cp:lastModifiedBy>
  <cp:lastPrinted>2019-05-13T03:19:00Z</cp:lastPrinted>
  <dcterms:modified xsi:type="dcterms:W3CDTF">2020-12-12T06:46:30Z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