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bookmarkStart w:id="1" w:name="_GoBack"/>
      <w:bookmarkEnd w:id="1"/>
      <w:r>
        <w:rPr>
          <w:rFonts w:hint="eastAsia" w:ascii="隶书" w:hAnsi="宋体" w:eastAsia="隶书"/>
          <w:bCs/>
          <w:color w:val="000000"/>
          <w:sz w:val="36"/>
          <w:szCs w:val="36"/>
        </w:rPr>
        <w:t>管理体系审核记录表</w:t>
      </w:r>
    </w:p>
    <w:tbl>
      <w:tblPr>
        <w:tblStyle w:val="5"/>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936"/>
        <w:gridCol w:w="745"/>
        <w:gridCol w:w="9257"/>
        <w:gridCol w:w="22"/>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8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2" w:type="dxa"/>
            <w:gridSpan w:val="2"/>
            <w:vAlign w:val="center"/>
          </w:tcPr>
          <w:p>
            <w:pPr>
              <w:rPr>
                <w:sz w:val="24"/>
                <w:szCs w:val="24"/>
              </w:rPr>
            </w:pPr>
            <w:r>
              <w:rPr>
                <w:rFonts w:hint="eastAsia"/>
                <w:sz w:val="24"/>
                <w:szCs w:val="24"/>
              </w:rPr>
              <w:t xml:space="preserve">受审核部门：领导层 </w:t>
            </w:r>
            <w:r>
              <w:rPr>
                <w:sz w:val="24"/>
                <w:szCs w:val="24"/>
              </w:rPr>
              <w:t xml:space="preserve">             </w:t>
            </w:r>
            <w:r>
              <w:rPr>
                <w:rFonts w:hint="eastAsia"/>
                <w:sz w:val="24"/>
                <w:szCs w:val="24"/>
              </w:rPr>
              <w:t>陪同人员：禹丽霞</w:t>
            </w:r>
          </w:p>
        </w:tc>
        <w:tc>
          <w:tcPr>
            <w:tcW w:w="1592"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84" w:type="dxa"/>
            <w:vMerge w:val="continue"/>
            <w:vAlign w:val="center"/>
          </w:tcPr>
          <w:p/>
        </w:tc>
        <w:tc>
          <w:tcPr>
            <w:tcW w:w="936" w:type="dxa"/>
            <w:vMerge w:val="continue"/>
            <w:vAlign w:val="center"/>
          </w:tcPr>
          <w:p/>
        </w:tc>
        <w:tc>
          <w:tcPr>
            <w:tcW w:w="10002" w:type="dxa"/>
            <w:gridSpan w:val="2"/>
            <w:vAlign w:val="center"/>
          </w:tcPr>
          <w:p>
            <w:pPr>
              <w:spacing w:before="120"/>
            </w:pPr>
            <w:r>
              <w:rPr>
                <w:rFonts w:hint="eastAsia"/>
                <w:sz w:val="24"/>
                <w:szCs w:val="24"/>
              </w:rPr>
              <w:t xml:space="preserve">审核员：肖新龙、张静 </w:t>
            </w:r>
            <w:r>
              <w:rPr>
                <w:sz w:val="24"/>
                <w:szCs w:val="24"/>
              </w:rPr>
              <w:t xml:space="preserve">                 </w:t>
            </w:r>
            <w:r>
              <w:rPr>
                <w:rFonts w:hint="eastAsia"/>
                <w:sz w:val="24"/>
                <w:szCs w:val="24"/>
              </w:rPr>
              <w:t>审核日期：2</w:t>
            </w:r>
            <w:r>
              <w:rPr>
                <w:sz w:val="24"/>
                <w:szCs w:val="24"/>
              </w:rPr>
              <w:t>020</w:t>
            </w:r>
            <w:r>
              <w:rPr>
                <w:rFonts w:hint="eastAsia"/>
                <w:sz w:val="24"/>
                <w:szCs w:val="24"/>
              </w:rPr>
              <w:t>-</w:t>
            </w:r>
            <w:r>
              <w:rPr>
                <w:sz w:val="24"/>
                <w:szCs w:val="24"/>
              </w:rPr>
              <w:t>11</w:t>
            </w:r>
            <w:r>
              <w:rPr>
                <w:rFonts w:hint="eastAsia"/>
                <w:sz w:val="24"/>
                <w:szCs w:val="24"/>
              </w:rPr>
              <w:t>-</w:t>
            </w:r>
            <w:r>
              <w:rPr>
                <w:sz w:val="24"/>
                <w:szCs w:val="24"/>
              </w:rPr>
              <w:t>13</w:t>
            </w:r>
          </w:p>
        </w:tc>
        <w:tc>
          <w:tcPr>
            <w:tcW w:w="1592"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84" w:type="dxa"/>
            <w:vMerge w:val="continue"/>
            <w:vAlign w:val="center"/>
          </w:tcPr>
          <w:p/>
        </w:tc>
        <w:tc>
          <w:tcPr>
            <w:tcW w:w="936" w:type="dxa"/>
            <w:vMerge w:val="continue"/>
            <w:vAlign w:val="center"/>
          </w:tcPr>
          <w:p/>
        </w:tc>
        <w:tc>
          <w:tcPr>
            <w:tcW w:w="10002" w:type="dxa"/>
            <w:gridSpan w:val="2"/>
            <w:vAlign w:val="center"/>
          </w:tcPr>
          <w:p>
            <w:pPr>
              <w:rPr>
                <w:sz w:val="24"/>
                <w:szCs w:val="24"/>
              </w:rPr>
            </w:pPr>
            <w:r>
              <w:rPr>
                <w:rFonts w:hint="eastAsia"/>
                <w:sz w:val="24"/>
                <w:szCs w:val="24"/>
              </w:rPr>
              <w:t>审核条款：Q</w:t>
            </w:r>
            <w:r>
              <w:rPr>
                <w:sz w:val="24"/>
                <w:szCs w:val="24"/>
              </w:rPr>
              <w:t>MS:</w:t>
            </w:r>
            <w:r>
              <w:rPr>
                <w:szCs w:val="21"/>
              </w:rPr>
              <w:t>4.1/ 4.2 /4.3/ 4.4/ 5.1/5.2/5.3/6.1/6.2/6.3/7.1.1/9.1.1</w:t>
            </w:r>
            <w:r>
              <w:rPr>
                <w:rFonts w:hint="eastAsia"/>
                <w:szCs w:val="21"/>
              </w:rPr>
              <w:t>/</w:t>
            </w:r>
            <w:r>
              <w:rPr>
                <w:szCs w:val="21"/>
              </w:rPr>
              <w:t>9.3</w:t>
            </w:r>
            <w:r>
              <w:rPr>
                <w:rFonts w:hint="eastAsia"/>
                <w:szCs w:val="21"/>
              </w:rPr>
              <w:t>/</w:t>
            </w:r>
            <w:r>
              <w:rPr>
                <w:szCs w:val="21"/>
              </w:rPr>
              <w:t>10.1/10.3</w:t>
            </w:r>
          </w:p>
        </w:tc>
        <w:tc>
          <w:tcPr>
            <w:tcW w:w="1592"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vMerge w:val="restart"/>
          </w:tcPr>
          <w:p>
            <w:r>
              <w:rPr>
                <w:rFonts w:hint="eastAsia"/>
              </w:rPr>
              <w:t>理解组织及其环境</w:t>
            </w:r>
          </w:p>
        </w:tc>
        <w:tc>
          <w:tcPr>
            <w:tcW w:w="936" w:type="dxa"/>
            <w:vMerge w:val="restart"/>
          </w:tcPr>
          <w:p>
            <w:r>
              <w:rPr>
                <w:rFonts w:hint="eastAsia"/>
              </w:rPr>
              <w:t xml:space="preserve">Q4.1 </w:t>
            </w:r>
          </w:p>
        </w:tc>
        <w:tc>
          <w:tcPr>
            <w:tcW w:w="745" w:type="dxa"/>
          </w:tcPr>
          <w:p>
            <w:r>
              <w:rPr>
                <w:rFonts w:hint="eastAsia"/>
              </w:rPr>
              <w:t>文件名称</w:t>
            </w:r>
          </w:p>
        </w:tc>
        <w:tc>
          <w:tcPr>
            <w:tcW w:w="9257" w:type="dxa"/>
          </w:tcPr>
          <w:p>
            <w:r>
              <w:rPr>
                <w:rFonts w:hint="eastAsia"/>
              </w:rPr>
              <w:t>如：</w:t>
            </w:r>
            <w:r>
              <w:rPr/>
              <w:sym w:font="Wingdings" w:char="00FE"/>
            </w:r>
            <w:r>
              <w:rPr>
                <w:rFonts w:hint="eastAsia"/>
              </w:rPr>
              <w:t>《组织环境与相关方要求控制程序》、</w:t>
            </w:r>
            <w:r>
              <w:rPr/>
              <w:sym w:font="Wingdings" w:char="00FE"/>
            </w:r>
            <w:r>
              <w:rPr>
                <w:rFonts w:hint="eastAsia"/>
              </w:rPr>
              <w:t>管理手册第4.1章</w:t>
            </w:r>
          </w:p>
        </w:tc>
        <w:tc>
          <w:tcPr>
            <w:tcW w:w="1592"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trPr>
        <w:tc>
          <w:tcPr>
            <w:tcW w:w="2184" w:type="dxa"/>
            <w:vMerge w:val="continue"/>
          </w:tcPr>
          <w:p/>
        </w:tc>
        <w:tc>
          <w:tcPr>
            <w:tcW w:w="936" w:type="dxa"/>
            <w:vMerge w:val="continue"/>
          </w:tcPr>
          <w:p/>
        </w:tc>
        <w:tc>
          <w:tcPr>
            <w:tcW w:w="745" w:type="dxa"/>
          </w:tcPr>
          <w:p>
            <w:r>
              <w:rPr>
                <w:rFonts w:hint="eastAsia"/>
              </w:rPr>
              <w:t>运行证据</w:t>
            </w:r>
          </w:p>
        </w:tc>
        <w:tc>
          <w:tcPr>
            <w:tcW w:w="9257" w:type="dxa"/>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sym w:font="Wingdings" w:char="00FE"/>
                  </w:r>
                  <w:r>
                    <w:rPr>
                      <w:rFonts w:hint="eastAsia"/>
                    </w:rPr>
                    <w:t xml:space="preserve">法律法规 </w:t>
                  </w:r>
                  <w:r>
                    <w:rPr/>
                    <w:sym w:font="Wingdings" w:char="00FE"/>
                  </w:r>
                  <w:r>
                    <w:rPr>
                      <w:rFonts w:hint="eastAsia"/>
                    </w:rPr>
                    <w:t xml:space="preserve">技术 </w:t>
                  </w:r>
                  <w:r>
                    <w:rPr/>
                    <w:sym w:font="Wingdings" w:char="00FE"/>
                  </w:r>
                  <w:r>
                    <w:rPr>
                      <w:rFonts w:hint="eastAsia"/>
                    </w:rPr>
                    <w:t xml:space="preserve">竞争 </w:t>
                  </w:r>
                  <w:r>
                    <w:rPr/>
                    <w:sym w:font="Wingdings" w:char="00FE"/>
                  </w:r>
                  <w:r>
                    <w:rPr>
                      <w:rFonts w:hint="eastAsia"/>
                    </w:rPr>
                    <w:t xml:space="preserve">市场 </w:t>
                  </w:r>
                  <w:r>
                    <w:rPr/>
                    <w:sym w:font="Wingdings" w:char="00FE"/>
                  </w:r>
                  <w:r>
                    <w:rPr>
                      <w:rFonts w:hint="eastAsia"/>
                    </w:rPr>
                    <w:t xml:space="preserve">文化 </w:t>
                  </w:r>
                  <w:r>
                    <w:rPr/>
                    <w:sym w:font="Wingdings" w:char="00FE"/>
                  </w:r>
                  <w:r>
                    <w:rPr>
                      <w:rFonts w:hint="eastAsia"/>
                    </w:rPr>
                    <w:t xml:space="preserve">社会 </w:t>
                  </w:r>
                  <w:r>
                    <w:rPr/>
                    <w:sym w:font="Wingdings" w:char="00FE"/>
                  </w:r>
                  <w:r>
                    <w:rPr>
                      <w:rFonts w:hint="eastAsia"/>
                    </w:rPr>
                    <w:t xml:space="preserve">经济环境 </w:t>
                  </w:r>
                  <w:r>
                    <w:rPr/>
                    <w:sym w:font="Wingdings" w:char="00FE"/>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rPr>
                    <w:t>市场竞争很严峻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sym w:font="Wingdings" w:char="00FE"/>
                  </w:r>
                  <w:r>
                    <w:rPr>
                      <w:rFonts w:hint="eastAsia"/>
                    </w:rPr>
                    <w:t xml:space="preserve">价值观  </w:t>
                  </w:r>
                  <w:r>
                    <w:rPr/>
                    <w:sym w:font="Wingdings" w:char="00FE"/>
                  </w:r>
                  <w:r>
                    <w:rPr>
                      <w:rFonts w:hint="eastAsia"/>
                    </w:rPr>
                    <w:t xml:space="preserve">文化  </w:t>
                  </w:r>
                  <w:r>
                    <w:rPr/>
                    <w:sym w:font="Wingdings" w:char="00FE"/>
                  </w:r>
                  <w:r>
                    <w:rPr>
                      <w:rFonts w:hint="eastAsia"/>
                    </w:rPr>
                    <w:t xml:space="preserve">知识 </w:t>
                  </w:r>
                  <w:r>
                    <w:rPr/>
                    <w:sym w:font="Wingdings" w:char="00FE"/>
                  </w:r>
                  <w:r>
                    <w:rPr>
                      <w:rFonts w:hint="eastAsia"/>
                    </w:rPr>
                    <w:t xml:space="preserve">绩效 □工艺 □设备 </w:t>
                  </w:r>
                  <w:r>
                    <w:rPr/>
                    <w:sym w:font="Wingdings" w:char="00FE"/>
                  </w:r>
                  <w:r>
                    <w:rPr>
                      <w:rFonts w:hint="eastAsia"/>
                    </w:rPr>
                    <w:t xml:space="preserve">人员能力 </w:t>
                  </w:r>
                  <w:r>
                    <w:rPr/>
                    <w:sym w:font="Wingdings" w:char="00FE"/>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rPr>
                    <w:t>翻译人员的能力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组织优势说明</w:t>
                  </w:r>
                </w:p>
              </w:tc>
              <w:tc>
                <w:tcPr>
                  <w:tcW w:w="7375" w:type="dxa"/>
                </w:tcPr>
                <w:p>
                  <w:r>
                    <w:rPr>
                      <w:rFonts w:hint="eastAsia"/>
                    </w:rPr>
                    <w:t>经营经验丰富、有高质量的翻译团队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r>
                    <w:rPr>
                      <w:rFonts w:hint="eastAsia"/>
                    </w:rPr>
                    <w:t>人员流动比较大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r>
                    <w:rPr>
                      <w:rFonts w:hint="eastAsia"/>
                    </w:rPr>
                    <w:t>人才变化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r>
                    <w:rPr>
                      <w:rFonts w:hint="eastAsia"/>
                    </w:rPr>
                    <w:t>客户群体相对稳定、有成熟的管理机制</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sym w:font="Wingdings" w:char="00FE"/>
            </w:r>
            <w:r>
              <w:rPr>
                <w:rFonts w:hint="eastAsia"/>
              </w:rPr>
              <w:t>其他</w:t>
            </w:r>
          </w:p>
        </w:tc>
        <w:tc>
          <w:tcPr>
            <w:tcW w:w="1592"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vMerge w:val="restart"/>
          </w:tcPr>
          <w:p>
            <w:r>
              <w:rPr>
                <w:rFonts w:hint="eastAsia"/>
              </w:rPr>
              <w:t>理解相关方的需求和期望</w:t>
            </w:r>
          </w:p>
        </w:tc>
        <w:tc>
          <w:tcPr>
            <w:tcW w:w="936" w:type="dxa"/>
            <w:vMerge w:val="restart"/>
          </w:tcPr>
          <w:p>
            <w:r>
              <w:rPr>
                <w:rFonts w:hint="eastAsia"/>
              </w:rPr>
              <w:t xml:space="preserve">Q4.2 </w:t>
            </w:r>
          </w:p>
        </w:tc>
        <w:tc>
          <w:tcPr>
            <w:tcW w:w="745" w:type="dxa"/>
          </w:tcPr>
          <w:p>
            <w:r>
              <w:rPr>
                <w:rFonts w:hint="eastAsia"/>
              </w:rPr>
              <w:t>文件名称</w:t>
            </w:r>
          </w:p>
        </w:tc>
        <w:tc>
          <w:tcPr>
            <w:tcW w:w="9257" w:type="dxa"/>
          </w:tcPr>
          <w:p>
            <w:r>
              <w:rPr>
                <w:rFonts w:hint="eastAsia"/>
              </w:rPr>
              <w:t>如：《理解相关方的需求和期望控制程序》、</w:t>
            </w:r>
            <w:r>
              <w:rPr/>
              <w:sym w:font="Wingdings" w:char="00FE"/>
            </w:r>
            <w:r>
              <w:rPr>
                <w:rFonts w:hint="eastAsia"/>
              </w:rPr>
              <w:t>管理手册第4.2章</w:t>
            </w:r>
          </w:p>
        </w:tc>
        <w:tc>
          <w:tcPr>
            <w:tcW w:w="1592"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trPr>
        <w:tc>
          <w:tcPr>
            <w:tcW w:w="2184" w:type="dxa"/>
            <w:vMerge w:val="continue"/>
          </w:tcPr>
          <w:p/>
        </w:tc>
        <w:tc>
          <w:tcPr>
            <w:tcW w:w="936" w:type="dxa"/>
            <w:vMerge w:val="continue"/>
          </w:tcPr>
          <w:p/>
        </w:tc>
        <w:tc>
          <w:tcPr>
            <w:tcW w:w="745" w:type="dxa"/>
          </w:tcPr>
          <w:p>
            <w:r>
              <w:rPr>
                <w:rFonts w:hint="eastAsia"/>
              </w:rPr>
              <w:t>运行证据</w:t>
            </w:r>
          </w:p>
        </w:tc>
        <w:tc>
          <w:tcPr>
            <w:tcW w:w="9257" w:type="dxa"/>
          </w:tcPr>
          <w:p>
            <w:pPr>
              <w:rPr>
                <w:color w:val="000000"/>
                <w:szCs w:val="21"/>
              </w:rPr>
            </w:pPr>
            <w:r>
              <w:rPr>
                <w:rFonts w:hint="eastAsia"/>
                <w:color w:val="000000"/>
                <w:szCs w:val="21"/>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3805" w:type="dxa"/>
                </w:tcPr>
                <w:p>
                  <w:pPr>
                    <w:rPr>
                      <w:highlight w:val="cyan"/>
                    </w:rPr>
                  </w:pPr>
                  <w:r>
                    <w:rPr>
                      <w:rFonts w:hint="eastAsia"/>
                    </w:rPr>
                    <w:t>相关方名称举例</w:t>
                  </w:r>
                </w:p>
              </w:tc>
              <w:tc>
                <w:tcPr>
                  <w:tcW w:w="3625"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sym w:font="Wingdings" w:char="00FE"/>
                  </w:r>
                  <w:r>
                    <w:rPr>
                      <w:rFonts w:hint="eastAsia"/>
                    </w:rPr>
                    <w:t>主管部门</w:t>
                  </w:r>
                </w:p>
              </w:tc>
              <w:tc>
                <w:tcPr>
                  <w:tcW w:w="3805" w:type="dxa"/>
                </w:tcPr>
                <w:p>
                  <w:r>
                    <w:rPr>
                      <w:rFonts w:hint="eastAsia"/>
                    </w:rPr>
                    <w:t>丰台工商管理局</w:t>
                  </w:r>
                </w:p>
              </w:tc>
              <w:tc>
                <w:tcPr>
                  <w:tcW w:w="3625" w:type="dxa"/>
                </w:tcPr>
                <w:p>
                  <w:r>
                    <w:rPr/>
                    <w:sym w:font="Wingdings" w:char="00FE"/>
                  </w:r>
                  <w:r>
                    <w:rPr>
                      <w:rFonts w:hint="eastAsia"/>
                    </w:rPr>
                    <w:t>遵守质量相关的法律法规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sym w:font="Wingdings" w:char="00FE"/>
                  </w:r>
                  <w:r>
                    <w:rPr>
                      <w:rFonts w:hint="eastAsia"/>
                    </w:rPr>
                    <w:t>供方</w:t>
                  </w:r>
                </w:p>
              </w:tc>
              <w:tc>
                <w:tcPr>
                  <w:tcW w:w="3805" w:type="dxa"/>
                </w:tcPr>
                <w:p>
                  <w:r>
                    <w:rPr>
                      <w:rFonts w:hint="eastAsia"/>
                    </w:rPr>
                    <w:t>北京金燕南文仪商贸有限公司</w:t>
                  </w:r>
                </w:p>
              </w:tc>
              <w:tc>
                <w:tcPr>
                  <w:tcW w:w="3625" w:type="dxa"/>
                </w:tcPr>
                <w:p>
                  <w:r>
                    <w:rPr/>
                    <w:sym w:font="Wingdings" w:char="00FE"/>
                  </w:r>
                  <w:r>
                    <w:rPr>
                      <w:rFonts w:hint="eastAsia"/>
                    </w:rPr>
                    <w:t>组织的持续经营、明示采购要求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sym w:font="Wingdings" w:char="00FE"/>
                  </w:r>
                  <w:r>
                    <w:rPr>
                      <w:rFonts w:hint="eastAsia"/>
                    </w:rPr>
                    <w:t>顾客</w:t>
                  </w:r>
                </w:p>
              </w:tc>
              <w:tc>
                <w:tcPr>
                  <w:tcW w:w="3805" w:type="dxa"/>
                </w:tcPr>
                <w:p>
                  <w:r>
                    <w:rPr>
                      <w:rFonts w:hint="eastAsia"/>
                    </w:rPr>
                    <w:t>中联重机股份有限公司</w:t>
                  </w:r>
                </w:p>
                <w:p>
                  <w:r>
                    <w:rPr>
                      <w:rFonts w:hint="eastAsia"/>
                    </w:rPr>
                    <w:t>三一机械重工</w:t>
                  </w:r>
                </w:p>
              </w:tc>
              <w:tc>
                <w:tcPr>
                  <w:tcW w:w="3625" w:type="dxa"/>
                </w:tcPr>
                <w:p>
                  <w:r>
                    <w:rPr/>
                    <w:sym w:font="Wingdings" w:char="00FE"/>
                  </w:r>
                  <w:r>
                    <w:rPr>
                      <w:rFonts w:hint="eastAsia"/>
                    </w:rPr>
                    <w:t>按时按质按量交付产品或服务；</w:t>
                  </w:r>
                </w:p>
                <w:p>
                  <w:r>
                    <w:rPr/>
                    <w:sym w:font="Wingdings" w:char="00FE"/>
                  </w:r>
                  <w:r>
                    <w:rPr>
                      <w:rFonts w:hint="eastAsia"/>
                    </w:rPr>
                    <w:t>产品/服务质量持续满足要求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3805" w:type="dxa"/>
                </w:tcPr>
                <w:p>
                  <w:r>
                    <w:rPr>
                      <w:rFonts w:hint="eastAsia"/>
                    </w:rPr>
                    <w:t>——</w:t>
                  </w:r>
                </w:p>
              </w:tc>
              <w:tc>
                <w:tcPr>
                  <w:tcW w:w="3625" w:type="dxa"/>
                </w:tcPr>
                <w:p>
                  <w:r>
                    <w:rPr>
                      <w:rFonts w:hint="eastAsia"/>
                    </w:rPr>
                    <w:t>□良好的使用感受</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sym w:font="Wingdings" w:char="00FE"/>
                  </w:r>
                  <w:r>
                    <w:rPr>
                      <w:rFonts w:hint="eastAsia"/>
                    </w:rPr>
                    <w:t>员工</w:t>
                  </w:r>
                </w:p>
              </w:tc>
              <w:tc>
                <w:tcPr>
                  <w:tcW w:w="3805" w:type="dxa"/>
                </w:tcPr>
                <w:p>
                  <w:pPr>
                    <w:rPr>
                      <w:szCs w:val="24"/>
                    </w:rPr>
                  </w:pPr>
                  <w:r>
                    <w:rPr>
                      <w:rFonts w:hint="eastAsia"/>
                      <w:szCs w:val="24"/>
                    </w:rPr>
                    <w:t>——</w:t>
                  </w:r>
                </w:p>
              </w:tc>
              <w:tc>
                <w:tcPr>
                  <w:tcW w:w="3625" w:type="dxa"/>
                </w:tcPr>
                <w:p>
                  <w:r>
                    <w:rPr/>
                    <w:sym w:font="Wingdings" w:char="00FE"/>
                  </w:r>
                  <w:r>
                    <w:rPr>
                      <w:rFonts w:hint="eastAsia"/>
                    </w:rPr>
                    <w:t>组织的持续经营、自我发展</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sym w:font="Wingdings" w:char="00FE"/>
                  </w:r>
                  <w:r>
                    <w:rPr>
                      <w:rFonts w:hint="eastAsia"/>
                    </w:rPr>
                    <w:t>投资方</w:t>
                  </w:r>
                </w:p>
              </w:tc>
              <w:tc>
                <w:tcPr>
                  <w:tcW w:w="3805" w:type="dxa"/>
                </w:tcPr>
                <w:p>
                  <w:r>
                    <w:rPr>
                      <w:rFonts w:hint="eastAsia"/>
                    </w:rPr>
                    <w:t>自然人</w:t>
                  </w:r>
                </w:p>
              </w:tc>
              <w:tc>
                <w:tcPr>
                  <w:tcW w:w="3625" w:type="dxa"/>
                </w:tcPr>
                <w:p>
                  <w:r>
                    <w:rPr/>
                    <w:sym w:font="Wingdings" w:char="00FE"/>
                  </w:r>
                  <w:r>
                    <w:rPr>
                      <w:rFonts w:hint="eastAsia"/>
                    </w:rPr>
                    <w:t>组织的持续经营、盈利</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805" w:type="dxa"/>
                </w:tcPr>
                <w:p/>
              </w:tc>
              <w:tc>
                <w:tcPr>
                  <w:tcW w:w="3625" w:type="dxa"/>
                </w:tcPr>
                <w:p/>
              </w:tc>
            </w:tr>
          </w:tbl>
          <w:p>
            <w:pPr>
              <w:rPr>
                <w:color w:val="000000"/>
                <w:szCs w:val="21"/>
              </w:rPr>
            </w:pPr>
            <w:r>
              <w:rPr>
                <w:rFonts w:hint="eastAsia"/>
                <w:color w:val="000000"/>
                <w:szCs w:val="21"/>
              </w:rPr>
              <w:t>主要证据体现在</w:t>
            </w:r>
            <w:r>
              <w:rPr>
                <w:rFonts w:hint="eastAsia"/>
              </w:rPr>
              <w:t xml:space="preserve"> </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sym w:font="Wingdings" w:char="00FE"/>
            </w:r>
            <w:r>
              <w:rPr>
                <w:rFonts w:hint="eastAsia"/>
              </w:rPr>
              <w:t>其他</w:t>
            </w:r>
          </w:p>
        </w:tc>
        <w:tc>
          <w:tcPr>
            <w:tcW w:w="1592"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vMerge w:val="restart"/>
          </w:tcPr>
          <w:p>
            <w:r>
              <w:rPr>
                <w:rFonts w:hint="eastAsia"/>
              </w:rPr>
              <w:t>确定质量管理体系的范围</w:t>
            </w:r>
          </w:p>
        </w:tc>
        <w:tc>
          <w:tcPr>
            <w:tcW w:w="936" w:type="dxa"/>
            <w:vMerge w:val="restart"/>
          </w:tcPr>
          <w:p>
            <w:r>
              <w:rPr>
                <w:rFonts w:hint="eastAsia"/>
              </w:rPr>
              <w:t>Q4.3</w:t>
            </w:r>
          </w:p>
        </w:tc>
        <w:tc>
          <w:tcPr>
            <w:tcW w:w="745" w:type="dxa"/>
          </w:tcPr>
          <w:p>
            <w:r>
              <w:rPr>
                <w:rFonts w:hint="eastAsia"/>
              </w:rPr>
              <w:t>文件名称</w:t>
            </w:r>
          </w:p>
        </w:tc>
        <w:tc>
          <w:tcPr>
            <w:tcW w:w="9257" w:type="dxa"/>
          </w:tcPr>
          <w:p>
            <w:r>
              <w:rPr>
                <w:rFonts w:hint="eastAsia"/>
              </w:rPr>
              <w:t>如：管理手册第4.2章和“公司介绍”</w:t>
            </w:r>
          </w:p>
        </w:tc>
        <w:tc>
          <w:tcPr>
            <w:tcW w:w="1592"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4" w:type="dxa"/>
            <w:vMerge w:val="continue"/>
          </w:tcPr>
          <w:p/>
        </w:tc>
        <w:tc>
          <w:tcPr>
            <w:tcW w:w="936" w:type="dxa"/>
            <w:vMerge w:val="continue"/>
          </w:tcPr>
          <w:p/>
        </w:tc>
        <w:tc>
          <w:tcPr>
            <w:tcW w:w="745" w:type="dxa"/>
          </w:tcPr>
          <w:p>
            <w:r>
              <w:rPr>
                <w:rFonts w:hint="eastAsia"/>
              </w:rPr>
              <w:t>运行证据</w:t>
            </w:r>
          </w:p>
        </w:tc>
        <w:tc>
          <w:tcPr>
            <w:tcW w:w="9257" w:type="dxa"/>
          </w:tcPr>
          <w:p>
            <w:r>
              <w:rPr>
                <w:rFonts w:hint="eastAsia"/>
              </w:rPr>
              <w:t>组织应明确相关管理体系的范围；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4117" w:type="dxa"/>
                </w:tcPr>
                <w:p>
                  <w:r>
                    <w:rPr>
                      <w:rFonts w:hint="eastAsia"/>
                    </w:rPr>
                    <w:t>内容描述</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4117" w:type="dxa"/>
                </w:tcPr>
                <w:p>
                  <w:bookmarkStart w:id="0" w:name="审核范围"/>
                  <w:r>
                    <w:rPr>
                      <w:sz w:val="20"/>
                    </w:rPr>
                    <w:t>多语言翻译服务；计算机加密软件及辅助设备的销售</w:t>
                  </w:r>
                  <w:bookmarkEnd w:id="0"/>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yellow"/>
                    </w:rPr>
                  </w:pPr>
                  <w:r>
                    <w:rPr>
                      <w:rFonts w:hint="eastAsia"/>
                    </w:rPr>
                    <w:t>经营地址</w:t>
                  </w:r>
                </w:p>
              </w:tc>
              <w:tc>
                <w:tcPr>
                  <w:tcW w:w="4117" w:type="dxa"/>
                </w:tcPr>
                <w:p>
                  <w:pPr>
                    <w:rPr>
                      <w:highlight w:val="yellow"/>
                    </w:rPr>
                  </w:pPr>
                  <w:r>
                    <w:rPr>
                      <w:rFonts w:asciiTheme="minorEastAsia" w:hAnsiTheme="minorEastAsia" w:eastAsiaTheme="minorEastAsia"/>
                      <w:sz w:val="20"/>
                    </w:rPr>
                    <w:t>北京市丰台区丰管路16号9号楼1022</w:t>
                  </w:r>
                </w:p>
                <w:p>
                  <w:pPr>
                    <w:rPr>
                      <w:highlight w:val="yellow"/>
                    </w:rPr>
                  </w:p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117" w:type="dxa"/>
                </w:tcPr>
                <w:p>
                  <w:r>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117" w:type="dxa"/>
                </w:tcPr>
                <w:p>
                  <w:r>
                    <w:rPr>
                      <w:rFonts w:hint="eastAsia"/>
                    </w:rPr>
                    <w:sym w:font="Wingdings" w:char="00A8"/>
                  </w:r>
                  <w:r>
                    <w:rPr>
                      <w:rFonts w:hint="eastAsia"/>
                    </w:rPr>
                    <w:t xml:space="preserve"> 体系建立以来</w:t>
                  </w:r>
                </w:p>
                <w:p>
                  <w:r>
                    <w:rPr/>
                    <w:sym w:font="Wingdings" w:char="00FE"/>
                  </w:r>
                  <w:r>
                    <w:rPr>
                      <w:rFonts w:hint="eastAsia"/>
                    </w:rPr>
                    <w:t>近一年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4117" w:type="dxa"/>
                </w:tcPr>
                <w:p>
                  <w:r>
                    <w:rPr>
                      <w:rFonts w:hint="eastAsia"/>
                    </w:rPr>
                    <w:sym w:font="Wingdings" w:char="00A8"/>
                  </w:r>
                  <w:r>
                    <w:rPr>
                      <w:rFonts w:hint="eastAsia"/>
                    </w:rPr>
                    <w:t>8.3产品和服务的设计和开发</w:t>
                  </w:r>
                </w:p>
              </w:tc>
              <w:tc>
                <w:tcPr>
                  <w:tcW w:w="3015" w:type="dxa"/>
                </w:tcPr>
                <w:p>
                  <w:r>
                    <w:rPr/>
                    <w:sym w:font="Wingdings" w:char="00FE"/>
                  </w:r>
                  <w:r>
                    <w:rPr>
                      <w:rFonts w:hint="eastAsia"/>
                    </w:rPr>
                    <w:t>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4117"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c>
                <w:tcPr>
                  <w:tcW w:w="3015" w:type="dxa"/>
                </w:tcPr>
                <w:p/>
              </w:tc>
            </w:tr>
          </w:tbl>
          <w:p/>
          <w:p>
            <w:pPr>
              <w:rPr>
                <w:color w:val="000000"/>
                <w:szCs w:val="21"/>
              </w:rPr>
            </w:pPr>
            <w:r>
              <w:rPr>
                <w:rFonts w:hint="eastAsia"/>
                <w:color w:val="000000"/>
                <w:szCs w:val="21"/>
              </w:rPr>
              <w:t>在企业的管理手册中有描述。</w:t>
            </w:r>
          </w:p>
        </w:tc>
        <w:tc>
          <w:tcPr>
            <w:tcW w:w="1592"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vMerge w:val="restart"/>
          </w:tcPr>
          <w:p>
            <w:r>
              <w:rPr>
                <w:rFonts w:hint="eastAsia"/>
              </w:rPr>
              <w:t>质量管理体系及其过程</w:t>
            </w:r>
          </w:p>
        </w:tc>
        <w:tc>
          <w:tcPr>
            <w:tcW w:w="936" w:type="dxa"/>
            <w:vMerge w:val="restart"/>
          </w:tcPr>
          <w:p>
            <w:r>
              <w:rPr>
                <w:rFonts w:hint="eastAsia"/>
              </w:rPr>
              <w:t xml:space="preserve">Q4.4 </w:t>
            </w:r>
          </w:p>
        </w:tc>
        <w:tc>
          <w:tcPr>
            <w:tcW w:w="745" w:type="dxa"/>
          </w:tcPr>
          <w:p>
            <w:r>
              <w:rPr>
                <w:rFonts w:hint="eastAsia"/>
              </w:rPr>
              <w:t>文件名称</w:t>
            </w:r>
          </w:p>
        </w:tc>
        <w:tc>
          <w:tcPr>
            <w:tcW w:w="9257" w:type="dxa"/>
          </w:tcPr>
          <w:p>
            <w:r>
              <w:rPr>
                <w:rFonts w:hint="eastAsia"/>
              </w:rPr>
              <w:t>如：管理手册第4.4章和《过程清单》</w:t>
            </w:r>
          </w:p>
        </w:tc>
        <w:tc>
          <w:tcPr>
            <w:tcW w:w="1592"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4" w:type="dxa"/>
            <w:vMerge w:val="continue"/>
          </w:tcPr>
          <w:p/>
        </w:tc>
        <w:tc>
          <w:tcPr>
            <w:tcW w:w="936" w:type="dxa"/>
            <w:vMerge w:val="continue"/>
          </w:tcPr>
          <w:p/>
        </w:tc>
        <w:tc>
          <w:tcPr>
            <w:tcW w:w="745" w:type="dxa"/>
          </w:tcPr>
          <w:p>
            <w:r>
              <w:rPr>
                <w:rFonts w:hint="eastAsia"/>
              </w:rPr>
              <w:t>运行证据</w:t>
            </w:r>
          </w:p>
        </w:tc>
        <w:tc>
          <w:tcPr>
            <w:tcW w:w="9257"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市场拓展 □设备能力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人员能力 □检测水平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合同评审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知识保密 </w:t>
            </w:r>
          </w:p>
          <w:p>
            <w:pPr>
              <w:spacing w:before="40" w:after="40"/>
            </w:pPr>
            <w:r>
              <w:rPr>
                <w:rFonts w:hint="eastAsia"/>
              </w:rPr>
              <w:t xml:space="preserve">□新产品设计开发 □原材料采购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外部供方控制 □生产/服务控制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pPr>
            <w:r>
              <w:rPr>
                <w:rFonts w:hint="eastAsia"/>
              </w:rPr>
              <w:t xml:space="preserve">□人员培训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其他——无</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92"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vMerge w:val="restart"/>
          </w:tcPr>
          <w:p>
            <w:r>
              <w:rPr>
                <w:rFonts w:hint="eastAsia"/>
              </w:rPr>
              <w:t>领导作用与承诺</w:t>
            </w:r>
          </w:p>
        </w:tc>
        <w:tc>
          <w:tcPr>
            <w:tcW w:w="936" w:type="dxa"/>
            <w:vMerge w:val="restart"/>
          </w:tcPr>
          <w:p>
            <w:r>
              <w:rPr>
                <w:rFonts w:hint="eastAsia"/>
              </w:rPr>
              <w:t>Q5.1  </w:t>
            </w:r>
          </w:p>
        </w:tc>
        <w:tc>
          <w:tcPr>
            <w:tcW w:w="745" w:type="dxa"/>
          </w:tcPr>
          <w:p>
            <w:r>
              <w:rPr>
                <w:rFonts w:hint="eastAsia"/>
              </w:rPr>
              <w:t>文件名称</w:t>
            </w:r>
          </w:p>
        </w:tc>
        <w:tc>
          <w:tcPr>
            <w:tcW w:w="9257" w:type="dxa"/>
          </w:tcPr>
          <w:p>
            <w:r>
              <w:rPr>
                <w:rFonts w:hint="eastAsia"/>
              </w:rPr>
              <w:t>如：管理手册第5.1章和“总经理岗位职责”</w:t>
            </w:r>
          </w:p>
        </w:tc>
        <w:tc>
          <w:tcPr>
            <w:tcW w:w="1592"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4" w:type="dxa"/>
            <w:vMerge w:val="continue"/>
          </w:tcPr>
          <w:p/>
        </w:tc>
        <w:tc>
          <w:tcPr>
            <w:tcW w:w="936" w:type="dxa"/>
            <w:vMerge w:val="continue"/>
          </w:tcPr>
          <w:p/>
        </w:tc>
        <w:tc>
          <w:tcPr>
            <w:tcW w:w="745" w:type="dxa"/>
          </w:tcPr>
          <w:p>
            <w:r>
              <w:rPr>
                <w:rFonts w:hint="eastAsia"/>
              </w:rPr>
              <w:t>运行证据</w:t>
            </w:r>
          </w:p>
        </w:tc>
        <w:tc>
          <w:tcPr>
            <w:tcW w:w="9257"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 xml:space="preserve">对质量管理体系的有效性承担责任； </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 xml:space="preserve">确保制定质量管理体系的质量方针和质量目标，并与组织的环境和战略方向相一致； </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 xml:space="preserve">确保质量管理体系要求融入组织的业务过程；  </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 xml:space="preserve">促进使用过程方法和基于风险的思维； </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 xml:space="preserve">确保质量管理体系所需的资源是可用的； </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沟通有效的质量管理和符合质量管理体系要求的重要性；</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确保质量管理体系实现其预期结果；</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促使员工积极参与、指导和支持他们为质量管理体系的有效性作出贡献；</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推动改进；</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支持其他相关管理者在其职责范围内发挥领导作用。</w:t>
            </w:r>
          </w:p>
          <w:p>
            <w:pPr>
              <w:rPr>
                <w:color w:val="000000"/>
                <w:szCs w:val="21"/>
              </w:rPr>
            </w:pP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2"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vMerge w:val="restart"/>
          </w:tcPr>
          <w:p>
            <w:r>
              <w:rPr>
                <w:rFonts w:hint="eastAsia"/>
              </w:rPr>
              <w:t>以顾客为关注焦点</w:t>
            </w:r>
          </w:p>
          <w:p/>
        </w:tc>
        <w:tc>
          <w:tcPr>
            <w:tcW w:w="936" w:type="dxa"/>
            <w:vMerge w:val="restart"/>
          </w:tcPr>
          <w:p>
            <w:r>
              <w:rPr>
                <w:rFonts w:hint="eastAsia"/>
              </w:rPr>
              <w:t>Q5.1.2  </w:t>
            </w:r>
          </w:p>
        </w:tc>
        <w:tc>
          <w:tcPr>
            <w:tcW w:w="745" w:type="dxa"/>
          </w:tcPr>
          <w:p>
            <w:r>
              <w:rPr>
                <w:rFonts w:hint="eastAsia"/>
              </w:rPr>
              <w:t>文件名称</w:t>
            </w:r>
          </w:p>
        </w:tc>
        <w:tc>
          <w:tcPr>
            <w:tcW w:w="9257" w:type="dxa"/>
          </w:tcPr>
          <w:p>
            <w:r>
              <w:rPr>
                <w:rFonts w:hint="eastAsia"/>
              </w:rPr>
              <w:t>如：管理手册第5.1章</w:t>
            </w:r>
          </w:p>
        </w:tc>
        <w:tc>
          <w:tcPr>
            <w:tcW w:w="1592"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4" w:type="dxa"/>
            <w:vMerge w:val="continue"/>
          </w:tcPr>
          <w:p/>
        </w:tc>
        <w:tc>
          <w:tcPr>
            <w:tcW w:w="936" w:type="dxa"/>
            <w:vMerge w:val="continue"/>
          </w:tcPr>
          <w:p/>
        </w:tc>
        <w:tc>
          <w:tcPr>
            <w:tcW w:w="745" w:type="dxa"/>
          </w:tcPr>
          <w:p>
            <w:r>
              <w:rPr>
                <w:rFonts w:hint="eastAsia"/>
              </w:rPr>
              <w:t>运行证据</w:t>
            </w:r>
          </w:p>
        </w:tc>
        <w:tc>
          <w:tcPr>
            <w:tcW w:w="9257" w:type="dxa"/>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以身作则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建立机制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法规宣传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风险机遇的应对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重视顾客反馈 □目标考核 □其他</w:t>
            </w:r>
          </w:p>
        </w:tc>
        <w:tc>
          <w:tcPr>
            <w:tcW w:w="1592"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vMerge w:val="restart"/>
          </w:tcPr>
          <w:p>
            <w:r>
              <w:rPr>
                <w:rFonts w:hint="eastAsia"/>
              </w:rPr>
              <w:t>方针</w:t>
            </w:r>
          </w:p>
        </w:tc>
        <w:tc>
          <w:tcPr>
            <w:tcW w:w="936" w:type="dxa"/>
            <w:vMerge w:val="restart"/>
          </w:tcPr>
          <w:p>
            <w:r>
              <w:rPr>
                <w:rFonts w:hint="eastAsia"/>
              </w:rPr>
              <w:t>Q5.2  </w:t>
            </w:r>
          </w:p>
        </w:tc>
        <w:tc>
          <w:tcPr>
            <w:tcW w:w="745" w:type="dxa"/>
          </w:tcPr>
          <w:p>
            <w:r>
              <w:rPr>
                <w:rFonts w:hint="eastAsia"/>
              </w:rPr>
              <w:t>文件名称</w:t>
            </w:r>
          </w:p>
        </w:tc>
        <w:tc>
          <w:tcPr>
            <w:tcW w:w="9257" w:type="dxa"/>
          </w:tcPr>
          <w:p>
            <w:r>
              <w:rPr>
                <w:rFonts w:hint="eastAsia"/>
              </w:rPr>
              <w:t>如：管理手册第5.2章</w:t>
            </w:r>
          </w:p>
        </w:tc>
        <w:tc>
          <w:tcPr>
            <w:tcW w:w="1592"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4" w:type="dxa"/>
            <w:vMerge w:val="continue"/>
          </w:tcPr>
          <w:p/>
        </w:tc>
        <w:tc>
          <w:tcPr>
            <w:tcW w:w="936" w:type="dxa"/>
            <w:vMerge w:val="continue"/>
          </w:tcPr>
          <w:p/>
        </w:tc>
        <w:tc>
          <w:tcPr>
            <w:tcW w:w="745" w:type="dxa"/>
          </w:tcPr>
          <w:p>
            <w:r>
              <w:rPr>
                <w:rFonts w:hint="eastAsia"/>
              </w:rPr>
              <w:t>运行证据</w:t>
            </w:r>
          </w:p>
        </w:tc>
        <w:tc>
          <w:tcPr>
            <w:tcW w:w="9257" w:type="dxa"/>
          </w:tcPr>
          <w:p>
            <w:pPr>
              <w:rPr>
                <w:u w:val="single"/>
              </w:rPr>
            </w:pPr>
            <w:r>
              <w:rPr>
                <w:rFonts w:hint="eastAsia"/>
                <w:color w:val="000000"/>
                <w:szCs w:val="21"/>
              </w:rPr>
              <w:t xml:space="preserve"> </w:t>
            </w:r>
            <w:r>
              <w:rPr>
                <w:rFonts w:hint="eastAsia"/>
              </w:rPr>
              <w:t>最高管理者制定了文件化的管理体系方针：</w:t>
            </w:r>
          </w:p>
          <w:p>
            <w:pPr>
              <w:rPr>
                <w:b/>
                <w:bCs/>
                <w:u w:val="single"/>
              </w:rPr>
            </w:pPr>
            <w:r>
              <w:rPr>
                <w:rFonts w:hint="eastAsia"/>
                <w:u w:val="single"/>
              </w:rPr>
              <w:t xml:space="preserve">          </w:t>
            </w:r>
            <w:r>
              <w:rPr>
                <w:rFonts w:hint="eastAsia"/>
                <w:b/>
                <w:bCs/>
                <w:u w:val="single"/>
              </w:rPr>
              <w:t xml:space="preserve"> 专业、诚信、创新、共赢                             </w:t>
            </w:r>
          </w:p>
          <w:p>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适应组织的宗旨和环境并支持其战略方向</w:t>
            </w:r>
          </w:p>
          <w:p>
            <w:pPr>
              <w:rPr>
                <w:lang w:val="en-GB"/>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lang w:val="en-GB"/>
              </w:rPr>
              <w:t>质量方针合理恰当并为相应的质量目标提供了框架。</w:t>
            </w:r>
          </w:p>
          <w:p>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包括满足适用要求的承诺； </w:t>
            </w:r>
          </w:p>
          <w:p>
            <w:pPr>
              <w:rPr>
                <w:lang w:val="en-GB"/>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包括持续改进质量管理体系的承诺</w:t>
            </w:r>
          </w:p>
          <w:p/>
          <w:p>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在组织内得到沟通、理解和应用，通过：</w:t>
            </w:r>
            <w:r>
              <w:rPr>
                <w:rFonts w:hint="eastAsia"/>
              </w:rPr>
              <w:sym w:font="Wingdings" w:char="00A8"/>
            </w:r>
            <w:r>
              <w:rPr>
                <w:rFonts w:hint="eastAsia"/>
              </w:rPr>
              <w:t xml:space="preserve">展板  </w:t>
            </w:r>
            <w:r>
              <w:rPr>
                <w:rFonts w:hint="eastAsia"/>
              </w:rPr>
              <w:sym w:font="Wingdings" w:char="00A8"/>
            </w:r>
            <w:r>
              <w:rPr>
                <w:rFonts w:hint="eastAsia"/>
              </w:rPr>
              <w:t xml:space="preserve">标语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会议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文件发放   </w:t>
            </w:r>
            <w:r>
              <w:rPr>
                <w:rFonts w:hint="eastAsia"/>
              </w:rPr>
              <w:sym w:font="Wingdings" w:char="00A8"/>
            </w:r>
            <w:r>
              <w:rPr>
                <w:rFonts w:hint="eastAsia"/>
              </w:rPr>
              <w:t xml:space="preserve">其他  </w:t>
            </w:r>
          </w:p>
          <w:p>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在相关方有需要时提供。通过：</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网站 </w:t>
            </w:r>
            <w:r>
              <w:rPr>
                <w:rFonts w:hint="eastAsia"/>
              </w:rPr>
              <w:sym w:font="Wingdings" w:char="00A8"/>
            </w:r>
            <w:r>
              <w:rPr>
                <w:rFonts w:hint="eastAsia"/>
              </w:rPr>
              <w:t xml:space="preserve">宣传册 </w:t>
            </w:r>
            <w:r>
              <w:rPr>
                <w:rFonts w:hint="eastAsia"/>
              </w:rPr>
              <w:sym w:font="Wingdings" w:char="00A8"/>
            </w:r>
            <w:r>
              <w:rPr>
                <w:rFonts w:hint="eastAsia"/>
              </w:rPr>
              <w:t>其他</w:t>
            </w:r>
          </w:p>
          <w:p/>
        </w:tc>
        <w:tc>
          <w:tcPr>
            <w:tcW w:w="1592"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vMerge w:val="restart"/>
          </w:tcPr>
          <w:p>
            <w:r>
              <w:rPr>
                <w:rFonts w:hint="eastAsia"/>
              </w:rPr>
              <w:t>组织的岗位、职责和权限</w:t>
            </w:r>
          </w:p>
          <w:p/>
        </w:tc>
        <w:tc>
          <w:tcPr>
            <w:tcW w:w="936" w:type="dxa"/>
            <w:vMerge w:val="restart"/>
          </w:tcPr>
          <w:p>
            <w:r>
              <w:rPr>
                <w:rFonts w:hint="eastAsia"/>
              </w:rPr>
              <w:t>Q5.3  </w:t>
            </w:r>
          </w:p>
        </w:tc>
        <w:tc>
          <w:tcPr>
            <w:tcW w:w="745" w:type="dxa"/>
          </w:tcPr>
          <w:p>
            <w:r>
              <w:rPr>
                <w:rFonts w:hint="eastAsia"/>
              </w:rPr>
              <w:t>文件名称</w:t>
            </w:r>
          </w:p>
        </w:tc>
        <w:tc>
          <w:tcPr>
            <w:tcW w:w="9257" w:type="dxa"/>
          </w:tcPr>
          <w:p>
            <w:r>
              <w:rPr>
                <w:rFonts w:hint="eastAsia"/>
              </w:rPr>
              <w:t>如：管理手册第5.3章</w:t>
            </w:r>
          </w:p>
        </w:tc>
        <w:tc>
          <w:tcPr>
            <w:tcW w:w="1592"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84" w:type="dxa"/>
            <w:vMerge w:val="continue"/>
          </w:tcPr>
          <w:p/>
        </w:tc>
        <w:tc>
          <w:tcPr>
            <w:tcW w:w="936" w:type="dxa"/>
            <w:vMerge w:val="continue"/>
          </w:tcPr>
          <w:p/>
        </w:tc>
        <w:tc>
          <w:tcPr>
            <w:tcW w:w="745" w:type="dxa"/>
          </w:tcPr>
          <w:p>
            <w:r>
              <w:rPr>
                <w:rFonts w:hint="eastAsia"/>
              </w:rPr>
              <w:t>运行证据</w:t>
            </w:r>
          </w:p>
        </w:tc>
        <w:tc>
          <w:tcPr>
            <w:tcW w:w="9257" w:type="dxa"/>
          </w:tcPr>
          <w:p>
            <w:r>
              <w:rPr>
                <w:rFonts w:hint="eastAsia"/>
              </w:rPr>
              <w:t>最高管理者确定了组织架构及相关岗位的职责、权限，并进行了全员的沟通和理解；</w:t>
            </w:r>
          </w:p>
          <w:p>
            <w:r>
              <w:rPr>
                <w:rFonts w:hint="eastAsia"/>
              </w:rPr>
              <w:t>如：</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质量管理体系策划和推动</w:t>
                  </w:r>
                </w:p>
              </w:tc>
              <w:tc>
                <w:tcPr>
                  <w:tcW w:w="2261" w:type="dxa"/>
                </w:tcPr>
                <w:p>
                  <w:pPr>
                    <w:rPr>
                      <w:rFonts w:hint="eastAsia" w:eastAsia="宋体"/>
                      <w:lang w:eastAsia="zh-CN"/>
                    </w:rPr>
                  </w:pPr>
                  <w:r>
                    <w:rPr>
                      <w:rFonts w:hint="eastAsia"/>
                      <w:lang w:eastAsia="zh-CN"/>
                    </w:rPr>
                    <w:t>行政部</w:t>
                  </w:r>
                </w:p>
              </w:tc>
              <w:tc>
                <w:tcPr>
                  <w:tcW w:w="2261" w:type="dxa"/>
                </w:tcPr>
                <w:p>
                  <w:r>
                    <w:rPr>
                      <w:rFonts w:hint="eastAsia"/>
                    </w:rPr>
                    <w:t>生产/服务设计开发过程</w:t>
                  </w:r>
                </w:p>
              </w:tc>
              <w:tc>
                <w:tcPr>
                  <w:tcW w:w="2261" w:type="dxa"/>
                </w:tcPr>
                <w:p>
                  <w:r>
                    <w:rPr>
                      <w:rFonts w:hint="eastAsia"/>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r>
                    <w:rPr>
                      <w:rFonts w:hint="eastAsia"/>
                    </w:rPr>
                    <w:t>销售部</w:t>
                  </w:r>
                </w:p>
              </w:tc>
              <w:tc>
                <w:tcPr>
                  <w:tcW w:w="2261" w:type="dxa"/>
                </w:tcPr>
                <w:p>
                  <w:r>
                    <w:rPr>
                      <w:rFonts w:hint="eastAsia"/>
                    </w:rPr>
                    <w:t>生产/服务提供过程</w:t>
                  </w:r>
                </w:p>
              </w:tc>
              <w:tc>
                <w:tcPr>
                  <w:tcW w:w="2261" w:type="dxa"/>
                </w:tcPr>
                <w:p>
                  <w:r>
                    <w:rPr>
                      <w:rFonts w:hint="eastAsia"/>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w:t>
                  </w:r>
                </w:p>
              </w:tc>
              <w:tc>
                <w:tcPr>
                  <w:tcW w:w="2261" w:type="dxa"/>
                </w:tcPr>
                <w:p>
                  <w:r>
                    <w:rPr>
                      <w:rFonts w:hint="eastAsia"/>
                    </w:rPr>
                    <w:t>生产/服务放行过程</w:t>
                  </w:r>
                </w:p>
              </w:tc>
              <w:tc>
                <w:tcPr>
                  <w:tcW w:w="2261" w:type="dxa"/>
                </w:tcPr>
                <w:p>
                  <w:r>
                    <w:rPr>
                      <w:rFonts w:hint="eastAsia"/>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592"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vMerge w:val="restart"/>
          </w:tcPr>
          <w:p>
            <w:pPr>
              <w:rPr>
                <w:color w:val="000000"/>
                <w:szCs w:val="21"/>
              </w:rPr>
            </w:pPr>
            <w:r>
              <w:rPr>
                <w:rFonts w:hint="eastAsia"/>
                <w:color w:val="000000"/>
                <w:szCs w:val="21"/>
              </w:rPr>
              <w:t>应对风险和机遇的措施</w:t>
            </w:r>
          </w:p>
          <w:p/>
        </w:tc>
        <w:tc>
          <w:tcPr>
            <w:tcW w:w="936" w:type="dxa"/>
            <w:vMerge w:val="restart"/>
          </w:tcPr>
          <w:p>
            <w:r>
              <w:rPr>
                <w:rFonts w:hint="eastAsia"/>
                <w:color w:val="000000"/>
                <w:szCs w:val="21"/>
              </w:rPr>
              <w:t>Q6.1  </w:t>
            </w:r>
          </w:p>
        </w:tc>
        <w:tc>
          <w:tcPr>
            <w:tcW w:w="745" w:type="dxa"/>
          </w:tcPr>
          <w:p>
            <w:r>
              <w:rPr>
                <w:rFonts w:hint="eastAsia"/>
              </w:rPr>
              <w:t>文件名称</w:t>
            </w:r>
          </w:p>
        </w:tc>
        <w:tc>
          <w:tcPr>
            <w:tcW w:w="9257" w:type="dxa"/>
          </w:tcPr>
          <w:p>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w:t>
            </w:r>
            <w:r>
              <w:rPr>
                <w:rFonts w:hint="eastAsia"/>
                <w:color w:val="000000"/>
                <w:szCs w:val="21"/>
              </w:rPr>
              <w:t>应对风险和机遇</w:t>
            </w:r>
            <w:r>
              <w:rPr>
                <w:rFonts w:hint="eastAsia"/>
              </w:rPr>
              <w:t>控制程序》、手册第6.1条款</w:t>
            </w:r>
          </w:p>
        </w:tc>
        <w:tc>
          <w:tcPr>
            <w:tcW w:w="1592"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2184" w:type="dxa"/>
            <w:vMerge w:val="continue"/>
          </w:tcPr>
          <w:p/>
        </w:tc>
        <w:tc>
          <w:tcPr>
            <w:tcW w:w="936" w:type="dxa"/>
            <w:vMerge w:val="continue"/>
          </w:tcPr>
          <w:p/>
        </w:tc>
        <w:tc>
          <w:tcPr>
            <w:tcW w:w="745" w:type="dxa"/>
          </w:tcPr>
          <w:p>
            <w:r>
              <w:rPr>
                <w:rFonts w:hint="eastAsia"/>
              </w:rPr>
              <w:t>运行证据</w:t>
            </w:r>
          </w:p>
        </w:tc>
        <w:tc>
          <w:tcPr>
            <w:tcW w:w="9257" w:type="dxa"/>
          </w:tcPr>
          <w:p>
            <w:r>
              <w:rPr>
                <w:rFonts w:hint="eastAsia"/>
              </w:rPr>
              <w:t>分析风险的方法：</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规避风险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为寻求机遇承担风险、</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消除风险源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改变风险的可能性和后果、</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分担风险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通过信息充分的决策而保留风险 </w:t>
            </w:r>
            <w:r>
              <w:rPr>
                <w:rFonts w:hint="eastAsia"/>
              </w:rPr>
              <w:sym w:font="Wingdings" w:char="00A8"/>
            </w:r>
            <w:r>
              <w:rPr>
                <w:rFonts w:hint="eastAsia"/>
              </w:rPr>
              <w:t>其他</w:t>
            </w:r>
          </w:p>
          <w:p/>
          <w:p>
            <w:pPr>
              <w:rPr>
                <w:rFonts w:hint="eastAsia"/>
              </w:rPr>
            </w:pPr>
          </w:p>
          <w:p>
            <w:r>
              <w:rPr>
                <w:rFonts w:hint="eastAsia"/>
              </w:rPr>
              <w:t xml:space="preserve">列举2~3项应对主要风险的描述：         </w:t>
            </w:r>
          </w:p>
          <w:tbl>
            <w:tblPr>
              <w:tblStyle w:val="6"/>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r>
                    <w:rPr>
                      <w:rFonts w:hint="eastAsia"/>
                    </w:rPr>
                    <w:t>主要的风险描述</w:t>
                  </w:r>
                </w:p>
              </w:tc>
              <w:tc>
                <w:tcPr>
                  <w:tcW w:w="4861"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r>
                    <w:rPr>
                      <w:rFonts w:hint="eastAsia"/>
                    </w:rPr>
                    <w:t>人员流动</w:t>
                  </w:r>
                </w:p>
              </w:tc>
              <w:tc>
                <w:tcPr>
                  <w:tcW w:w="4861" w:type="dxa"/>
                </w:tcPr>
                <w:p>
                  <w:r>
                    <w:rPr>
                      <w:rFonts w:hint="eastAsia"/>
                    </w:rPr>
                    <w:t>常年招聘、培训</w:t>
                  </w:r>
                </w:p>
              </w:tc>
              <w:tc>
                <w:tcPr>
                  <w:tcW w:w="1717" w:type="dxa"/>
                </w:tcPr>
                <w:p>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有效 </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rPr>
                      <w:szCs w:val="24"/>
                    </w:rPr>
                  </w:pPr>
                </w:p>
              </w:tc>
              <w:tc>
                <w:tcPr>
                  <w:tcW w:w="4861"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rPr>
                      <w:szCs w:val="24"/>
                      <w:highlight w:val="yellow"/>
                    </w:rPr>
                  </w:pPr>
                </w:p>
              </w:tc>
              <w:tc>
                <w:tcPr>
                  <w:tcW w:w="4861" w:type="dxa"/>
                </w:tcPr>
                <w:p>
                  <w:pPr>
                    <w:rPr>
                      <w:highlight w:val="yellow"/>
                    </w:rPr>
                  </w:pPr>
                </w:p>
              </w:tc>
              <w:tc>
                <w:tcPr>
                  <w:tcW w:w="1717" w:type="dxa"/>
                </w:tcPr>
                <w:p>
                  <w:pPr>
                    <w:rPr>
                      <w:highlight w:val="yellow"/>
                    </w:rPr>
                  </w:pPr>
                </w:p>
              </w:tc>
            </w:tr>
          </w:tbl>
          <w:p/>
          <w:p>
            <w:r>
              <w:rPr>
                <w:rFonts w:hint="eastAsia"/>
              </w:rPr>
              <w:t xml:space="preserve">应对机遇的措施类型包括： </w:t>
            </w:r>
          </w:p>
          <w:p>
            <w:r>
              <w:rPr>
                <w:rFonts w:hint="eastAsia"/>
              </w:rPr>
              <w:sym w:font="Wingdings" w:char="00A8"/>
            </w:r>
            <w:r>
              <w:rPr>
                <w:rFonts w:hint="eastAsia"/>
              </w:rPr>
              <w:t xml:space="preserve">采用新实践 </w:t>
            </w:r>
            <w:r>
              <w:rPr>
                <w:rFonts w:hint="eastAsia"/>
              </w:rPr>
              <w:sym w:font="Wingdings" w:char="00A8"/>
            </w:r>
            <w:r>
              <w:rPr>
                <w:rFonts w:hint="eastAsia"/>
              </w:rPr>
              <w:t xml:space="preserve">推出新产品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开辟新市场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A8"/>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6"/>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25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主要的机遇描述</w:t>
                  </w:r>
                </w:p>
              </w:tc>
              <w:tc>
                <w:tcPr>
                  <w:tcW w:w="4258"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不断开发新市场</w:t>
                  </w:r>
                </w:p>
              </w:tc>
              <w:tc>
                <w:tcPr>
                  <w:tcW w:w="4258" w:type="dxa"/>
                </w:tcPr>
                <w:p>
                  <w:r>
                    <w:rPr>
                      <w:rFonts w:hint="eastAsia"/>
                    </w:rPr>
                    <w:t>网站挖掘、国家机遇的带动</w:t>
                  </w:r>
                </w:p>
              </w:tc>
              <w:tc>
                <w:tcPr>
                  <w:tcW w:w="1717" w:type="dxa"/>
                </w:tcPr>
                <w:p>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有效 </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4"/>
                    </w:rPr>
                  </w:pPr>
                </w:p>
              </w:tc>
              <w:tc>
                <w:tcPr>
                  <w:tcW w:w="4258"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4"/>
                    </w:rPr>
                  </w:pPr>
                </w:p>
              </w:tc>
              <w:tc>
                <w:tcPr>
                  <w:tcW w:w="4258" w:type="dxa"/>
                </w:tcPr>
                <w:p/>
              </w:tc>
              <w:tc>
                <w:tcPr>
                  <w:tcW w:w="1717" w:type="dxa"/>
                </w:tcPr>
                <w:p/>
              </w:tc>
            </w:tr>
          </w:tbl>
          <w:p/>
          <w:p/>
        </w:tc>
        <w:tc>
          <w:tcPr>
            <w:tcW w:w="1592"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vMerge w:val="restart"/>
          </w:tcPr>
          <w:p>
            <w:pPr>
              <w:rPr>
                <w:color w:val="000000"/>
                <w:szCs w:val="21"/>
              </w:rPr>
            </w:pPr>
            <w:r>
              <w:rPr>
                <w:rFonts w:hint="eastAsia"/>
                <w:color w:val="000000"/>
                <w:szCs w:val="21"/>
              </w:rPr>
              <w:t>质量目标及其实现的策划</w:t>
            </w:r>
          </w:p>
          <w:p/>
        </w:tc>
        <w:tc>
          <w:tcPr>
            <w:tcW w:w="936" w:type="dxa"/>
            <w:vMerge w:val="restart"/>
          </w:tcPr>
          <w:p>
            <w:r>
              <w:rPr>
                <w:rFonts w:hint="eastAsia"/>
                <w:color w:val="000000"/>
                <w:szCs w:val="21"/>
              </w:rPr>
              <w:t>Q6.2 </w:t>
            </w:r>
          </w:p>
        </w:tc>
        <w:tc>
          <w:tcPr>
            <w:tcW w:w="745" w:type="dxa"/>
          </w:tcPr>
          <w:p>
            <w:r>
              <w:rPr>
                <w:rFonts w:hint="eastAsia"/>
              </w:rPr>
              <w:t>文件名称</w:t>
            </w:r>
          </w:p>
        </w:tc>
        <w:tc>
          <w:tcPr>
            <w:tcW w:w="9257" w:type="dxa"/>
          </w:tcPr>
          <w:p>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手册第6.2条款、《</w:t>
            </w:r>
            <w:r>
              <w:rPr>
                <w:rFonts w:hint="eastAsia"/>
                <w:color w:val="000000"/>
                <w:szCs w:val="21"/>
              </w:rPr>
              <w:t>质量目标</w:t>
            </w:r>
            <w:r>
              <w:rPr>
                <w:rFonts w:hint="eastAsia"/>
              </w:rPr>
              <w:t>》、《分解目标》</w:t>
            </w:r>
          </w:p>
        </w:tc>
        <w:tc>
          <w:tcPr>
            <w:tcW w:w="1592"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4" w:type="dxa"/>
            <w:vMerge w:val="continue"/>
          </w:tcPr>
          <w:p/>
        </w:tc>
        <w:tc>
          <w:tcPr>
            <w:tcW w:w="936" w:type="dxa"/>
            <w:vMerge w:val="continue"/>
          </w:tcPr>
          <w:p/>
        </w:tc>
        <w:tc>
          <w:tcPr>
            <w:tcW w:w="745" w:type="dxa"/>
          </w:tcPr>
          <w:p>
            <w:r>
              <w:rPr>
                <w:rFonts w:hint="eastAsia"/>
              </w:rPr>
              <w:t>运行证据</w:t>
            </w:r>
          </w:p>
        </w:tc>
        <w:tc>
          <w:tcPr>
            <w:tcW w:w="9257" w:type="dxa"/>
          </w:tcPr>
          <w:p>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619"/>
              <w:gridCol w:w="1417"/>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4"/>
                    </w:rPr>
                  </w:pPr>
                  <w:r>
                    <w:rPr>
                      <w:rFonts w:hint="eastAsia" w:ascii="宋体" w:hAnsi="宋体"/>
                      <w:szCs w:val="24"/>
                    </w:rPr>
                    <w:t>质量目标</w:t>
                  </w:r>
                </w:p>
              </w:tc>
              <w:tc>
                <w:tcPr>
                  <w:tcW w:w="2619" w:type="dxa"/>
                  <w:shd w:val="clear" w:color="auto" w:fill="auto"/>
                </w:tcPr>
                <w:p>
                  <w:pPr>
                    <w:rPr>
                      <w:rFonts w:ascii="宋体" w:hAnsi="宋体"/>
                      <w:szCs w:val="24"/>
                    </w:rPr>
                  </w:pPr>
                  <w:r>
                    <w:rPr>
                      <w:rFonts w:hint="eastAsia" w:ascii="宋体" w:hAnsi="宋体"/>
                      <w:szCs w:val="24"/>
                    </w:rPr>
                    <w:t>计算方法</w:t>
                  </w:r>
                </w:p>
              </w:tc>
              <w:tc>
                <w:tcPr>
                  <w:tcW w:w="1417" w:type="dxa"/>
                  <w:shd w:val="clear" w:color="auto" w:fill="auto"/>
                </w:tcPr>
                <w:p>
                  <w:pPr>
                    <w:rPr>
                      <w:rFonts w:ascii="宋体" w:hAnsi="宋体"/>
                      <w:szCs w:val="24"/>
                    </w:rPr>
                  </w:pPr>
                  <w:r>
                    <w:rPr>
                      <w:rFonts w:hint="eastAsia" w:ascii="宋体" w:hAnsi="宋体"/>
                      <w:szCs w:val="24"/>
                    </w:rPr>
                    <w:t>责任部门</w:t>
                  </w:r>
                </w:p>
              </w:tc>
              <w:tc>
                <w:tcPr>
                  <w:tcW w:w="2224" w:type="dxa"/>
                  <w:shd w:val="clear" w:color="auto" w:fill="auto"/>
                </w:tcPr>
                <w:p>
                  <w:pP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顾客满意率达到 95%以上</w:t>
                  </w:r>
                  <w:r>
                    <w:t xml:space="preserve"> </w:t>
                  </w:r>
                </w:p>
              </w:tc>
              <w:tc>
                <w:tcPr>
                  <w:tcW w:w="2619" w:type="dxa"/>
                  <w:shd w:val="clear" w:color="auto" w:fill="auto"/>
                  <w:vAlign w:val="center"/>
                </w:tcPr>
                <w:p>
                  <w:pPr>
                    <w:rPr>
                      <w:szCs w:val="24"/>
                    </w:rPr>
                  </w:pPr>
                  <w:r>
                    <w:rPr>
                      <w:rFonts w:hint="eastAsia"/>
                      <w:szCs w:val="24"/>
                    </w:rPr>
                    <w:t>按顾客满意程度调查打分</w:t>
                  </w:r>
                </w:p>
              </w:tc>
              <w:tc>
                <w:tcPr>
                  <w:tcW w:w="1417" w:type="dxa"/>
                  <w:shd w:val="clear" w:color="auto" w:fill="auto"/>
                  <w:vAlign w:val="center"/>
                </w:tcPr>
                <w:p>
                  <w:pPr>
                    <w:rPr>
                      <w:szCs w:val="24"/>
                      <w:lang w:val="en-GB"/>
                    </w:rPr>
                  </w:pPr>
                  <w:r>
                    <w:rPr>
                      <w:rFonts w:hint="eastAsia"/>
                      <w:szCs w:val="24"/>
                      <w:lang w:val="en-GB"/>
                    </w:rPr>
                    <w:t>销售部</w:t>
                  </w:r>
                </w:p>
              </w:tc>
              <w:tc>
                <w:tcPr>
                  <w:tcW w:w="2224" w:type="dxa"/>
                  <w:shd w:val="clear" w:color="auto" w:fill="auto"/>
                  <w:vAlign w:val="center"/>
                </w:tcPr>
                <w:p>
                  <w:pPr>
                    <w:jc w:val="center"/>
                    <w:rPr>
                      <w:rFonts w:ascii="宋体" w:hAnsi="宋体"/>
                      <w:lang w:val="en-GB"/>
                    </w:rPr>
                  </w:pPr>
                  <w:r>
                    <w:rPr>
                      <w:rFonts w:hint="eastAsia" w:ascii="宋体" w:hAnsi="宋体"/>
                      <w:lang w:val="en-GB"/>
                    </w:rPr>
                    <w:t>9</w:t>
                  </w:r>
                  <w:r>
                    <w:rPr>
                      <w:rFonts w:ascii="宋体" w:hAnsi="宋体"/>
                      <w:lang w:val="en-GB"/>
                    </w:rPr>
                    <w:t>6.67</w:t>
                  </w:r>
                  <w:r>
                    <w:rPr>
                      <w:rFonts w:hint="eastAsia" w:ascii="宋体" w:hAnsi="宋体"/>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合同履约率100%。</w:t>
                  </w:r>
                </w:p>
              </w:tc>
              <w:tc>
                <w:tcPr>
                  <w:tcW w:w="2619" w:type="dxa"/>
                  <w:shd w:val="clear" w:color="auto" w:fill="auto"/>
                  <w:vAlign w:val="center"/>
                </w:tcPr>
                <w:p>
                  <w:pPr>
                    <w:rPr>
                      <w:rFonts w:ascii="宋体" w:hAnsi="宋体"/>
                      <w:szCs w:val="24"/>
                    </w:rPr>
                  </w:pPr>
                  <w:r>
                    <w:rPr>
                      <w:rFonts w:hint="eastAsia" w:ascii="宋体" w:hAnsi="宋体"/>
                      <w:szCs w:val="24"/>
                    </w:rPr>
                    <w:t>合同履约数/合同签订总数X</w:t>
                  </w:r>
                  <w:r>
                    <w:rPr>
                      <w:rFonts w:ascii="宋体" w:hAnsi="宋体"/>
                      <w:szCs w:val="24"/>
                    </w:rPr>
                    <w:t>100</w:t>
                  </w:r>
                  <w:r>
                    <w:rPr>
                      <w:rFonts w:hint="eastAsia" w:ascii="宋体" w:hAnsi="宋体"/>
                      <w:szCs w:val="24"/>
                    </w:rPr>
                    <w:t>%</w:t>
                  </w:r>
                </w:p>
              </w:tc>
              <w:tc>
                <w:tcPr>
                  <w:tcW w:w="1417" w:type="dxa"/>
                  <w:shd w:val="clear" w:color="auto" w:fill="auto"/>
                  <w:vAlign w:val="center"/>
                </w:tcPr>
                <w:p>
                  <w:pPr>
                    <w:rPr>
                      <w:rFonts w:ascii="宋体" w:hAnsi="宋体"/>
                      <w:szCs w:val="24"/>
                    </w:rPr>
                  </w:pPr>
                  <w:r>
                    <w:rPr>
                      <w:rFonts w:hint="eastAsia"/>
                      <w:szCs w:val="24"/>
                      <w:lang w:val="en-GB"/>
                    </w:rPr>
                    <w:t>销售部</w:t>
                  </w:r>
                </w:p>
              </w:tc>
              <w:tc>
                <w:tcPr>
                  <w:tcW w:w="2224" w:type="dxa"/>
                  <w:shd w:val="clear" w:color="auto" w:fill="auto"/>
                  <w:vAlign w:val="center"/>
                </w:tcPr>
                <w:p>
                  <w:pPr>
                    <w:jc w:val="center"/>
                    <w:rPr>
                      <w:rFonts w:ascii="宋体" w:hAnsi="宋体"/>
                    </w:rPr>
                  </w:pPr>
                  <w:r>
                    <w:rPr>
                      <w:rFonts w:hint="eastAsia" w:ascii="宋体" w:hAnsi="宋体"/>
                    </w:rPr>
                    <w:t>1</w:t>
                  </w:r>
                  <w:r>
                    <w:rPr>
                      <w:rFonts w:ascii="宋体" w:hAnsi="宋体"/>
                    </w:rPr>
                    <w:t>00</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szCs w:val="24"/>
                    </w:rPr>
                  </w:pPr>
                </w:p>
              </w:tc>
              <w:tc>
                <w:tcPr>
                  <w:tcW w:w="1417" w:type="dxa"/>
                  <w:shd w:val="clear" w:color="auto" w:fill="auto"/>
                  <w:vAlign w:val="center"/>
                </w:tcPr>
                <w:p>
                  <w:pPr>
                    <w:rPr>
                      <w:rFonts w:ascii="宋体" w:hAnsi="宋体"/>
                      <w:szCs w:val="24"/>
                    </w:rPr>
                  </w:pPr>
                </w:p>
              </w:tc>
              <w:tc>
                <w:tcPr>
                  <w:tcW w:w="222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szCs w:val="24"/>
                    </w:rPr>
                  </w:pPr>
                </w:p>
              </w:tc>
              <w:tc>
                <w:tcPr>
                  <w:tcW w:w="1417" w:type="dxa"/>
                  <w:shd w:val="clear" w:color="auto" w:fill="auto"/>
                  <w:vAlign w:val="center"/>
                </w:tcPr>
                <w:p>
                  <w:pPr>
                    <w:rPr>
                      <w:rFonts w:ascii="宋体" w:hAnsi="宋体"/>
                      <w:szCs w:val="24"/>
                    </w:rPr>
                  </w:pPr>
                </w:p>
              </w:tc>
              <w:tc>
                <w:tcPr>
                  <w:tcW w:w="222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szCs w:val="24"/>
                    </w:rPr>
                  </w:pPr>
                </w:p>
              </w:tc>
              <w:tc>
                <w:tcPr>
                  <w:tcW w:w="1417" w:type="dxa"/>
                  <w:shd w:val="clear" w:color="auto" w:fill="auto"/>
                  <w:vAlign w:val="center"/>
                </w:tcPr>
                <w:p>
                  <w:pPr>
                    <w:rPr>
                      <w:rFonts w:ascii="宋体" w:hAnsi="宋体"/>
                      <w:szCs w:val="24"/>
                    </w:rPr>
                  </w:pPr>
                </w:p>
              </w:tc>
              <w:tc>
                <w:tcPr>
                  <w:tcW w:w="2224" w:type="dxa"/>
                  <w:shd w:val="clear" w:color="auto" w:fill="auto"/>
                  <w:vAlign w:val="center"/>
                </w:tcPr>
                <w:p>
                  <w:pPr>
                    <w:jc w:val="center"/>
                    <w:rPr>
                      <w:rFonts w:ascii="宋体" w:hAnsi="宋体"/>
                    </w:rPr>
                  </w:pPr>
                </w:p>
              </w:tc>
            </w:tr>
          </w:tbl>
          <w:p>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92"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vMerge w:val="restart"/>
          </w:tcPr>
          <w:p>
            <w:pPr>
              <w:rPr>
                <w:color w:val="000000"/>
                <w:szCs w:val="21"/>
              </w:rPr>
            </w:pPr>
            <w:r>
              <w:rPr>
                <w:rFonts w:hint="eastAsia"/>
                <w:color w:val="000000"/>
                <w:szCs w:val="21"/>
              </w:rPr>
              <w:t>变更的策划</w:t>
            </w:r>
          </w:p>
          <w:p/>
        </w:tc>
        <w:tc>
          <w:tcPr>
            <w:tcW w:w="936" w:type="dxa"/>
            <w:vMerge w:val="restart"/>
          </w:tcPr>
          <w:p>
            <w:r>
              <w:rPr>
                <w:rFonts w:hint="eastAsia"/>
                <w:color w:val="000000"/>
                <w:szCs w:val="21"/>
              </w:rPr>
              <w:t>Q6.3  </w:t>
            </w:r>
          </w:p>
        </w:tc>
        <w:tc>
          <w:tcPr>
            <w:tcW w:w="745" w:type="dxa"/>
          </w:tcPr>
          <w:p>
            <w:r>
              <w:rPr>
                <w:rFonts w:hint="eastAsia"/>
              </w:rPr>
              <w:t>文件名称</w:t>
            </w:r>
          </w:p>
        </w:tc>
        <w:tc>
          <w:tcPr>
            <w:tcW w:w="9257" w:type="dxa"/>
          </w:tcPr>
          <w:p>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手册第6.3条款、</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《组织变更管理控制程序》</w:t>
            </w:r>
          </w:p>
        </w:tc>
        <w:tc>
          <w:tcPr>
            <w:tcW w:w="1592"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84" w:type="dxa"/>
            <w:vMerge w:val="continue"/>
          </w:tcPr>
          <w:p/>
        </w:tc>
        <w:tc>
          <w:tcPr>
            <w:tcW w:w="936" w:type="dxa"/>
            <w:vMerge w:val="continue"/>
          </w:tcPr>
          <w:p/>
        </w:tc>
        <w:tc>
          <w:tcPr>
            <w:tcW w:w="745" w:type="dxa"/>
          </w:tcPr>
          <w:p>
            <w:r>
              <w:rPr>
                <w:rFonts w:hint="eastAsia"/>
              </w:rPr>
              <w:t>运行证据</w:t>
            </w:r>
          </w:p>
        </w:tc>
        <w:tc>
          <w:tcPr>
            <w:tcW w:w="9257"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rPr>
                <w:color w:val="0070C0"/>
              </w:rPr>
            </w:pPr>
            <w:r>
              <w:rPr>
                <w:rFonts w:hint="eastAsia"/>
              </w:rPr>
              <w:t xml:space="preserve">□主要设备设施 □主要检测设备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其他——</w:t>
            </w:r>
            <w:r>
              <w:rPr>
                <w:rFonts w:hint="eastAsia"/>
                <w:color w:val="0070C0"/>
              </w:rPr>
              <w:t>审核周期内未发生</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92"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vMerge w:val="restart"/>
          </w:tcPr>
          <w:p>
            <w:r>
              <w:rPr>
                <w:rFonts w:hint="eastAsia"/>
              </w:rPr>
              <w:t>资源（总则）</w:t>
            </w:r>
          </w:p>
        </w:tc>
        <w:tc>
          <w:tcPr>
            <w:tcW w:w="936" w:type="dxa"/>
            <w:vMerge w:val="restart"/>
          </w:tcPr>
          <w:p>
            <w:r>
              <w:rPr>
                <w:rFonts w:hint="eastAsia"/>
                <w:color w:val="000000"/>
                <w:szCs w:val="21"/>
              </w:rPr>
              <w:t>Q7.1 </w:t>
            </w:r>
          </w:p>
        </w:tc>
        <w:tc>
          <w:tcPr>
            <w:tcW w:w="745" w:type="dxa"/>
          </w:tcPr>
          <w:p>
            <w:r>
              <w:rPr>
                <w:rFonts w:hint="eastAsia"/>
              </w:rPr>
              <w:t>文件名称</w:t>
            </w:r>
          </w:p>
        </w:tc>
        <w:tc>
          <w:tcPr>
            <w:tcW w:w="9257" w:type="dxa"/>
          </w:tcPr>
          <w:p>
            <w:r>
              <w:rPr>
                <w:rFonts w:hint="eastAsia"/>
              </w:rPr>
              <w:t>如：手册第7.1条款</w:t>
            </w:r>
          </w:p>
        </w:tc>
        <w:tc>
          <w:tcPr>
            <w:tcW w:w="1592"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4" w:type="dxa"/>
            <w:vMerge w:val="continue"/>
          </w:tcPr>
          <w:p/>
        </w:tc>
        <w:tc>
          <w:tcPr>
            <w:tcW w:w="936" w:type="dxa"/>
            <w:vMerge w:val="continue"/>
          </w:tcPr>
          <w:p/>
        </w:tc>
        <w:tc>
          <w:tcPr>
            <w:tcW w:w="745" w:type="dxa"/>
          </w:tcPr>
          <w:p>
            <w:r>
              <w:rPr>
                <w:rFonts w:hint="eastAsia"/>
              </w:rPr>
              <w:t>运行证据</w:t>
            </w:r>
          </w:p>
        </w:tc>
        <w:tc>
          <w:tcPr>
            <w:tcW w:w="9257"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color w:val="000000"/>
                <w:szCs w:val="21"/>
              </w:rPr>
            </w:pPr>
            <w:r>
              <w:rPr>
                <w:rFonts w:hint="eastAsia"/>
                <w:color w:val="000000"/>
                <w:szCs w:val="21"/>
              </w:rPr>
              <w:t>现有内部资源的能力；</w:t>
            </w:r>
          </w:p>
          <w:p>
            <w:pPr>
              <w:jc w:val="left"/>
            </w:pPr>
            <w:r>
              <w:rPr>
                <w:rFonts w:hint="eastAsia"/>
              </w:rPr>
              <w:t>建筑面积</w:t>
            </w:r>
            <w:r>
              <w:rPr>
                <w:rFonts w:hint="eastAsia"/>
                <w:u w:val="single"/>
              </w:rPr>
              <w:t xml:space="preserve"> </w:t>
            </w:r>
            <w:r>
              <w:rPr>
                <w:u w:val="single"/>
              </w:rPr>
              <w:t>140</w:t>
            </w:r>
            <w:r>
              <w:rPr>
                <w:rFonts w:hint="eastAsia"/>
                <w:u w:val="single"/>
              </w:rPr>
              <w:t xml:space="preserve">  </w:t>
            </w:r>
            <w:r>
              <w:rPr>
                <w:rFonts w:hint="eastAsia"/>
              </w:rPr>
              <w:t>平方米；生产车间</w:t>
            </w:r>
            <w:r>
              <w:rPr>
                <w:rFonts w:hint="eastAsia"/>
                <w:u w:val="single"/>
              </w:rPr>
              <w:t xml:space="preserve"> 0 </w:t>
            </w:r>
            <w:r>
              <w:rPr>
                <w:rFonts w:hint="eastAsia"/>
              </w:rPr>
              <w:t>个；库房</w:t>
            </w:r>
            <w:r>
              <w:rPr>
                <w:rFonts w:hint="eastAsia"/>
                <w:u w:val="single"/>
              </w:rPr>
              <w:t xml:space="preserve">  0  </w:t>
            </w:r>
            <w:r>
              <w:rPr>
                <w:rFonts w:hint="eastAsia"/>
              </w:rPr>
              <w:t>个；实验室</w:t>
            </w:r>
            <w:r>
              <w:rPr>
                <w:rFonts w:hint="eastAsia"/>
                <w:u w:val="single"/>
              </w:rPr>
              <w:t xml:space="preserve"> ——  </w:t>
            </w:r>
            <w:r>
              <w:rPr>
                <w:rFonts w:hint="eastAsia"/>
              </w:rPr>
              <w:t>个；</w:t>
            </w:r>
            <w:r>
              <w:rPr>
                <w:rFonts w:hint="eastAsia"/>
                <w:lang w:eastAsia="zh-CN"/>
              </w:rPr>
              <w:t>行政部</w:t>
            </w:r>
            <w:r>
              <w:rPr>
                <w:rFonts w:hint="eastAsia"/>
                <w:u w:val="single"/>
              </w:rPr>
              <w:t xml:space="preserve"> </w:t>
            </w:r>
            <w:r>
              <w:rPr>
                <w:u w:val="single"/>
              </w:rPr>
              <w:t>2</w:t>
            </w:r>
            <w:r>
              <w:rPr>
                <w:rFonts w:hint="eastAsia"/>
                <w:u w:val="single"/>
              </w:rPr>
              <w:t xml:space="preserve">  </w:t>
            </w:r>
            <w:r>
              <w:rPr>
                <w:rFonts w:hint="eastAsia"/>
              </w:rPr>
              <w:t>个；运货车辆</w:t>
            </w:r>
            <w:r>
              <w:rPr>
                <w:rFonts w:hint="eastAsia"/>
                <w:u w:val="single"/>
              </w:rPr>
              <w:t xml:space="preserve">   0  </w:t>
            </w:r>
            <w:r>
              <w:rPr>
                <w:rFonts w:hint="eastAsia"/>
              </w:rPr>
              <w:t>辆</w:t>
            </w:r>
          </w:p>
          <w:p>
            <w:pPr>
              <w:rPr>
                <w:u w:val="single"/>
              </w:rPr>
            </w:pPr>
            <w:r>
              <w:rPr>
                <w:rFonts w:hint="eastAsia"/>
              </w:rPr>
              <w:t>主要生产设备有：</w:t>
            </w:r>
            <w:r>
              <w:rPr>
                <w:rFonts w:hint="eastAsia"/>
                <w:u w:val="single"/>
              </w:rPr>
              <w:t xml:space="preserve">                                  （列举2~4种）</w:t>
            </w:r>
          </w:p>
          <w:p>
            <w:pPr>
              <w:rPr>
                <w:u w:val="single"/>
              </w:rPr>
            </w:pPr>
            <w:r>
              <w:rPr>
                <w:rFonts w:hint="eastAsia"/>
              </w:rPr>
              <w:t>主要服务设备有：</w:t>
            </w:r>
            <w:r>
              <w:rPr>
                <w:rFonts w:hint="eastAsia"/>
                <w:u w:val="single"/>
              </w:rPr>
              <w:t xml:space="preserve">   电脑、打印机、扫描仪                 （列举2~4种）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color w:val="000000"/>
                <w:sz w:val="18"/>
                <w:szCs w:val="18"/>
              </w:rPr>
              <w:t>☑</w:t>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r>
              <w:rPr>
                <w:rFonts w:ascii="Segoe UI Emoji" w:hAnsi="Segoe UI Emoji" w:cs="Segoe UI Emoji"/>
                <w:u w:val="single"/>
              </w:rPr>
              <w:t>☑</w:t>
            </w:r>
            <w:r>
              <w:rPr>
                <w:rFonts w:hint="eastAsia"/>
                <w:u w:val="single"/>
              </w:rPr>
              <w:t>不适用</w:t>
            </w:r>
            <w:r>
              <w:rPr>
                <w:u w:val="single"/>
              </w:rPr>
              <w:t xml:space="preserve">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无                               </w:t>
            </w:r>
          </w:p>
          <w:p>
            <w:pPr>
              <w:rPr>
                <w:color w:val="000000"/>
                <w:szCs w:val="21"/>
              </w:rPr>
            </w:pP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无                                        </w:t>
            </w:r>
            <w:r>
              <w:rPr>
                <w:rFonts w:hint="eastAsia"/>
              </w:rPr>
              <w:t xml:space="preserve">                            </w:t>
            </w:r>
          </w:p>
        </w:tc>
        <w:tc>
          <w:tcPr>
            <w:tcW w:w="1592"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84" w:type="dxa"/>
            <w:vMerge w:val="continue"/>
          </w:tcPr>
          <w:p/>
        </w:tc>
        <w:tc>
          <w:tcPr>
            <w:tcW w:w="936" w:type="dxa"/>
            <w:vMerge w:val="continue"/>
          </w:tcPr>
          <w:p/>
        </w:tc>
        <w:tc>
          <w:tcPr>
            <w:tcW w:w="745" w:type="dxa"/>
          </w:tcPr>
          <w:p>
            <w:r>
              <w:rPr>
                <w:rFonts w:hint="eastAsia"/>
              </w:rPr>
              <w:t>现场观察</w:t>
            </w:r>
          </w:p>
        </w:tc>
        <w:tc>
          <w:tcPr>
            <w:tcW w:w="9257" w:type="dxa"/>
          </w:tcPr>
          <w:p>
            <w:r>
              <w:rPr>
                <w:rFonts w:hint="eastAsia"/>
              </w:rPr>
              <w:t>查看关键岗位人员是否按操作要求进行操作。</w:t>
            </w:r>
            <w:r>
              <w:rPr>
                <w:rFonts w:hint="eastAsia"/>
                <w:color w:val="000000"/>
                <w:sz w:val="18"/>
                <w:szCs w:val="18"/>
              </w:rPr>
              <w:t xml:space="preserve">☑ 是 </w:t>
            </w:r>
            <w:r>
              <w:rPr>
                <w:color w:val="000000"/>
                <w:sz w:val="18"/>
                <w:szCs w:val="18"/>
              </w:rPr>
              <w:t xml:space="preserve">         </w:t>
            </w:r>
            <w:r>
              <w:rPr>
                <w:rFonts w:hint="eastAsia"/>
              </w:rPr>
              <w:sym w:font="Wingdings" w:char="00A8"/>
            </w:r>
            <w:r>
              <w:rPr>
                <w:rFonts w:hint="eastAsia"/>
                <w:color w:val="000000"/>
                <w:sz w:val="18"/>
                <w:szCs w:val="18"/>
              </w:rPr>
              <w:t>否</w:t>
            </w:r>
          </w:p>
          <w:p>
            <w:r>
              <w:rPr>
                <w:rFonts w:hint="eastAsia"/>
              </w:rPr>
              <w:t>抽样询问关键岗位人员是否熟悉按操作要求。</w:t>
            </w:r>
            <w:r>
              <w:rPr>
                <w:rFonts w:hint="eastAsia"/>
                <w:color w:val="000000"/>
                <w:sz w:val="18"/>
                <w:szCs w:val="18"/>
              </w:rPr>
              <w:t xml:space="preserve">☑ 是 </w:t>
            </w:r>
            <w:r>
              <w:rPr>
                <w:color w:val="000000"/>
                <w:sz w:val="18"/>
                <w:szCs w:val="18"/>
              </w:rPr>
              <w:t xml:space="preserve">         </w:t>
            </w:r>
            <w:r>
              <w:rPr>
                <w:rFonts w:hint="eastAsia"/>
              </w:rPr>
              <w:sym w:font="Wingdings" w:char="00A8"/>
            </w:r>
            <w:r>
              <w:rPr>
                <w:rFonts w:hint="eastAsia"/>
                <w:color w:val="000000"/>
                <w:sz w:val="18"/>
                <w:szCs w:val="18"/>
              </w:rPr>
              <w:t>否</w:t>
            </w:r>
          </w:p>
          <w:p>
            <w:r>
              <w:rPr>
                <w:rFonts w:hint="eastAsia"/>
              </w:rPr>
              <w:t>查看关键岗位的控制参数是否按操作要求进行操作。</w:t>
            </w:r>
            <w:r>
              <w:rPr>
                <w:rFonts w:hint="eastAsia"/>
                <w:color w:val="000000"/>
                <w:sz w:val="18"/>
                <w:szCs w:val="18"/>
              </w:rPr>
              <w:t xml:space="preserve">☑ 是 </w:t>
            </w:r>
            <w:r>
              <w:rPr>
                <w:color w:val="000000"/>
                <w:sz w:val="18"/>
                <w:szCs w:val="18"/>
              </w:rPr>
              <w:t xml:space="preserve">  </w:t>
            </w:r>
            <w:r>
              <w:rPr>
                <w:rFonts w:hint="eastAsia"/>
              </w:rPr>
              <w:sym w:font="Wingdings" w:char="00A8"/>
            </w:r>
            <w:r>
              <w:rPr>
                <w:rFonts w:hint="eastAsia"/>
                <w:color w:val="000000"/>
                <w:sz w:val="18"/>
                <w:szCs w:val="18"/>
              </w:rPr>
              <w:t>否</w:t>
            </w:r>
          </w:p>
          <w:p>
            <w:r>
              <w:rPr>
                <w:rFonts w:hint="eastAsia"/>
              </w:rPr>
              <w:t>查看是否按要求实施了产品标识。</w:t>
            </w:r>
            <w:r>
              <w:rPr>
                <w:rFonts w:hint="eastAsia"/>
                <w:color w:val="000000"/>
                <w:sz w:val="18"/>
                <w:szCs w:val="18"/>
              </w:rPr>
              <w:t xml:space="preserve">☑ 是 </w:t>
            </w:r>
            <w:r>
              <w:rPr>
                <w:color w:val="000000"/>
                <w:sz w:val="18"/>
                <w:szCs w:val="18"/>
              </w:rPr>
              <w:t xml:space="preserve">         </w:t>
            </w:r>
            <w:r>
              <w:rPr>
                <w:rFonts w:hint="eastAsia"/>
              </w:rPr>
              <w:sym w:font="Wingdings" w:char="00A8"/>
            </w:r>
            <w:r>
              <w:rPr>
                <w:rFonts w:hint="eastAsia"/>
                <w:color w:val="000000"/>
                <w:sz w:val="18"/>
                <w:szCs w:val="18"/>
              </w:rPr>
              <w:t>否</w:t>
            </w:r>
          </w:p>
          <w:p>
            <w:r>
              <w:rPr>
                <w:rFonts w:hint="eastAsia"/>
              </w:rPr>
              <w:t>查看是否按要求实施了状态标识。</w:t>
            </w:r>
            <w:r>
              <w:rPr>
                <w:rFonts w:hint="eastAsia"/>
                <w:color w:val="000000"/>
                <w:sz w:val="18"/>
                <w:szCs w:val="18"/>
              </w:rPr>
              <w:t xml:space="preserve">☑ 是 </w:t>
            </w:r>
            <w:r>
              <w:rPr>
                <w:color w:val="000000"/>
                <w:sz w:val="18"/>
                <w:szCs w:val="18"/>
              </w:rPr>
              <w:t xml:space="preserve">         </w:t>
            </w:r>
            <w:r>
              <w:rPr>
                <w:rFonts w:hint="eastAsia"/>
              </w:rPr>
              <w:sym w:font="Wingdings" w:char="00A8"/>
            </w:r>
            <w:r>
              <w:rPr>
                <w:rFonts w:hint="eastAsia"/>
                <w:color w:val="000000"/>
                <w:sz w:val="18"/>
                <w:szCs w:val="18"/>
              </w:rPr>
              <w:t>否</w:t>
            </w:r>
          </w:p>
          <w:p>
            <w:r>
              <w:rPr>
                <w:rFonts w:hint="eastAsia"/>
              </w:rPr>
              <w:t>查看是否使用了经校准的监视测量设备。</w:t>
            </w:r>
            <w:r>
              <w:rPr>
                <w:rFonts w:hint="eastAsia"/>
              </w:rPr>
              <w:sym w:font="Wingdings" w:char="00A8"/>
            </w:r>
            <w:r>
              <w:rPr>
                <w:rFonts w:hint="eastAsia"/>
                <w:color w:val="000000"/>
                <w:sz w:val="18"/>
                <w:szCs w:val="18"/>
              </w:rPr>
              <w:t xml:space="preserve"> 是 </w:t>
            </w:r>
            <w:r>
              <w:rPr>
                <w:color w:val="000000"/>
                <w:sz w:val="18"/>
                <w:szCs w:val="18"/>
              </w:rPr>
              <w:t xml:space="preserve">   </w:t>
            </w:r>
            <w:r>
              <w:rPr>
                <w:rFonts w:hint="eastAsia"/>
              </w:rPr>
              <w:sym w:font="Wingdings" w:char="00A8"/>
            </w:r>
            <w:r>
              <w:rPr>
                <w:rFonts w:hint="eastAsia"/>
                <w:color w:val="000000"/>
                <w:sz w:val="18"/>
                <w:szCs w:val="18"/>
              </w:rPr>
              <w:t>否（不适用）</w:t>
            </w:r>
          </w:p>
          <w:p>
            <w:r>
              <w:rPr>
                <w:rFonts w:hint="eastAsia"/>
              </w:rPr>
              <w:t>查看设备的完好情况。</w:t>
            </w:r>
            <w:r>
              <w:rPr>
                <w:rFonts w:hint="eastAsia"/>
                <w:color w:val="000000"/>
                <w:sz w:val="18"/>
                <w:szCs w:val="18"/>
              </w:rPr>
              <w:t xml:space="preserve">☑ 是 </w:t>
            </w:r>
            <w:r>
              <w:rPr>
                <w:color w:val="000000"/>
                <w:sz w:val="18"/>
                <w:szCs w:val="18"/>
              </w:rPr>
              <w:t xml:space="preserve">         </w:t>
            </w:r>
            <w:r>
              <w:rPr>
                <w:rFonts w:hint="eastAsia"/>
              </w:rPr>
              <w:sym w:font="Wingdings" w:char="00A8"/>
            </w:r>
            <w:r>
              <w:rPr>
                <w:rFonts w:hint="eastAsia"/>
                <w:color w:val="000000"/>
                <w:sz w:val="18"/>
                <w:szCs w:val="18"/>
              </w:rPr>
              <w:t>否</w:t>
            </w:r>
          </w:p>
          <w:p>
            <w:r>
              <w:rPr>
                <w:rFonts w:hint="eastAsia"/>
              </w:rPr>
              <w:t>查看生产/服务环境情况。</w:t>
            </w:r>
            <w:r>
              <w:rPr>
                <w:rFonts w:hint="eastAsia"/>
                <w:color w:val="000000"/>
                <w:sz w:val="18"/>
                <w:szCs w:val="18"/>
              </w:rPr>
              <w:t xml:space="preserve">☑ 是 </w:t>
            </w:r>
            <w:r>
              <w:rPr>
                <w:color w:val="000000"/>
                <w:sz w:val="18"/>
                <w:szCs w:val="18"/>
              </w:rPr>
              <w:t xml:space="preserve">         </w:t>
            </w:r>
            <w:r>
              <w:rPr>
                <w:rFonts w:hint="eastAsia"/>
              </w:rPr>
              <w:sym w:font="Wingdings" w:char="00A8"/>
            </w:r>
            <w:r>
              <w:rPr>
                <w:rFonts w:hint="eastAsia"/>
                <w:color w:val="000000"/>
                <w:sz w:val="18"/>
                <w:szCs w:val="18"/>
              </w:rPr>
              <w:t>否</w:t>
            </w:r>
          </w:p>
        </w:tc>
        <w:tc>
          <w:tcPr>
            <w:tcW w:w="1592"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84" w:type="dxa"/>
            <w:vMerge w:val="restart"/>
          </w:tcPr>
          <w:p>
            <w:r>
              <w:rPr>
                <w:rFonts w:hint="eastAsia"/>
              </w:rPr>
              <w:t>监视、测量、分析和评价</w:t>
            </w:r>
          </w:p>
          <w:p/>
        </w:tc>
        <w:tc>
          <w:tcPr>
            <w:tcW w:w="936" w:type="dxa"/>
            <w:vMerge w:val="restart"/>
          </w:tcPr>
          <w:p>
            <w:r>
              <w:rPr>
                <w:rFonts w:hint="eastAsia"/>
              </w:rPr>
              <w:t>Q9.1.1</w:t>
            </w:r>
          </w:p>
          <w:p/>
        </w:tc>
        <w:tc>
          <w:tcPr>
            <w:tcW w:w="745" w:type="dxa"/>
          </w:tcPr>
          <w:p>
            <w:r>
              <w:rPr>
                <w:rFonts w:hint="eastAsia"/>
              </w:rPr>
              <w:t>文件名称</w:t>
            </w:r>
          </w:p>
        </w:tc>
        <w:tc>
          <w:tcPr>
            <w:tcW w:w="9257" w:type="dxa"/>
          </w:tcPr>
          <w:p>
            <w:r>
              <w:rPr>
                <w:rFonts w:hint="eastAsia"/>
              </w:rPr>
              <w:t>如：</w:t>
            </w:r>
            <w:r>
              <w:rPr>
                <w:rFonts w:hint="eastAsia"/>
              </w:rPr>
              <w:sym w:font="Wingdings" w:char="00FE"/>
            </w:r>
            <w:r>
              <w:rPr>
                <w:rFonts w:hint="eastAsia"/>
              </w:rPr>
              <w:t>管理手册9.1.1章</w:t>
            </w:r>
          </w:p>
        </w:tc>
        <w:tc>
          <w:tcPr>
            <w:tcW w:w="1592" w:type="dxa"/>
            <w:gridSpan w:val="2"/>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6" w:hRule="atLeast"/>
        </w:trPr>
        <w:tc>
          <w:tcPr>
            <w:tcW w:w="2184" w:type="dxa"/>
            <w:vMerge w:val="continue"/>
          </w:tcPr>
          <w:p/>
        </w:tc>
        <w:tc>
          <w:tcPr>
            <w:tcW w:w="936" w:type="dxa"/>
            <w:vMerge w:val="continue"/>
          </w:tcPr>
          <w:p/>
        </w:tc>
        <w:tc>
          <w:tcPr>
            <w:tcW w:w="745" w:type="dxa"/>
          </w:tcPr>
          <w:p>
            <w:r>
              <w:rPr>
                <w:rFonts w:hint="eastAsia"/>
              </w:rPr>
              <w:t>运行证据</w:t>
            </w:r>
          </w:p>
        </w:tc>
        <w:tc>
          <w:tcPr>
            <w:tcW w:w="9257" w:type="dxa"/>
          </w:tcPr>
          <w:p>
            <w:r>
              <w:rPr>
                <w:rFonts w:hint="eastAsia"/>
              </w:rPr>
              <w:t>组织对监视和测量的环境绩效</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翻译复核</w:t>
                  </w:r>
                </w:p>
              </w:tc>
              <w:tc>
                <w:tcPr>
                  <w:tcW w:w="2149" w:type="dxa"/>
                </w:tcPr>
                <w:p>
                  <w:r>
                    <w:rPr>
                      <w:rFonts w:hint="eastAsia"/>
                    </w:rPr>
                    <w:t>人工复核</w:t>
                  </w:r>
                </w:p>
              </w:tc>
              <w:tc>
                <w:tcPr>
                  <w:tcW w:w="1986" w:type="dxa"/>
                </w:tcPr>
                <w:p>
                  <w:pPr>
                    <w:widowControl/>
                    <w:spacing w:before="40"/>
                    <w:jc w:val="left"/>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w:t>
                  </w:r>
                  <w:r>
                    <w:rPr>
                      <w:rFonts w:hint="eastAsia"/>
                    </w:rPr>
                    <w:t>其他</w:t>
                  </w:r>
                </w:p>
                <w:p>
                  <w:pPr>
                    <w:widowControl/>
                    <w:spacing w:before="40"/>
                    <w:jc w:val="left"/>
                    <w:rPr>
                      <w:color w:val="000000"/>
                      <w:szCs w:val="21"/>
                    </w:rPr>
                  </w:pPr>
                  <w:r>
                    <w:rPr>
                      <w:rFonts w:ascii="Segoe UI Emoji" w:hAnsi="Segoe UI Emoji" w:cs="Segoe UI Emoji"/>
                      <w:color w:val="000000"/>
                      <w:sz w:val="18"/>
                      <w:szCs w:val="18"/>
                    </w:rPr>
                    <w:t>☑</w:t>
                  </w:r>
                  <w:r>
                    <w:rPr>
                      <w:rFonts w:hint="eastAsia"/>
                    </w:rPr>
                    <w:t>每稿</w:t>
                  </w:r>
                </w:p>
              </w:tc>
              <w:tc>
                <w:tcPr>
                  <w:tcW w:w="1887" w:type="dxa"/>
                </w:tcPr>
                <w:p>
                  <w:r>
                    <w:rPr>
                      <w:rFonts w:hint="eastAsia"/>
                    </w:rPr>
                    <w:t>相关标准</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 xml:space="preserve">□每年 </w:t>
                  </w:r>
                  <w:r>
                    <w:rPr>
                      <w:rFonts w:ascii="Segoe UI Emoji" w:hAnsi="Segoe UI Emoji" w:cs="Segoe UI Emoji"/>
                      <w:color w:val="000000"/>
                      <w:sz w:val="15"/>
                      <w:szCs w:val="15"/>
                    </w:rPr>
                    <w:t>☑</w:t>
                  </w:r>
                  <w:r>
                    <w:rPr>
                      <w:rFonts w:hint="eastAsia"/>
                    </w:rPr>
                    <w:t>每稿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过程</w:t>
                  </w:r>
                </w:p>
              </w:tc>
              <w:tc>
                <w:tcPr>
                  <w:tcW w:w="2149" w:type="dxa"/>
                </w:tcPr>
                <w:p>
                  <w:r>
                    <w:rPr>
                      <w:rFonts w:ascii="Segoe UI Emoji" w:hAnsi="Segoe UI Emoji" w:cs="Segoe UI Emoji"/>
                      <w:color w:val="000000"/>
                      <w:sz w:val="18"/>
                      <w:szCs w:val="18"/>
                    </w:rPr>
                    <w:t>☑</w:t>
                  </w:r>
                  <w:r>
                    <w:rPr>
                      <w:rFonts w:hint="eastAsia"/>
                    </w:rPr>
                    <w:t>监督进度</w:t>
                  </w:r>
                </w:p>
                <w:p>
                  <w:r>
                    <w:rPr>
                      <w:rFonts w:hint="eastAsia"/>
                      <w:color w:val="000000"/>
                      <w:szCs w:val="21"/>
                    </w:rPr>
                    <w:t>□</w:t>
                  </w:r>
                  <w:r>
                    <w:rPr>
                      <w:rFonts w:hint="eastAsia"/>
                    </w:rPr>
                    <w:t>现场巡视</w:t>
                  </w:r>
                </w:p>
                <w:p>
                  <w:r>
                    <w:rPr>
                      <w:rFonts w:hint="eastAsia"/>
                      <w:color w:val="000000"/>
                      <w:szCs w:val="21"/>
                    </w:rPr>
                    <w:t>□</w:t>
                  </w:r>
                  <w:r>
                    <w:rPr>
                      <w:rFonts w:hint="eastAsia"/>
                    </w:rPr>
                    <w:t>抽查记录</w:t>
                  </w:r>
                </w:p>
                <w:p>
                  <w:r>
                    <w:rPr>
                      <w:rFonts w:hint="eastAsia"/>
                      <w:color w:val="000000"/>
                      <w:szCs w:val="21"/>
                    </w:rPr>
                    <w:t>□</w:t>
                  </w:r>
                  <w:r>
                    <w:rPr>
                      <w:rFonts w:hint="eastAsia"/>
                    </w:rPr>
                    <w:t>对质量目标进行统计</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p>
                  <w:r>
                    <w:rPr>
                      <w:rFonts w:ascii="Segoe UI Emoji" w:hAnsi="Segoe UI Emoji" w:cs="Segoe UI Emoji"/>
                      <w:color w:val="000000"/>
                      <w:sz w:val="18"/>
                      <w:szCs w:val="18"/>
                    </w:rPr>
                    <w:t>☑</w:t>
                  </w:r>
                  <w:r>
                    <w:rPr>
                      <w:rFonts w:hint="eastAsia"/>
                    </w:rPr>
                    <w:t>每稿</w:t>
                  </w:r>
                </w:p>
              </w:tc>
              <w:tc>
                <w:tcPr>
                  <w:tcW w:w="1887" w:type="dxa"/>
                </w:tcPr>
                <w:p>
                  <w:r>
                    <w:rPr>
                      <w:rFonts w:hint="eastAsia"/>
                    </w:rPr>
                    <w:t>客户合同</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 xml:space="preserve">□每年 </w:t>
                  </w:r>
                  <w:r>
                    <w:rPr>
                      <w:rFonts w:ascii="Segoe UI Emoji" w:hAnsi="Segoe UI Emoji" w:cs="Segoe UI Emoji"/>
                      <w:color w:val="000000"/>
                      <w:sz w:val="15"/>
                      <w:szCs w:val="15"/>
                    </w:rPr>
                    <w:t>☑</w:t>
                  </w:r>
                  <w:r>
                    <w:rPr>
                      <w:rFonts w:hint="eastAsia"/>
                    </w:rPr>
                    <w:t>每稿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w:t>
                  </w:r>
                </w:p>
              </w:tc>
              <w:tc>
                <w:tcPr>
                  <w:tcW w:w="2149" w:type="dxa"/>
                </w:tcPr>
                <w:p>
                  <w:r>
                    <w:rPr>
                      <w:rFonts w:hint="eastAsia"/>
                    </w:rPr>
                    <w:t>内部审核；对内审不符合项进行分析</w:t>
                  </w:r>
                </w:p>
              </w:tc>
              <w:tc>
                <w:tcPr>
                  <w:tcW w:w="1986" w:type="dxa"/>
                </w:tcPr>
                <w:p>
                  <w:r>
                    <w:rPr>
                      <w:rFonts w:hint="eastAsia"/>
                      <w:color w:val="000000"/>
                      <w:sz w:val="18"/>
                      <w:szCs w:val="18"/>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G</w:t>
                  </w:r>
                  <w:r>
                    <w:t>B/T19001-2016</w:t>
                  </w:r>
                  <w:r>
                    <w:rPr>
                      <w:rFonts w:hint="eastAsia"/>
                    </w:rPr>
                    <w:t>标准</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管理评审，对EMS存在的需要问题进行分析</w:t>
                  </w:r>
                </w:p>
              </w:tc>
              <w:tc>
                <w:tcPr>
                  <w:tcW w:w="1986" w:type="dxa"/>
                </w:tcPr>
                <w:p>
                  <w:r>
                    <w:rPr>
                      <w:rFonts w:hint="eastAsia"/>
                      <w:color w:val="000000"/>
                      <w:sz w:val="18"/>
                      <w:szCs w:val="18"/>
                    </w:rPr>
                    <w:t>☑</w:t>
                  </w:r>
                  <w:r>
                    <w:rPr>
                      <w:rFonts w:hint="eastAsia"/>
                    </w:rPr>
                    <w:t>每年一次</w:t>
                  </w:r>
                </w:p>
                <w:p>
                  <w:r>
                    <w:rPr>
                      <w:rFonts w:hint="eastAsia"/>
                      <w:color w:val="000000"/>
                      <w:szCs w:val="21"/>
                    </w:rPr>
                    <w:t>□特殊情况增加</w:t>
                  </w:r>
                </w:p>
              </w:tc>
              <w:tc>
                <w:tcPr>
                  <w:tcW w:w="1887" w:type="dxa"/>
                </w:tcPr>
                <w:p>
                  <w:r>
                    <w:rPr>
                      <w:rFonts w:hint="eastAsia"/>
                    </w:rPr>
                    <w:t>G</w:t>
                  </w:r>
                  <w:r>
                    <w:t>B/T19001-2016</w:t>
                  </w:r>
                  <w:r>
                    <w:rPr>
                      <w:rFonts w:hint="eastAsia"/>
                    </w:rPr>
                    <w:t>标准</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反馈处理，对问题进行统计</w:t>
                  </w:r>
                </w:p>
              </w:tc>
              <w:tc>
                <w:tcPr>
                  <w:tcW w:w="1986" w:type="dxa"/>
                </w:tcPr>
                <w:p>
                  <w:r>
                    <w:rPr>
                      <w:rFonts w:hint="eastAsia"/>
                      <w:color w:val="000000"/>
                      <w:szCs w:val="21"/>
                    </w:rPr>
                    <w:t>□</w:t>
                  </w:r>
                  <w:r>
                    <w:rPr>
                      <w:rFonts w:hint="eastAsia"/>
                    </w:rPr>
                    <w:t>每年一次</w:t>
                  </w:r>
                </w:p>
                <w:p>
                  <w:r>
                    <w:rPr>
                      <w:rFonts w:ascii="Segoe UI Emoji" w:hAnsi="Segoe UI Emoji" w:cs="Segoe UI Emoji"/>
                      <w:color w:val="000000"/>
                      <w:sz w:val="18"/>
                      <w:szCs w:val="18"/>
                    </w:rPr>
                    <w:t>☑</w:t>
                  </w:r>
                  <w:r>
                    <w:rPr>
                      <w:rFonts w:hint="eastAsia"/>
                    </w:rPr>
                    <w:t>每稿</w:t>
                  </w:r>
                </w:p>
              </w:tc>
              <w:tc>
                <w:tcPr>
                  <w:tcW w:w="1887" w:type="dxa"/>
                </w:tcPr>
                <w:p>
                  <w:r>
                    <w:rPr>
                      <w:rFonts w:hint="eastAsia"/>
                    </w:rPr>
                    <w:t>客户满意度调查</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 xml:space="preserve">□每年 </w:t>
                  </w:r>
                  <w:r>
                    <w:rPr>
                      <w:rFonts w:ascii="Segoe UI Emoji" w:hAnsi="Segoe UI Emoji" w:cs="Segoe UI Emoji"/>
                      <w:color w:val="000000"/>
                      <w:sz w:val="13"/>
                      <w:szCs w:val="13"/>
                    </w:rPr>
                    <w:t>☑</w:t>
                  </w:r>
                  <w:r>
                    <w:rPr>
                      <w:rFonts w:hint="eastAsia"/>
                    </w:rPr>
                    <w:t>每稿</w:t>
                  </w:r>
                </w:p>
              </w:tc>
            </w:tr>
          </w:tbl>
          <w:p/>
        </w:tc>
        <w:tc>
          <w:tcPr>
            <w:tcW w:w="1592"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84" w:type="dxa"/>
            <w:vMerge w:val="restart"/>
          </w:tcPr>
          <w:p>
            <w:r>
              <w:rPr>
                <w:rFonts w:hint="eastAsia"/>
              </w:rPr>
              <w:t>管理评审</w:t>
            </w:r>
          </w:p>
        </w:tc>
        <w:tc>
          <w:tcPr>
            <w:tcW w:w="936" w:type="dxa"/>
            <w:vMerge w:val="restart"/>
          </w:tcPr>
          <w:p>
            <w:r>
              <w:rPr>
                <w:rFonts w:hint="eastAsia"/>
              </w:rPr>
              <w:t>Q9.3</w:t>
            </w:r>
          </w:p>
        </w:tc>
        <w:tc>
          <w:tcPr>
            <w:tcW w:w="745" w:type="dxa"/>
          </w:tcPr>
          <w:p>
            <w:r>
              <w:rPr>
                <w:rFonts w:hint="eastAsia"/>
              </w:rPr>
              <w:t>文件名称</w:t>
            </w:r>
          </w:p>
        </w:tc>
        <w:tc>
          <w:tcPr>
            <w:tcW w:w="9257" w:type="dxa"/>
          </w:tcPr>
          <w:p>
            <w:r>
              <w:rPr>
                <w:rFonts w:hint="eastAsia"/>
              </w:rPr>
              <w:t>如：</w:t>
            </w:r>
            <w:r>
              <w:rPr/>
              <w:sym w:font="Wingdings" w:char="00FE"/>
            </w:r>
            <w:r>
              <w:rPr>
                <w:rFonts w:hint="eastAsia"/>
              </w:rPr>
              <w:t>《管理评审控制程序》</w:t>
            </w:r>
          </w:p>
        </w:tc>
        <w:tc>
          <w:tcPr>
            <w:tcW w:w="1592" w:type="dxa"/>
            <w:gridSpan w:val="2"/>
            <w:vMerge w:val="restart"/>
          </w:tcPr>
          <w:p>
            <w:pPr>
              <w:rPr>
                <w:color w:val="FF0000"/>
              </w:rPr>
            </w:pPr>
            <w:r>
              <w:rPr>
                <w:color w:val="FF0000"/>
              </w:rPr>
              <w:sym w:font="Wingdings" w:char="00A8"/>
            </w:r>
            <w:r>
              <w:rPr>
                <w:rFonts w:hint="eastAsia"/>
                <w:color w:val="FF0000"/>
              </w:rPr>
              <w:t>符合</w:t>
            </w:r>
          </w:p>
          <w:p>
            <w:r>
              <w:rPr>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84" w:type="dxa"/>
            <w:vMerge w:val="continue"/>
          </w:tcPr>
          <w:p/>
        </w:tc>
        <w:tc>
          <w:tcPr>
            <w:tcW w:w="936" w:type="dxa"/>
            <w:vMerge w:val="continue"/>
          </w:tcPr>
          <w:p/>
        </w:tc>
        <w:tc>
          <w:tcPr>
            <w:tcW w:w="745" w:type="dxa"/>
          </w:tcPr>
          <w:p>
            <w:pPr>
              <w:widowControl/>
              <w:spacing w:before="40"/>
              <w:jc w:val="left"/>
              <w:rPr>
                <w:color w:val="000000"/>
                <w:szCs w:val="18"/>
              </w:rPr>
            </w:pPr>
          </w:p>
          <w:p>
            <w:r>
              <w:rPr>
                <w:rFonts w:hint="eastAsia"/>
              </w:rPr>
              <w:t>运行证据</w:t>
            </w:r>
          </w:p>
        </w:tc>
        <w:tc>
          <w:tcPr>
            <w:tcW w:w="9257" w:type="dxa"/>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rFonts w:hint="eastAsia"/>
                <w:color w:val="000000"/>
                <w:sz w:val="18"/>
                <w:szCs w:val="18"/>
              </w:rPr>
              <w:t>☑</w:t>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改进的机会</w:t>
                  </w:r>
                </w:p>
              </w:tc>
              <w:tc>
                <w:tcPr>
                  <w:tcW w:w="4620" w:type="dxa"/>
                </w:tcPr>
                <w:p>
                  <w:pPr>
                    <w:widowControl/>
                    <w:spacing w:before="40"/>
                    <w:jc w:val="left"/>
                    <w:rPr>
                      <w:color w:val="000000"/>
                      <w:szCs w:val="21"/>
                    </w:rPr>
                  </w:pP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质量管理体系所需的变更</w:t>
                  </w:r>
                </w:p>
              </w:tc>
              <w:tc>
                <w:tcPr>
                  <w:tcW w:w="4620" w:type="dxa"/>
                </w:tcPr>
                <w:p>
                  <w:pPr>
                    <w:widowControl/>
                    <w:spacing w:before="40"/>
                    <w:jc w:val="left"/>
                    <w:rPr>
                      <w:color w:val="000000"/>
                      <w:szCs w:val="21"/>
                    </w:rPr>
                  </w:pP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color w:val="000000"/>
                      <w:szCs w:val="21"/>
                    </w:rPr>
                  </w:pP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r>
              <w:rPr>
                <w:rFonts w:hint="eastAsia"/>
              </w:rPr>
              <w:sym w:font="Wingdings" w:char="00A8"/>
            </w:r>
            <w:r>
              <w:rPr>
                <w:rFonts w:hint="eastAsia"/>
              </w:rPr>
              <w:t>改进措施未落实的原因：</w:t>
            </w:r>
          </w:p>
          <w:p>
            <w:r>
              <w:rPr>
                <w:rFonts w:hint="eastAsia" w:ascii="方正仿宋简体" w:eastAsia="方正仿宋简体"/>
                <w:b/>
                <w:color w:val="FF0000"/>
              </w:rPr>
              <w:t>无证明表明近一年内按照G</w:t>
            </w:r>
            <w:r>
              <w:rPr>
                <w:rFonts w:ascii="方正仿宋简体" w:eastAsia="方正仿宋简体"/>
                <w:b/>
                <w:color w:val="FF0000"/>
              </w:rPr>
              <w:t>B/T19001-2016</w:t>
            </w:r>
            <w:r>
              <w:rPr>
                <w:rFonts w:hint="eastAsia" w:ascii="方正仿宋简体" w:eastAsia="方正仿宋简体"/>
                <w:b/>
                <w:color w:val="FF0000"/>
              </w:rPr>
              <w:t>标准进行了管理评审</w:t>
            </w:r>
            <w:r>
              <w:rPr>
                <w:rFonts w:hint="eastAsia" w:ascii="方正仿宋简体" w:eastAsia="方正仿宋简体"/>
                <w:b/>
              </w:rPr>
              <w:t>。</w:t>
            </w:r>
          </w:p>
        </w:tc>
        <w:tc>
          <w:tcPr>
            <w:tcW w:w="1592"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84" w:type="dxa"/>
            <w:vMerge w:val="restart"/>
          </w:tcPr>
          <w:p>
            <w:r>
              <w:rPr>
                <w:rFonts w:hint="eastAsia"/>
              </w:rPr>
              <w:t>改进</w:t>
            </w:r>
          </w:p>
        </w:tc>
        <w:tc>
          <w:tcPr>
            <w:tcW w:w="936" w:type="dxa"/>
            <w:vMerge w:val="restart"/>
          </w:tcPr>
          <w:p>
            <w:r>
              <w:rPr>
                <w:rFonts w:hint="eastAsia"/>
              </w:rPr>
              <w:t>Q10.1</w:t>
            </w:r>
          </w:p>
        </w:tc>
        <w:tc>
          <w:tcPr>
            <w:tcW w:w="745" w:type="dxa"/>
          </w:tcPr>
          <w:p>
            <w:r>
              <w:rPr>
                <w:rFonts w:hint="eastAsia"/>
              </w:rPr>
              <w:t>文件名称</w:t>
            </w:r>
          </w:p>
        </w:tc>
        <w:tc>
          <w:tcPr>
            <w:tcW w:w="9279" w:type="dxa"/>
            <w:gridSpan w:val="2"/>
          </w:tcPr>
          <w:p>
            <w:r>
              <w:rPr>
                <w:rFonts w:hint="eastAsia"/>
              </w:rPr>
              <w:t>如：</w:t>
            </w:r>
            <w:r>
              <w:rPr>
                <w:rFonts w:hint="eastAsia"/>
              </w:rPr>
              <w:sym w:font="Wingdings" w:char="00FE"/>
            </w:r>
            <w:r>
              <w:rPr>
                <w:rFonts w:hint="eastAsia"/>
              </w:rPr>
              <w:t>管理手册10.1章</w:t>
            </w:r>
          </w:p>
        </w:tc>
        <w:tc>
          <w:tcPr>
            <w:tcW w:w="1570" w:type="dxa"/>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84" w:type="dxa"/>
            <w:vMerge w:val="continue"/>
          </w:tcPr>
          <w:p/>
        </w:tc>
        <w:tc>
          <w:tcPr>
            <w:tcW w:w="936" w:type="dxa"/>
            <w:vMerge w:val="continue"/>
          </w:tcPr>
          <w:p/>
        </w:tc>
        <w:tc>
          <w:tcPr>
            <w:tcW w:w="745" w:type="dxa"/>
          </w:tcPr>
          <w:p>
            <w:r>
              <w:rPr>
                <w:rFonts w:hint="eastAsia"/>
              </w:rPr>
              <w:t>运行证据</w:t>
            </w:r>
          </w:p>
        </w:tc>
        <w:tc>
          <w:tcPr>
            <w:tcW w:w="9279" w:type="dxa"/>
            <w:gridSpan w:val="2"/>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7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84" w:type="dxa"/>
            <w:vMerge w:val="restart"/>
          </w:tcPr>
          <w:p>
            <w:r>
              <w:rPr>
                <w:rFonts w:hint="eastAsia"/>
              </w:rPr>
              <w:t>10.3 持续改进</w:t>
            </w:r>
          </w:p>
          <w:p/>
        </w:tc>
        <w:tc>
          <w:tcPr>
            <w:tcW w:w="936" w:type="dxa"/>
            <w:vMerge w:val="restart"/>
          </w:tcPr>
          <w:p>
            <w:r>
              <w:rPr>
                <w:rFonts w:hint="eastAsia"/>
              </w:rPr>
              <w:t>Q10.3</w:t>
            </w:r>
          </w:p>
        </w:tc>
        <w:tc>
          <w:tcPr>
            <w:tcW w:w="745" w:type="dxa"/>
          </w:tcPr>
          <w:p>
            <w:r>
              <w:rPr>
                <w:rFonts w:hint="eastAsia"/>
              </w:rPr>
              <w:t>文件名称</w:t>
            </w:r>
          </w:p>
        </w:tc>
        <w:tc>
          <w:tcPr>
            <w:tcW w:w="9279" w:type="dxa"/>
            <w:gridSpan w:val="2"/>
          </w:tcPr>
          <w:p>
            <w:r>
              <w:rPr>
                <w:rFonts w:hint="eastAsia"/>
              </w:rPr>
              <w:t>如：</w:t>
            </w:r>
            <w:r>
              <w:rPr>
                <w:rFonts w:hint="eastAsia"/>
              </w:rPr>
              <w:sym w:font="Wingdings" w:char="00FE"/>
            </w:r>
            <w:r>
              <w:rPr>
                <w:rFonts w:hint="eastAsia"/>
              </w:rPr>
              <w:t>管理手册10.3章</w:t>
            </w:r>
          </w:p>
        </w:tc>
        <w:tc>
          <w:tcPr>
            <w:tcW w:w="157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84" w:type="dxa"/>
            <w:vMerge w:val="continue"/>
          </w:tcPr>
          <w:p/>
        </w:tc>
        <w:tc>
          <w:tcPr>
            <w:tcW w:w="936" w:type="dxa"/>
            <w:vMerge w:val="continue"/>
          </w:tcPr>
          <w:p/>
        </w:tc>
        <w:tc>
          <w:tcPr>
            <w:tcW w:w="745" w:type="dxa"/>
          </w:tcPr>
          <w:p>
            <w:r>
              <w:rPr>
                <w:rFonts w:hint="eastAsia"/>
              </w:rPr>
              <w:t>运行证据</w:t>
            </w:r>
          </w:p>
        </w:tc>
        <w:tc>
          <w:tcPr>
            <w:tcW w:w="9279" w:type="dxa"/>
            <w:gridSpan w:val="2"/>
          </w:tcPr>
          <w:p>
            <w:r>
              <w:rPr>
                <w:rFonts w:hint="eastAsia"/>
              </w:rPr>
              <w:t xml:space="preserve">组织已持续改进质量管理体系的适宜性、充分性和有效性。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A8"/>
            </w:r>
            <w:r>
              <w:rPr>
                <w:rFonts w:hint="eastAsia"/>
              </w:rPr>
              <w:t>管理评审改进措施已落实</w:t>
            </w:r>
          </w:p>
          <w:p>
            <w:pPr>
              <w:rPr>
                <w:color w:val="0070C0"/>
                <w:u w:val="single"/>
              </w:rPr>
            </w:pPr>
            <w:r>
              <w:rPr>
                <w:rFonts w:hint="eastAsia"/>
              </w:rPr>
              <w:sym w:font="Wingdings" w:char="00FE"/>
            </w:r>
            <w:r>
              <w:rPr>
                <w:rFonts w:hint="eastAsia"/>
              </w:rPr>
              <w:t xml:space="preserve"> 管理评审改进措施未落实的原因：</w:t>
            </w:r>
            <w:r>
              <w:rPr>
                <w:rFonts w:hint="eastAsia"/>
                <w:u w:val="single"/>
              </w:rPr>
              <w:t xml:space="preserve">  </w:t>
            </w:r>
            <w:r>
              <w:rPr>
                <w:rFonts w:hint="eastAsia" w:ascii="方正仿宋简体" w:eastAsia="方正仿宋简体"/>
                <w:b/>
                <w:color w:val="0070C0"/>
                <w:u w:val="single"/>
              </w:rPr>
              <w:t>无证明表明近一年内按照G</w:t>
            </w:r>
            <w:r>
              <w:rPr>
                <w:rFonts w:ascii="方正仿宋简体" w:eastAsia="方正仿宋简体"/>
                <w:b/>
                <w:color w:val="0070C0"/>
                <w:u w:val="single"/>
              </w:rPr>
              <w:t>B/T19001-2016</w:t>
            </w:r>
            <w:r>
              <w:rPr>
                <w:rFonts w:hint="eastAsia" w:ascii="方正仿宋简体" w:eastAsia="方正仿宋简体"/>
                <w:b/>
                <w:color w:val="0070C0"/>
                <w:u w:val="single"/>
              </w:rPr>
              <w:t>标准进行了管理评审。</w:t>
            </w:r>
            <w:r>
              <w:rPr>
                <w:rFonts w:hint="eastAsia"/>
                <w:color w:val="0070C0"/>
                <w:u w:val="single"/>
              </w:rPr>
              <w:t xml:space="preserve"> </w:t>
            </w:r>
          </w:p>
          <w:p/>
        </w:tc>
        <w:tc>
          <w:tcPr>
            <w:tcW w:w="1570" w:type="dxa"/>
            <w:vMerge w:val="continue"/>
          </w:tcP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237F6"/>
    <w:rsid w:val="0003373A"/>
    <w:rsid w:val="000400E2"/>
    <w:rsid w:val="00062E46"/>
    <w:rsid w:val="00070815"/>
    <w:rsid w:val="000E6B21"/>
    <w:rsid w:val="001A2D7F"/>
    <w:rsid w:val="00200136"/>
    <w:rsid w:val="002778BD"/>
    <w:rsid w:val="002939AD"/>
    <w:rsid w:val="002E4C12"/>
    <w:rsid w:val="00305A61"/>
    <w:rsid w:val="00314AF6"/>
    <w:rsid w:val="00337922"/>
    <w:rsid w:val="00340867"/>
    <w:rsid w:val="00372381"/>
    <w:rsid w:val="00372F68"/>
    <w:rsid w:val="00380837"/>
    <w:rsid w:val="003A198A"/>
    <w:rsid w:val="003B1A31"/>
    <w:rsid w:val="00410914"/>
    <w:rsid w:val="0048201E"/>
    <w:rsid w:val="00487E50"/>
    <w:rsid w:val="00516F67"/>
    <w:rsid w:val="00536930"/>
    <w:rsid w:val="00564E53"/>
    <w:rsid w:val="005D55F3"/>
    <w:rsid w:val="005D5659"/>
    <w:rsid w:val="00600C20"/>
    <w:rsid w:val="00644FE2"/>
    <w:rsid w:val="0067640C"/>
    <w:rsid w:val="006E678B"/>
    <w:rsid w:val="006E7B1D"/>
    <w:rsid w:val="007757F3"/>
    <w:rsid w:val="007842AD"/>
    <w:rsid w:val="00787ACF"/>
    <w:rsid w:val="007C1B48"/>
    <w:rsid w:val="007E3B15"/>
    <w:rsid w:val="007E6AEB"/>
    <w:rsid w:val="008973EE"/>
    <w:rsid w:val="008C0490"/>
    <w:rsid w:val="008C0EB3"/>
    <w:rsid w:val="0090507E"/>
    <w:rsid w:val="00971600"/>
    <w:rsid w:val="009973B4"/>
    <w:rsid w:val="009C28C1"/>
    <w:rsid w:val="009F7EED"/>
    <w:rsid w:val="00A80636"/>
    <w:rsid w:val="00AF0AAB"/>
    <w:rsid w:val="00B301E7"/>
    <w:rsid w:val="00B45FFE"/>
    <w:rsid w:val="00BF597E"/>
    <w:rsid w:val="00C10EEE"/>
    <w:rsid w:val="00C51A36"/>
    <w:rsid w:val="00C55228"/>
    <w:rsid w:val="00C63768"/>
    <w:rsid w:val="00CE315A"/>
    <w:rsid w:val="00D02D37"/>
    <w:rsid w:val="00D06F59"/>
    <w:rsid w:val="00D31B68"/>
    <w:rsid w:val="00D8388C"/>
    <w:rsid w:val="00DB5103"/>
    <w:rsid w:val="00DF5A6B"/>
    <w:rsid w:val="00E006E2"/>
    <w:rsid w:val="00E6224C"/>
    <w:rsid w:val="00E92343"/>
    <w:rsid w:val="00EB0164"/>
    <w:rsid w:val="00ED0F62"/>
    <w:rsid w:val="00F47F6D"/>
    <w:rsid w:val="00F9682A"/>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176D17"/>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1009</Words>
  <Characters>5754</Characters>
  <Lines>47</Lines>
  <Paragraphs>13</Paragraphs>
  <TotalTime>91</TotalTime>
  <ScaleCrop>false</ScaleCrop>
  <LinksUpToDate>false</LinksUpToDate>
  <CharactersWithSpaces>6750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2020-11-12T23:09:00Z</dcterms:created>
  <dc:creator>微软用户</dc:creator>
  <cp:lastModifiedBy>肖新龙</cp:lastModifiedBy>
  <dcterms:modified xsi:type="dcterms:W3CDTF">2020-11-19T01:07:16Z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