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bookmarkStart w:id="0" w:name="合同编号"/>
      <w:r>
        <w:rPr>
          <w:sz w:val="20"/>
        </w:rPr>
        <w:t>0217-2019-Q-2020</w:t>
      </w:r>
      <w:bookmarkEnd w:id="0"/>
      <w:r>
        <w:rPr>
          <w:szCs w:val="44"/>
        </w:rPr>
        <w:t xml:space="preserve"> </w:t>
      </w:r>
    </w:p>
    <w:p>
      <w:pPr>
        <w:jc w:val="right"/>
        <w:rPr>
          <w:rFonts w:ascii="宋体" w:hAnsi="宋体"/>
          <w:szCs w:val="2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Lines="30"/>
        <w:ind w:firstLine="321" w:firstLineChars="100"/>
        <w:rPr>
          <w:rFonts w:asciiTheme="minorEastAsia" w:hAnsiTheme="minorEastAsia" w:eastAsiaTheme="minorEastAsia"/>
          <w:sz w:val="20"/>
        </w:rPr>
      </w:pPr>
      <w:r>
        <w:rPr>
          <w:rFonts w:hint="eastAsia" w:ascii="楷体" w:hAnsi="楷体" w:eastAsia="楷体"/>
          <w:b/>
          <w:color w:val="000000"/>
          <w:sz w:val="32"/>
          <w:szCs w:val="32"/>
        </w:rPr>
        <w:t>受审核方：重庆市旺发茶叶有限公司</w:t>
      </w:r>
    </w:p>
    <w:p>
      <w:pPr>
        <w:snapToGrid w:val="0"/>
        <w:spacing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64" w:firstLineChars="300"/>
        <w:rPr>
          <w:rFonts w:hint="eastAsia"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质量管理体系（QMS）</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50430(第 1 次)</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Style w:val="9"/>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06"/>
        <w:gridCol w:w="2364"/>
        <w:gridCol w:w="399"/>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06" w:type="dxa"/>
            <w:vAlign w:val="center"/>
          </w:tcPr>
          <w:p>
            <w:pPr>
              <w:jc w:val="center"/>
              <w:rPr>
                <w:b/>
                <w:sz w:val="21"/>
                <w:szCs w:val="21"/>
              </w:rPr>
            </w:pPr>
            <w:r>
              <w:rPr>
                <w:rFonts w:hint="eastAsia"/>
                <w:b/>
                <w:sz w:val="21"/>
                <w:szCs w:val="21"/>
              </w:rPr>
              <w:t>注册级别</w:t>
            </w:r>
          </w:p>
        </w:tc>
        <w:tc>
          <w:tcPr>
            <w:tcW w:w="2364" w:type="dxa"/>
            <w:vAlign w:val="center"/>
          </w:tcPr>
          <w:p>
            <w:pPr>
              <w:jc w:val="center"/>
              <w:rPr>
                <w:b/>
                <w:sz w:val="21"/>
                <w:szCs w:val="21"/>
              </w:rPr>
            </w:pPr>
            <w:r>
              <w:rPr>
                <w:rFonts w:hint="eastAsia"/>
                <w:b/>
                <w:sz w:val="21"/>
                <w:szCs w:val="21"/>
              </w:rPr>
              <w:t>审核员注册号</w:t>
            </w:r>
          </w:p>
        </w:tc>
        <w:tc>
          <w:tcPr>
            <w:tcW w:w="1134"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06" w:type="dxa"/>
            <w:vAlign w:val="center"/>
          </w:tcPr>
          <w:p>
            <w:pPr>
              <w:jc w:val="center"/>
              <w:rPr>
                <w:b/>
                <w:sz w:val="21"/>
                <w:szCs w:val="21"/>
              </w:rPr>
            </w:pPr>
            <w:r>
              <w:rPr>
                <w:b/>
                <w:sz w:val="21"/>
                <w:szCs w:val="21"/>
              </w:rPr>
              <w:t>审核员</w:t>
            </w:r>
          </w:p>
        </w:tc>
        <w:tc>
          <w:tcPr>
            <w:tcW w:w="2364" w:type="dxa"/>
            <w:vAlign w:val="center"/>
          </w:tcPr>
          <w:p>
            <w:pPr>
              <w:jc w:val="center"/>
              <w:rPr>
                <w:b/>
                <w:sz w:val="21"/>
                <w:szCs w:val="21"/>
              </w:rPr>
            </w:pPr>
            <w:r>
              <w:rPr>
                <w:b/>
                <w:sz w:val="21"/>
                <w:szCs w:val="21"/>
              </w:rPr>
              <w:t>2018-N1QMS-2207381</w:t>
            </w:r>
          </w:p>
        </w:tc>
        <w:tc>
          <w:tcPr>
            <w:tcW w:w="1134"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白立杰</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06" w:type="dxa"/>
            <w:vAlign w:val="center"/>
          </w:tcPr>
          <w:p>
            <w:pPr>
              <w:jc w:val="center"/>
              <w:rPr>
                <w:b/>
                <w:sz w:val="21"/>
                <w:szCs w:val="21"/>
              </w:rPr>
            </w:pPr>
            <w:r>
              <w:rPr>
                <w:b/>
                <w:sz w:val="21"/>
                <w:szCs w:val="21"/>
              </w:rPr>
              <w:t>专家</w:t>
            </w:r>
          </w:p>
          <w:p>
            <w:pPr>
              <w:jc w:val="center"/>
              <w:rPr>
                <w:b/>
                <w:sz w:val="21"/>
                <w:szCs w:val="21"/>
              </w:rPr>
            </w:pPr>
          </w:p>
        </w:tc>
        <w:tc>
          <w:tcPr>
            <w:tcW w:w="2364" w:type="dxa"/>
            <w:vAlign w:val="center"/>
          </w:tcPr>
          <w:p>
            <w:pPr>
              <w:jc w:val="center"/>
              <w:rPr>
                <w:b/>
                <w:sz w:val="21"/>
                <w:szCs w:val="21"/>
              </w:rPr>
            </w:pPr>
            <w:r>
              <w:rPr>
                <w:b/>
                <w:sz w:val="21"/>
                <w:szCs w:val="21"/>
              </w:rPr>
              <w:t>ISC-JSZJ-186</w:t>
            </w:r>
          </w:p>
          <w:p>
            <w:pPr>
              <w:jc w:val="center"/>
              <w:rPr>
                <w:b/>
                <w:sz w:val="21"/>
                <w:szCs w:val="21"/>
              </w:rPr>
            </w:pPr>
            <w:r>
              <w:rPr>
                <w:b/>
                <w:sz w:val="21"/>
                <w:szCs w:val="21"/>
              </w:rPr>
              <w:t>重庆三易食品有限公司</w:t>
            </w:r>
          </w:p>
        </w:tc>
        <w:tc>
          <w:tcPr>
            <w:tcW w:w="1134" w:type="dxa"/>
            <w:gridSpan w:val="2"/>
            <w:vAlign w:val="center"/>
          </w:tcPr>
          <w:p>
            <w:pPr>
              <w:jc w:val="center"/>
              <w:rPr>
                <w:b/>
                <w:sz w:val="21"/>
                <w:szCs w:val="21"/>
              </w:rPr>
            </w:pPr>
            <w:r>
              <w:rPr>
                <w:b/>
                <w:sz w:val="21"/>
                <w:szCs w:val="21"/>
              </w:rPr>
              <w:t>03.08.03</w:t>
            </w:r>
          </w:p>
        </w:tc>
        <w:tc>
          <w:tcPr>
            <w:tcW w:w="1729" w:type="dxa"/>
            <w:gridSpan w:val="2"/>
            <w:vAlign w:val="center"/>
          </w:tcPr>
          <w:p>
            <w:pPr>
              <w:jc w:val="center"/>
              <w:rPr>
                <w:b/>
                <w:sz w:val="21"/>
                <w:szCs w:val="21"/>
              </w:rPr>
            </w:pPr>
            <w:r>
              <w:rPr>
                <w:b/>
                <w:sz w:val="21"/>
                <w:szCs w:val="21"/>
              </w:rPr>
              <w:t>ISC-JSZJ-186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06" w:type="dxa"/>
          </w:tcPr>
          <w:p>
            <w:pPr>
              <w:rPr>
                <w:b/>
                <w:sz w:val="21"/>
                <w:szCs w:val="21"/>
              </w:rPr>
            </w:pPr>
          </w:p>
        </w:tc>
        <w:tc>
          <w:tcPr>
            <w:tcW w:w="2364" w:type="dxa"/>
          </w:tcPr>
          <w:p>
            <w:pPr>
              <w:rPr>
                <w:b/>
                <w:sz w:val="21"/>
                <w:szCs w:val="21"/>
              </w:rPr>
            </w:pPr>
          </w:p>
        </w:tc>
        <w:tc>
          <w:tcPr>
            <w:tcW w:w="1134"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06" w:type="dxa"/>
          </w:tcPr>
          <w:p>
            <w:pPr>
              <w:rPr>
                <w:b/>
                <w:sz w:val="21"/>
                <w:szCs w:val="21"/>
              </w:rPr>
            </w:pPr>
          </w:p>
        </w:tc>
        <w:tc>
          <w:tcPr>
            <w:tcW w:w="2364" w:type="dxa"/>
          </w:tcPr>
          <w:p>
            <w:pPr>
              <w:rPr>
                <w:b/>
                <w:sz w:val="21"/>
                <w:szCs w:val="21"/>
              </w:rPr>
            </w:pPr>
          </w:p>
        </w:tc>
        <w:tc>
          <w:tcPr>
            <w:tcW w:w="1134"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06" w:type="dxa"/>
          </w:tcPr>
          <w:p>
            <w:pPr>
              <w:rPr>
                <w:b/>
                <w:sz w:val="21"/>
                <w:szCs w:val="21"/>
              </w:rPr>
            </w:pPr>
          </w:p>
        </w:tc>
        <w:tc>
          <w:tcPr>
            <w:tcW w:w="2364" w:type="dxa"/>
          </w:tcPr>
          <w:p>
            <w:pPr>
              <w:rPr>
                <w:b/>
                <w:sz w:val="21"/>
                <w:szCs w:val="21"/>
              </w:rPr>
            </w:pPr>
          </w:p>
        </w:tc>
        <w:tc>
          <w:tcPr>
            <w:tcW w:w="1134"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_监督1___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numPr>
          <w:ilvl w:val="0"/>
          <w:numId w:val="1"/>
        </w:numPr>
        <w:tabs>
          <w:tab w:val="left" w:pos="645"/>
        </w:tabs>
        <w:rPr>
          <w:b/>
          <w:sz w:val="26"/>
          <w:szCs w:val="26"/>
        </w:rPr>
      </w:pPr>
      <w:r>
        <w:rPr>
          <w:rFonts w:hint="eastAsia"/>
          <w:b/>
          <w:sz w:val="26"/>
          <w:szCs w:val="26"/>
        </w:rPr>
        <w:t>受审核方基本信息</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749"/>
        <w:gridCol w:w="140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jc w:val="center"/>
              <w:rPr>
                <w:rFonts w:hint="eastAsia" w:ascii="宋体" w:hAnsi="宋体"/>
                <w:b/>
                <w:sz w:val="21"/>
                <w:szCs w:val="21"/>
              </w:rPr>
            </w:pPr>
            <w:r>
              <w:rPr>
                <w:rFonts w:hint="eastAsia" w:ascii="宋体" w:hAnsi="宋体"/>
                <w:b/>
                <w:sz w:val="21"/>
                <w:szCs w:val="21"/>
              </w:rPr>
              <w:t>受审核方名称</w:t>
            </w:r>
          </w:p>
        </w:tc>
        <w:tc>
          <w:tcPr>
            <w:tcW w:w="4547" w:type="dxa"/>
            <w:gridSpan w:val="3"/>
          </w:tcPr>
          <w:p>
            <w:pPr>
              <w:jc w:val="center"/>
              <w:rPr>
                <w:rFonts w:hint="eastAsia" w:ascii="宋体" w:hAnsi="宋体"/>
                <w:b/>
                <w:sz w:val="21"/>
                <w:szCs w:val="21"/>
              </w:rPr>
            </w:pPr>
            <w:bookmarkStart w:id="11" w:name="组织名称Add"/>
            <w:r>
              <w:rPr>
                <w:rFonts w:hint="eastAsia" w:ascii="宋体" w:hAnsi="宋体"/>
                <w:b/>
                <w:sz w:val="21"/>
                <w:szCs w:val="21"/>
              </w:rPr>
              <w:t>重庆市旺发茶叶有限公司</w:t>
            </w:r>
            <w:bookmarkEnd w:id="11"/>
          </w:p>
        </w:tc>
        <w:tc>
          <w:tcPr>
            <w:tcW w:w="1404"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764" w:type="dxa"/>
          </w:tcPr>
          <w:p>
            <w:pPr>
              <w:spacing w:line="260" w:lineRule="exact"/>
              <w:rPr>
                <w:rFonts w:hint="default" w:ascii="宋体" w:eastAsia="宋体"/>
                <w:b/>
                <w:sz w:val="21"/>
                <w:lang w:val="en-US" w:eastAsia="zh-CN"/>
              </w:rPr>
            </w:pPr>
            <w:r>
              <w:rPr>
                <w:rFonts w:hint="eastAsia" w:ascii="宋体"/>
                <w:b/>
                <w:sz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547" w:type="dxa"/>
            <w:gridSpan w:val="3"/>
          </w:tcPr>
          <w:p>
            <w:pPr>
              <w:rPr>
                <w:rFonts w:ascii="宋体"/>
                <w:b/>
                <w:sz w:val="21"/>
              </w:rPr>
            </w:pPr>
            <w:bookmarkStart w:id="12" w:name="注册地址"/>
            <w:r>
              <w:rPr>
                <w:rFonts w:ascii="宋体"/>
                <w:b/>
                <w:sz w:val="21"/>
              </w:rPr>
              <w:t>重庆市江津区德感街道高桥溪村</w:t>
            </w:r>
            <w:bookmarkEnd w:id="12"/>
          </w:p>
        </w:tc>
        <w:tc>
          <w:tcPr>
            <w:tcW w:w="1404" w:type="dxa"/>
            <w:vMerge w:val="restart"/>
            <w:vAlign w:val="center"/>
          </w:tcPr>
          <w:p>
            <w:pPr>
              <w:jc w:val="center"/>
              <w:rPr>
                <w:rFonts w:ascii="宋体"/>
                <w:b/>
                <w:sz w:val="21"/>
              </w:rPr>
            </w:pPr>
            <w:r>
              <w:rPr>
                <w:rFonts w:hint="eastAsia" w:ascii="宋体" w:hAnsi="宋体"/>
                <w:b/>
                <w:sz w:val="21"/>
              </w:rPr>
              <w:t>邮编</w:t>
            </w:r>
          </w:p>
        </w:tc>
        <w:tc>
          <w:tcPr>
            <w:tcW w:w="1764" w:type="dxa"/>
          </w:tcPr>
          <w:p>
            <w:pPr>
              <w:rPr>
                <w:rFonts w:ascii="宋体"/>
                <w:b/>
                <w:sz w:val="21"/>
              </w:rPr>
            </w:pPr>
            <w:bookmarkStart w:id="13" w:name="注册邮编"/>
            <w:r>
              <w:rPr>
                <w:rFonts w:ascii="宋体"/>
                <w:b/>
                <w:sz w:val="21"/>
              </w:rPr>
              <w:t>402260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547" w:type="dxa"/>
            <w:gridSpan w:val="3"/>
          </w:tcPr>
          <w:p>
            <w:pPr>
              <w:rPr>
                <w:rFonts w:ascii="宋体"/>
                <w:b/>
                <w:sz w:val="21"/>
              </w:rPr>
            </w:pPr>
            <w:bookmarkStart w:id="14" w:name="办公地址"/>
            <w:r>
              <w:rPr>
                <w:rFonts w:ascii="宋体"/>
                <w:b/>
                <w:sz w:val="21"/>
              </w:rPr>
              <w:t>重庆市江津区麻纱市滨江路口旺发茶叶门市部</w:t>
            </w:r>
            <w:bookmarkEnd w:id="14"/>
          </w:p>
        </w:tc>
        <w:tc>
          <w:tcPr>
            <w:tcW w:w="1404" w:type="dxa"/>
            <w:vMerge w:val="continue"/>
            <w:vAlign w:val="center"/>
          </w:tcPr>
          <w:p>
            <w:pPr>
              <w:jc w:val="center"/>
              <w:rPr>
                <w:rFonts w:ascii="宋体"/>
                <w:b/>
                <w:sz w:val="21"/>
              </w:rPr>
            </w:pPr>
          </w:p>
        </w:tc>
        <w:tc>
          <w:tcPr>
            <w:tcW w:w="1764" w:type="dxa"/>
          </w:tcPr>
          <w:p>
            <w:pPr>
              <w:rPr>
                <w:rFonts w:ascii="宋体"/>
                <w:b/>
                <w:sz w:val="21"/>
              </w:rPr>
            </w:pPr>
            <w:bookmarkStart w:id="15" w:name="办公邮编"/>
            <w:r>
              <w:rPr>
                <w:rFonts w:ascii="宋体"/>
                <w:b/>
                <w:sz w:val="21"/>
              </w:rPr>
              <w:t>402260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547" w:type="dxa"/>
            <w:gridSpan w:val="3"/>
          </w:tcPr>
          <w:p>
            <w:pPr>
              <w:rPr>
                <w:rFonts w:ascii="宋体"/>
                <w:b/>
                <w:sz w:val="21"/>
              </w:rPr>
            </w:pPr>
            <w:bookmarkStart w:id="16" w:name="生产地址Add"/>
            <w:r>
              <w:rPr>
                <w:rFonts w:ascii="宋体"/>
                <w:b/>
                <w:sz w:val="21"/>
              </w:rPr>
              <w:t>重庆市江津区德感街道高桥溪村</w:t>
            </w:r>
            <w:bookmarkEnd w:id="16"/>
          </w:p>
        </w:tc>
        <w:tc>
          <w:tcPr>
            <w:tcW w:w="1404" w:type="dxa"/>
            <w:vMerge w:val="continue"/>
            <w:vAlign w:val="center"/>
          </w:tcPr>
          <w:p>
            <w:pPr>
              <w:jc w:val="center"/>
              <w:rPr>
                <w:rFonts w:ascii="宋体"/>
                <w:b/>
                <w:sz w:val="21"/>
              </w:rPr>
            </w:pPr>
          </w:p>
        </w:tc>
        <w:tc>
          <w:tcPr>
            <w:tcW w:w="1764" w:type="dxa"/>
          </w:tcPr>
          <w:p>
            <w:pPr>
              <w:rPr>
                <w:rFonts w:ascii="宋体"/>
                <w:b/>
                <w:sz w:val="21"/>
              </w:rPr>
            </w:pPr>
            <w:bookmarkStart w:id="17" w:name="生产邮编"/>
            <w:r>
              <w:rPr>
                <w:rFonts w:ascii="宋体"/>
                <w:b/>
                <w:sz w:val="21"/>
              </w:rPr>
              <w:t>402260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刘燕妮</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749" w:type="dxa"/>
            <w:vAlign w:val="center"/>
          </w:tcPr>
          <w:p>
            <w:pPr>
              <w:jc w:val="center"/>
              <w:rPr>
                <w:rFonts w:ascii="宋体"/>
                <w:b/>
                <w:sz w:val="21"/>
              </w:rPr>
            </w:pPr>
            <w:bookmarkStart w:id="19" w:name="联系人电话Add"/>
            <w:r>
              <w:rPr>
                <w:rFonts w:ascii="宋体"/>
                <w:b/>
                <w:sz w:val="21"/>
              </w:rPr>
              <w:t>18702367813</w:t>
            </w:r>
            <w:bookmarkEnd w:id="19"/>
          </w:p>
        </w:tc>
        <w:tc>
          <w:tcPr>
            <w:tcW w:w="1404" w:type="dxa"/>
            <w:vAlign w:val="center"/>
          </w:tcPr>
          <w:p>
            <w:pPr>
              <w:jc w:val="center"/>
              <w:rPr>
                <w:rFonts w:ascii="宋体"/>
                <w:b/>
                <w:sz w:val="21"/>
              </w:rPr>
            </w:pPr>
            <w:r>
              <w:rPr>
                <w:rFonts w:hint="eastAsia" w:ascii="宋体" w:hAnsi="宋体"/>
                <w:b/>
                <w:sz w:val="21"/>
              </w:rPr>
              <w:t>传真</w:t>
            </w:r>
          </w:p>
        </w:tc>
        <w:tc>
          <w:tcPr>
            <w:tcW w:w="1764"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丁富兰</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749" w:type="dxa"/>
          </w:tcPr>
          <w:p>
            <w:pPr>
              <w:rPr>
                <w:rFonts w:ascii="宋体" w:hAnsi="宋体"/>
                <w:b/>
                <w:sz w:val="21"/>
                <w:szCs w:val="21"/>
              </w:rPr>
            </w:pPr>
          </w:p>
        </w:tc>
        <w:tc>
          <w:tcPr>
            <w:tcW w:w="1404" w:type="dxa"/>
            <w:vAlign w:val="center"/>
          </w:tcPr>
          <w:p>
            <w:pPr>
              <w:jc w:val="center"/>
              <w:rPr>
                <w:rFonts w:ascii="宋体" w:hAnsi="宋体"/>
                <w:b/>
                <w:sz w:val="21"/>
                <w:szCs w:val="21"/>
              </w:rPr>
            </w:pPr>
            <w:r>
              <w:rPr>
                <w:rFonts w:hint="eastAsia" w:ascii="宋体" w:hAnsi="宋体"/>
                <w:b/>
                <w:sz w:val="21"/>
                <w:szCs w:val="21"/>
              </w:rPr>
              <w:t>管理者代表</w:t>
            </w:r>
          </w:p>
        </w:tc>
        <w:tc>
          <w:tcPr>
            <w:tcW w:w="1764" w:type="dxa"/>
          </w:tcPr>
          <w:p>
            <w:pPr>
              <w:rPr>
                <w:rFonts w:ascii="宋体"/>
                <w:b/>
                <w:sz w:val="21"/>
              </w:rPr>
            </w:pPr>
            <w:bookmarkStart w:id="22" w:name="管理者代表"/>
            <w:r>
              <w:rPr>
                <w:rFonts w:ascii="宋体"/>
                <w:b/>
                <w:sz w:val="21"/>
              </w:rPr>
              <w:t>刘燕妮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2020年10月28日 上午至2020年10月28日 下午</w:t>
            </w:r>
            <w:bookmarkEnd w:id="23"/>
          </w:p>
        </w:tc>
        <w:tc>
          <w:tcPr>
            <w:tcW w:w="1749" w:type="dxa"/>
            <w:vAlign w:val="center"/>
          </w:tcPr>
          <w:p>
            <w:pPr>
              <w:rPr>
                <w:rFonts w:ascii="宋体" w:hAnsi="宋体"/>
                <w:b/>
                <w:sz w:val="21"/>
                <w:szCs w:val="21"/>
              </w:rPr>
            </w:pPr>
            <w:r>
              <w:rPr>
                <w:rFonts w:hint="eastAsia" w:ascii="宋体" w:hAnsi="宋体"/>
                <w:b/>
                <w:sz w:val="21"/>
                <w:szCs w:val="21"/>
              </w:rPr>
              <w:t>一体化审核</w:t>
            </w:r>
          </w:p>
        </w:tc>
        <w:tc>
          <w:tcPr>
            <w:tcW w:w="3168"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715" w:type="dxa"/>
            <w:gridSpan w:val="5"/>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bookmarkStart w:id="26" w:name="QJ勾选Add1"/>
            <w:r>
              <w:rPr>
                <w:rFonts w:ascii="宋体" w:hAnsi="宋体"/>
                <w:b/>
                <w:sz w:val="21"/>
                <w:szCs w:val="21"/>
              </w:rPr>
              <w:t>茶叶分装</w:t>
            </w:r>
            <w:bookmarkEnd w:id="25"/>
            <w:r>
              <w:rPr>
                <w:rFonts w:hint="eastAsia" w:ascii="宋体" w:hAnsi="宋体"/>
                <w:b/>
                <w:sz w:val="21"/>
                <w:szCs w:val="21"/>
              </w:rPr>
              <w:t>□</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715" w:type="dxa"/>
            <w:gridSpan w:val="5"/>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03.08.03</w:t>
            </w:r>
            <w:bookmarkEnd w:id="29"/>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749" w:type="dxa"/>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2022-06-09</w:t>
            </w:r>
          </w:p>
        </w:tc>
        <w:tc>
          <w:tcPr>
            <w:tcW w:w="1404"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64" w:type="dxa"/>
          </w:tcPr>
          <w:p>
            <w:pPr>
              <w:spacing w:line="260" w:lineRule="exact"/>
              <w:rPr>
                <w:rFonts w:hint="eastAsia" w:ascii="宋体" w:eastAsia="宋体"/>
                <w:b/>
                <w:sz w:val="21"/>
                <w:lang w:eastAsia="zh-CN"/>
              </w:rPr>
            </w:pPr>
            <w:r>
              <w:rPr>
                <w:rFonts w:hint="eastAsia"/>
                <w:sz w:val="21"/>
                <w:szCs w:val="21"/>
              </w:rPr>
              <w:t>201</w:t>
            </w:r>
            <w:r>
              <w:rPr>
                <w:rFonts w:hint="eastAsia"/>
                <w:sz w:val="21"/>
                <w:szCs w:val="21"/>
                <w:lang w:val="en-US" w:eastAsia="zh-CN"/>
              </w:rPr>
              <w:t>9</w:t>
            </w:r>
            <w:r>
              <w:rPr>
                <w:rFonts w:hint="eastAsia"/>
                <w:sz w:val="21"/>
                <w:szCs w:val="21"/>
              </w:rPr>
              <w:t>年</w:t>
            </w:r>
            <w:r>
              <w:rPr>
                <w:rFonts w:hint="eastAsia"/>
                <w:sz w:val="21"/>
                <w:szCs w:val="21"/>
                <w:lang w:val="en-US" w:eastAsia="zh-CN"/>
              </w:rPr>
              <w:t>6</w:t>
            </w:r>
            <w:r>
              <w:rPr>
                <w:rFonts w:hint="eastAsia"/>
                <w:sz w:val="21"/>
                <w:szCs w:val="21"/>
              </w:rPr>
              <w:t xml:space="preserve">月 </w:t>
            </w:r>
            <w:r>
              <w:rPr>
                <w:rFonts w:hint="eastAsia"/>
                <w:sz w:val="21"/>
                <w:szCs w:val="21"/>
                <w:lang w:val="en-US" w:eastAsia="zh-CN"/>
              </w:rPr>
              <w:t>1</w:t>
            </w:r>
            <w:r>
              <w:rPr>
                <w:rFonts w:hint="eastAsia"/>
                <w:sz w:val="21"/>
                <w:szCs w:val="21"/>
              </w:rPr>
              <w:t>日</w:t>
            </w:r>
            <w:r>
              <w:rPr>
                <w:rFonts w:hint="eastAsia"/>
                <w:sz w:val="21"/>
                <w:szCs w:val="21"/>
                <w:lang w:eastAsia="zh-CN"/>
              </w:rPr>
              <w:t>上午</w:t>
            </w:r>
            <w:r>
              <w:rPr>
                <w:rFonts w:hint="eastAsia"/>
                <w:sz w:val="21"/>
                <w:szCs w:val="21"/>
              </w:rPr>
              <w:t>至 201</w:t>
            </w:r>
            <w:r>
              <w:rPr>
                <w:rFonts w:hint="eastAsia"/>
                <w:sz w:val="21"/>
                <w:szCs w:val="21"/>
                <w:lang w:val="en-US" w:eastAsia="zh-CN"/>
              </w:rPr>
              <w:t>9</w:t>
            </w:r>
            <w:r>
              <w:rPr>
                <w:rFonts w:hint="eastAsia"/>
                <w:sz w:val="21"/>
                <w:szCs w:val="21"/>
              </w:rPr>
              <w:t>年</w:t>
            </w:r>
            <w:r>
              <w:rPr>
                <w:rFonts w:hint="eastAsia"/>
                <w:sz w:val="21"/>
                <w:szCs w:val="21"/>
                <w:lang w:val="en-US" w:eastAsia="zh-CN"/>
              </w:rPr>
              <w:t>6</w:t>
            </w:r>
            <w:r>
              <w:rPr>
                <w:rFonts w:hint="eastAsia"/>
                <w:sz w:val="21"/>
                <w:szCs w:val="21"/>
              </w:rPr>
              <w:t xml:space="preserve">月 </w:t>
            </w:r>
            <w:r>
              <w:rPr>
                <w:rFonts w:hint="eastAsia"/>
                <w:sz w:val="21"/>
                <w:szCs w:val="21"/>
                <w:lang w:val="en-US" w:eastAsia="zh-CN"/>
              </w:rPr>
              <w:t>2</w:t>
            </w:r>
            <w:r>
              <w:rPr>
                <w:rFonts w:hint="eastAsia"/>
                <w:sz w:val="21"/>
                <w:szCs w:val="21"/>
              </w:rPr>
              <w:t>日</w:t>
            </w:r>
            <w:r>
              <w:rPr>
                <w:rFonts w:hint="eastAsia"/>
                <w:sz w:val="21"/>
                <w:szCs w:val="21"/>
                <w:lang w:eastAsia="zh-CN"/>
              </w:rPr>
              <w:t>上午</w:t>
            </w:r>
          </w:p>
        </w:tc>
      </w:tr>
    </w:tbl>
    <w:p>
      <w:pPr>
        <w:numPr>
          <w:ilvl w:val="0"/>
          <w:numId w:val="0"/>
        </w:num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6</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日至2020年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28</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30" w:name="组织名称"/>
            <w:r>
              <w:rPr>
                <w:rFonts w:hint="eastAsia" w:ascii="宋体" w:hAnsi="宋体" w:cs="宋体"/>
                <w:sz w:val="21"/>
                <w:szCs w:val="21"/>
                <w:lang w:val="en-US" w:eastAsia="zh-CN"/>
              </w:rPr>
              <w:t>重庆市旺发茶叶有限公司</w:t>
            </w:r>
            <w:bookmarkEnd w:id="30"/>
            <w:r>
              <w:rPr>
                <w:rFonts w:hint="eastAsia" w:ascii="宋体" w:hAnsi="宋体" w:cs="宋体"/>
                <w:sz w:val="21"/>
                <w:szCs w:val="21"/>
                <w:lang w:val="en-US" w:eastAsia="zh-CN"/>
              </w:rPr>
              <w:t>是一家专业从事茶叶分装的企业。现有员工22人，经营状况良好。组织对内外部因素、相关方需求和期望进行了充分的识别，策划和实施有效。确定了体系的边界，基本适用。管理体系不适用条款为8.3。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360" w:lineRule="auto"/>
              <w:jc w:val="left"/>
              <w:rPr>
                <w:rFonts w:ascii="宋体" w:hAnsi="宋体"/>
                <w:b/>
                <w:sz w:val="21"/>
                <w:szCs w:val="21"/>
              </w:rPr>
            </w:pPr>
            <w:r>
              <w:rPr>
                <w:rFonts w:hint="eastAsia" w:ascii="宋体" w:hAnsi="宋体" w:cs="宋体"/>
                <w:color w:val="000000"/>
                <w:sz w:val="21"/>
                <w:szCs w:val="21"/>
              </w:rPr>
              <w:t>“</w:t>
            </w:r>
            <w:r>
              <w:rPr>
                <w:rFonts w:hint="eastAsia"/>
                <w:sz w:val="21"/>
                <w:szCs w:val="21"/>
                <w:lang w:eastAsia="zh-CN"/>
              </w:rPr>
              <w:t>质量第一、顾客至上、科技领先、追求卓越</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3"/>
              </w:numPr>
              <w:spacing w:line="300" w:lineRule="exact"/>
              <w:ind w:left="0" w:leftChars="0" w:firstLine="0" w:firstLineChars="0"/>
              <w:rPr>
                <w:rFonts w:hint="eastAsia" w:ascii="宋体" w:hAnsi="宋体"/>
                <w:b/>
                <w:sz w:val="21"/>
                <w:szCs w:val="21"/>
              </w:rPr>
            </w:pPr>
            <w:r>
              <w:rPr>
                <w:rFonts w:ascii="宋体" w:hAnsi="宋体"/>
                <w:b/>
                <w:sz w:val="21"/>
                <w:szCs w:val="21"/>
              </w:rPr>
              <w:t>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rPr>
                <w:rFonts w:hint="eastAsia" w:ascii="宋体" w:hAnsi="宋体"/>
                <w:b/>
                <w:sz w:val="21"/>
                <w:szCs w:val="21"/>
                <w:lang w:val="en-US" w:eastAsia="zh-CN"/>
              </w:rPr>
            </w:pPr>
            <w:r>
              <w:rPr>
                <w:rFonts w:hint="eastAsia" w:ascii="宋体" w:hAnsi="宋体"/>
                <w:b/>
                <w:sz w:val="21"/>
                <w:szCs w:val="21"/>
                <w:lang w:val="en-US" w:eastAsia="zh-CN"/>
              </w:rPr>
              <w:t>QMS范围：</w:t>
            </w:r>
            <w:r>
              <w:rPr>
                <w:rFonts w:hint="eastAsia"/>
                <w:sz w:val="21"/>
                <w:szCs w:val="21"/>
              </w:rPr>
              <w:t>茶</w:t>
            </w:r>
            <w:r>
              <w:rPr>
                <w:rFonts w:hint="eastAsia"/>
                <w:sz w:val="21"/>
                <w:szCs w:val="21"/>
                <w:lang w:eastAsia="zh-CN"/>
              </w:rPr>
              <w:t>叶</w:t>
            </w:r>
            <w:r>
              <w:rPr>
                <w:rFonts w:hint="eastAsia"/>
                <w:sz w:val="21"/>
                <w:szCs w:val="21"/>
              </w:rPr>
              <w:t>分装</w:t>
            </w:r>
            <w:r>
              <w:rPr>
                <w:rFonts w:hint="eastAsia" w:ascii="宋体" w:hAnsi="宋体"/>
              </w:rPr>
              <w:t xml:space="preserve"> </w:t>
            </w:r>
          </w:p>
          <w:p>
            <w:pPr>
              <w:tabs>
                <w:tab w:val="left" w:pos="540"/>
              </w:tabs>
              <w:spacing w:line="300" w:lineRule="exact"/>
              <w:ind w:left="211" w:hanging="211" w:hangingChars="100"/>
              <w:rPr>
                <w:rFonts w:hint="eastAsia" w:ascii="宋体" w:hAnsi="宋体"/>
                <w:b/>
                <w:sz w:val="21"/>
                <w:szCs w:val="21"/>
              </w:rPr>
            </w:pPr>
            <w:r>
              <w:rPr>
                <w:rFonts w:hint="eastAsia" w:ascii="宋体" w:hAnsi="宋体"/>
                <w:b/>
                <w:sz w:val="21"/>
                <w:szCs w:val="21"/>
              </w:rPr>
              <w:t>质量管理体系过程有：</w:t>
            </w:r>
          </w:p>
          <w:p>
            <w:pPr>
              <w:widowControl/>
              <w:spacing w:line="400" w:lineRule="exact"/>
              <w:rPr>
                <w:rFonts w:hint="eastAsia"/>
                <w:sz w:val="21"/>
                <w:szCs w:val="21"/>
              </w:rPr>
            </w:pPr>
            <w:r>
              <w:rPr>
                <w:rFonts w:hint="eastAsia"/>
                <w:sz w:val="21"/>
                <w:szCs w:val="21"/>
              </w:rPr>
              <w:t>茶</w:t>
            </w:r>
            <w:r>
              <w:rPr>
                <w:rFonts w:hint="eastAsia"/>
                <w:sz w:val="21"/>
                <w:szCs w:val="21"/>
                <w:lang w:eastAsia="zh-CN"/>
              </w:rPr>
              <w:t>叶</w:t>
            </w:r>
            <w:r>
              <w:rPr>
                <w:rFonts w:hint="eastAsia"/>
                <w:sz w:val="21"/>
                <w:szCs w:val="21"/>
              </w:rPr>
              <w:t>分装工艺流程图</w:t>
            </w:r>
          </w:p>
          <w:p>
            <w:pPr>
              <w:widowControl/>
              <w:spacing w:line="400" w:lineRule="exact"/>
              <w:rPr>
                <w:rFonts w:hint="eastAsia"/>
                <w:sz w:val="21"/>
                <w:szCs w:val="21"/>
                <w:lang w:eastAsia="zh-CN"/>
              </w:rPr>
            </w:pPr>
            <w:r>
              <w:rPr>
                <w:rFonts w:hint="eastAsia"/>
                <w:sz w:val="21"/>
                <w:szCs w:val="21"/>
                <w:lang w:eastAsia="zh-CN"/>
              </w:rPr>
              <w:t>原料验收→脱袋→匀堆→包装→检验</w:t>
            </w:r>
          </w:p>
          <w:p>
            <w:pPr>
              <w:adjustRightInd w:val="0"/>
              <w:snapToGrid w:val="0"/>
              <w:spacing w:line="400" w:lineRule="exact"/>
              <w:rPr>
                <w:rFonts w:hint="default" w:ascii="宋体" w:hAnsi="宋体" w:eastAsia="宋体" w:cs="宋体"/>
                <w:sz w:val="21"/>
                <w:szCs w:val="21"/>
                <w:lang w:val="en-US" w:eastAsia="zh-CN"/>
              </w:rPr>
            </w:pPr>
            <w:r>
              <w:rPr>
                <w:rFonts w:hint="eastAsia" w:ascii="宋体" w:hAnsi="宋体" w:cs="宋体"/>
                <w:sz w:val="21"/>
                <w:szCs w:val="21"/>
              </w:rPr>
              <w:t>关键过程：</w:t>
            </w:r>
            <w:r>
              <w:rPr>
                <w:rFonts w:hint="eastAsia" w:ascii="宋体" w:hAnsi="宋体" w:cs="宋体"/>
                <w:sz w:val="21"/>
                <w:szCs w:val="21"/>
                <w:lang w:eastAsia="zh-CN"/>
              </w:rPr>
              <w:t>匀堆</w:t>
            </w:r>
            <w:r>
              <w:rPr>
                <w:rFonts w:hint="eastAsia" w:ascii="宋体" w:hAnsi="宋体" w:cs="宋体"/>
                <w:sz w:val="21"/>
                <w:szCs w:val="21"/>
              </w:rPr>
              <w:t>、分装</w:t>
            </w:r>
            <w:r>
              <w:rPr>
                <w:rFonts w:hint="eastAsia" w:ascii="宋体" w:hAnsi="宋体" w:cs="宋体"/>
                <w:sz w:val="21"/>
                <w:szCs w:val="21"/>
                <w:lang w:val="en-US" w:eastAsia="zh-CN"/>
              </w:rPr>
              <w:t xml:space="preserve">  特殊过程、；无</w:t>
            </w:r>
          </w:p>
          <w:p>
            <w:pPr>
              <w:tabs>
                <w:tab w:val="left" w:pos="540"/>
              </w:tabs>
              <w:spacing w:line="300" w:lineRule="exact"/>
              <w:ind w:left="211" w:hanging="211" w:hangingChars="100"/>
              <w:rPr>
                <w:rFonts w:hint="eastAsia" w:ascii="宋体" w:hAnsi="宋体" w:eastAsia="宋体"/>
                <w:b/>
                <w:sz w:val="21"/>
                <w:szCs w:val="21"/>
                <w:lang w:eastAsia="zh-CN"/>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8.3</w:t>
            </w:r>
            <w:r>
              <w:rPr>
                <w:rFonts w:hint="eastAsia" w:ascii="宋体" w:hAnsi="宋体"/>
                <w:b/>
                <w:sz w:val="21"/>
                <w:szCs w:val="21"/>
              </w:rPr>
              <w:t xml:space="preserve">    删减理由：</w:t>
            </w:r>
            <w:r>
              <w:rPr>
                <w:rFonts w:hint="eastAsia" w:ascii="宋体" w:hAnsi="宋体" w:cs="宋体"/>
                <w:color w:val="000000"/>
                <w:sz w:val="21"/>
                <w:szCs w:val="21"/>
              </w:rPr>
              <w:t>公司产品均按</w:t>
            </w:r>
            <w:r>
              <w:rPr>
                <w:rFonts w:hint="eastAsia" w:ascii="宋体" w:hAnsi="宋体" w:cs="宋体"/>
                <w:color w:val="000000"/>
                <w:sz w:val="21"/>
                <w:szCs w:val="21"/>
                <w:lang w:eastAsia="zh-CN"/>
              </w:rPr>
              <w:t>客户要求及</w:t>
            </w:r>
            <w:r>
              <w:rPr>
                <w:rFonts w:hint="eastAsia" w:ascii="宋体" w:hAnsi="宋体" w:cs="宋体"/>
                <w:color w:val="000000"/>
                <w:sz w:val="21"/>
                <w:szCs w:val="21"/>
              </w:rPr>
              <w:t>相关标准进行</w:t>
            </w:r>
            <w:r>
              <w:rPr>
                <w:rFonts w:hint="eastAsia" w:ascii="宋体" w:hAnsi="宋体" w:cs="宋体"/>
                <w:color w:val="000000"/>
                <w:sz w:val="21"/>
                <w:szCs w:val="21"/>
                <w:lang w:eastAsia="zh-CN"/>
              </w:rPr>
              <w:t>分装</w:t>
            </w:r>
            <w:r>
              <w:rPr>
                <w:rFonts w:hint="eastAsia" w:ascii="宋体" w:hAnsi="宋体" w:cs="宋体"/>
                <w:color w:val="000000"/>
                <w:sz w:val="21"/>
                <w:szCs w:val="21"/>
              </w:rPr>
              <w:t>，工艺成熟</w:t>
            </w:r>
            <w:r>
              <w:rPr>
                <w:rFonts w:hint="eastAsia" w:ascii="宋体" w:hAnsi="宋体" w:cs="宋体"/>
                <w:color w:val="000000"/>
                <w:sz w:val="21"/>
                <w:szCs w:val="21"/>
                <w:lang w:eastAsia="zh-CN"/>
              </w:rPr>
              <w:t>固定</w:t>
            </w:r>
            <w:r>
              <w:rPr>
                <w:rFonts w:hint="eastAsia" w:ascii="宋体" w:hAnsi="宋体" w:cs="宋体"/>
                <w:color w:val="000000"/>
                <w:sz w:val="21"/>
                <w:szCs w:val="21"/>
              </w:rPr>
              <w:t>，不涉及设计</w:t>
            </w:r>
            <w:r>
              <w:rPr>
                <w:rFonts w:hint="eastAsia" w:ascii="宋体" w:hAnsi="宋体" w:cs="宋体"/>
                <w:color w:val="000000"/>
                <w:sz w:val="21"/>
                <w:szCs w:val="21"/>
                <w:lang w:eastAsia="zh-CN"/>
              </w:rPr>
              <w:t>新的过程</w:t>
            </w:r>
            <w:r>
              <w:rPr>
                <w:rFonts w:hint="eastAsia" w:ascii="宋体" w:hAnsi="宋体" w:cs="宋体"/>
                <w:color w:val="000000"/>
                <w:sz w:val="21"/>
                <w:szCs w:val="21"/>
              </w:rPr>
              <w:t>，</w:t>
            </w:r>
            <w:r>
              <w:rPr>
                <w:rFonts w:hint="eastAsia" w:ascii="宋体" w:hAnsi="宋体" w:cs="宋体"/>
                <w:color w:val="000000"/>
                <w:sz w:val="21"/>
                <w:szCs w:val="21"/>
                <w:lang w:eastAsia="zh-CN"/>
              </w:rPr>
              <w:t>故</w:t>
            </w:r>
            <w:r>
              <w:rPr>
                <w:rFonts w:hint="eastAsia" w:ascii="宋体" w:hAnsi="宋体" w:cs="宋体"/>
                <w:color w:val="000000"/>
                <w:sz w:val="21"/>
                <w:szCs w:val="21"/>
                <w:lang w:val="en-US" w:eastAsia="zh-CN"/>
              </w:rPr>
              <w:t>8.3条款</w:t>
            </w:r>
            <w:r>
              <w:rPr>
                <w:rFonts w:hint="eastAsia" w:ascii="宋体" w:hAnsi="宋体" w:cs="宋体"/>
                <w:color w:val="000000"/>
                <w:sz w:val="21"/>
                <w:szCs w:val="21"/>
              </w:rPr>
              <w:t>不适用，理由合理</w:t>
            </w:r>
            <w:r>
              <w:rPr>
                <w:rFonts w:hint="eastAsia" w:ascii="宋体" w:hAnsi="宋体" w:cs="宋体"/>
                <w:szCs w:val="24"/>
              </w:rPr>
              <w:t>。</w:t>
            </w:r>
            <w:r>
              <w:rPr>
                <w:rFonts w:hint="eastAsia" w:ascii="宋体" w:hAnsi="宋体" w:cs="宋体"/>
                <w:szCs w:val="24"/>
                <w:lang w:eastAsia="zh-CN"/>
              </w:rPr>
              <w:t>该条款的不适用不影响组织提供满足顾客及法律法规要求的责任。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eastAsia="宋体" w:cs="宋体"/>
                <w:color w:val="000000"/>
                <w:kern w:val="0"/>
                <w:sz w:val="21"/>
                <w:szCs w:val="21"/>
                <w:lang w:eastAsia="zh-CN"/>
              </w:rPr>
              <w:t>2019年0</w:t>
            </w: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eastAsia="zh-CN"/>
              </w:rPr>
              <w:t>月</w:t>
            </w:r>
            <w:r>
              <w:rPr>
                <w:rFonts w:hint="eastAsia" w:ascii="宋体" w:hAnsi="宋体" w:cs="宋体"/>
                <w:color w:val="000000"/>
                <w:kern w:val="0"/>
                <w:sz w:val="21"/>
                <w:szCs w:val="21"/>
                <w:lang w:val="en-US" w:eastAsia="zh-CN"/>
              </w:rPr>
              <w:t>01</w:t>
            </w:r>
            <w:r>
              <w:rPr>
                <w:rFonts w:hint="eastAsia" w:ascii="宋体" w:hAnsi="宋体" w:eastAsia="宋体" w:cs="宋体"/>
                <w:color w:val="000000"/>
                <w:kern w:val="0"/>
                <w:sz w:val="21"/>
                <w:szCs w:val="21"/>
                <w:lang w:eastAsia="zh-CN"/>
              </w:rPr>
              <w:t>日</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hint="eastAsia" w:ascii="宋体" w:hAnsi="宋体" w:eastAsia="宋体"/>
                <w:b/>
                <w:sz w:val="21"/>
                <w:szCs w:val="21"/>
                <w:lang w:eastAsia="zh-CN"/>
              </w:rPr>
            </w:pPr>
            <w:r>
              <w:rPr>
                <w:rFonts w:hint="eastAsia" w:ascii="宋体" w:hAnsi="宋体"/>
                <w:b/>
                <w:sz w:val="21"/>
                <w:szCs w:val="21"/>
              </w:rPr>
              <w:t>人力资源的简要说明</w:t>
            </w:r>
            <w:r>
              <w:rPr>
                <w:rFonts w:hint="eastAsia" w:ascii="宋体" w:hAnsi="宋体"/>
                <w:b/>
                <w:sz w:val="21"/>
                <w:szCs w:val="21"/>
                <w:lang w:eastAsia="zh-CN"/>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ind w:firstLine="420" w:firstLineChars="200"/>
              <w:rPr>
                <w:rFonts w:ascii="宋体" w:hAnsi="宋体"/>
                <w:b/>
                <w:sz w:val="21"/>
                <w:szCs w:val="21"/>
              </w:rPr>
            </w:pPr>
            <w:r>
              <w:rPr>
                <w:rFonts w:hint="eastAsia" w:ascii="宋体" w:hAnsi="宋体" w:eastAsia="宋体" w:cs="宋体"/>
                <w:sz w:val="21"/>
                <w:szCs w:val="21"/>
                <w:lang w:eastAsia="zh-CN"/>
              </w:rPr>
              <w:t>组织有满足产品</w:t>
            </w:r>
            <w:r>
              <w:rPr>
                <w:rFonts w:hint="eastAsia" w:ascii="宋体" w:hAnsi="宋体" w:cs="宋体"/>
                <w:sz w:val="21"/>
                <w:szCs w:val="21"/>
                <w:lang w:eastAsia="zh-CN"/>
              </w:rPr>
              <w:t>分装</w:t>
            </w:r>
            <w:r>
              <w:rPr>
                <w:rFonts w:hint="eastAsia" w:ascii="宋体" w:hAnsi="宋体" w:eastAsia="宋体" w:cs="宋体"/>
                <w:sz w:val="21"/>
                <w:szCs w:val="21"/>
                <w:lang w:eastAsia="zh-CN"/>
              </w:rPr>
              <w:t>生产需要的生产场地及办公经营场所和库房</w:t>
            </w:r>
            <w:r>
              <w:rPr>
                <w:rFonts w:hint="eastAsia" w:ascii="宋体" w:hAnsi="宋体" w:eastAsia="宋体" w:cs="宋体"/>
                <w:sz w:val="21"/>
                <w:szCs w:val="21"/>
                <w:lang w:eastAsia="zh-CN"/>
              </w:rPr>
              <w:t>，车间、库房按区域划分开。主要设备包括：台秤、封口机，操作台、传送带</w:t>
            </w:r>
            <w:r>
              <w:rPr>
                <w:rFonts w:hint="eastAsia" w:ascii="宋体" w:hAnsi="宋体" w:eastAsia="宋体" w:cs="宋体"/>
                <w:sz w:val="21"/>
                <w:szCs w:val="21"/>
                <w:lang w:eastAsia="zh-CN"/>
              </w:rPr>
              <w:t>等，检测设备有：</w:t>
            </w:r>
            <w:r>
              <w:rPr>
                <w:rFonts w:hint="eastAsia" w:ascii="宋体" w:hAnsi="宋体" w:eastAsia="宋体" w:cs="宋体"/>
                <w:sz w:val="21"/>
                <w:szCs w:val="21"/>
                <w:lang w:val="en-US" w:eastAsia="zh-CN"/>
              </w:rPr>
              <w:t>电子天平、电子秤、温度计、烘箱、定时器</w:t>
            </w:r>
            <w:r>
              <w:rPr>
                <w:rFonts w:hint="eastAsia" w:ascii="宋体" w:hAnsi="宋体" w:eastAsia="宋体" w:cs="宋体"/>
                <w:sz w:val="21"/>
                <w:szCs w:val="21"/>
                <w:lang w:eastAsia="zh-CN"/>
              </w:rPr>
              <w:t>等，可以满足产品生产需要。生产部对</w:t>
            </w:r>
            <w:bookmarkStart w:id="31" w:name="_GoBack"/>
            <w:bookmarkEnd w:id="31"/>
            <w:r>
              <w:rPr>
                <w:rFonts w:hint="eastAsia" w:ascii="宋体" w:hAnsi="宋体" w:eastAsia="宋体" w:cs="宋体"/>
                <w:sz w:val="21"/>
                <w:szCs w:val="21"/>
                <w:lang w:eastAsia="zh-CN"/>
              </w:rPr>
              <w:t>设备按月方式进行点检维护保养，并实施。特种设备</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无</w:t>
            </w:r>
            <w:r>
              <w:rPr>
                <w:rFonts w:hint="eastAsia" w:ascii="宋体" w:hAnsi="宋体" w:eastAsia="宋体" w:cs="宋体"/>
                <w:sz w:val="21"/>
                <w:szCs w:val="21"/>
                <w:lang w:eastAsia="zh-CN"/>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sz w:val="21"/>
                <w:szCs w:val="21"/>
                <w:lang w:eastAsia="zh-CN"/>
              </w:rPr>
              <w:t>办公场地及生产场所内设备布置合理，通道畅通，照明设施齐全，均配备了消防设施等设施。办公室明亮，作业场所光线较充足。每月由行政部对工作环境进行定期检查。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hint="default" w:ascii="宋体" w:hAnsi="宋体" w:eastAsia="宋体"/>
                <w:b/>
                <w:sz w:val="21"/>
                <w:szCs w:val="21"/>
                <w:lang w:val="en-US" w:eastAsia="zh-CN"/>
              </w:rPr>
            </w:pPr>
            <w:r>
              <w:rPr>
                <w:rFonts w:hint="eastAsia" w:ascii="宋体" w:hAnsi="宋体" w:cs="宋体"/>
                <w:sz w:val="21"/>
                <w:szCs w:val="21"/>
              </w:rPr>
              <w:t>查《计量器具台账》，技术部门均按</w:t>
            </w:r>
            <w:r>
              <w:rPr>
                <w:rFonts w:hint="eastAsia" w:ascii="宋体" w:hAnsi="宋体" w:cs="宋体"/>
                <w:color w:val="000000"/>
                <w:sz w:val="21"/>
                <w:szCs w:val="21"/>
              </w:rPr>
              <w:t>策划的要求配置了相应的检测设备用于产品</w:t>
            </w:r>
            <w:r>
              <w:rPr>
                <w:rFonts w:hint="eastAsia" w:ascii="宋体" w:hAnsi="宋体" w:cs="宋体"/>
                <w:color w:val="000000"/>
                <w:sz w:val="21"/>
                <w:szCs w:val="21"/>
                <w:lang w:eastAsia="zh-CN"/>
              </w:rPr>
              <w:t>分装</w:t>
            </w:r>
            <w:r>
              <w:rPr>
                <w:rFonts w:hint="eastAsia" w:ascii="宋体" w:hAnsi="宋体" w:cs="宋体"/>
                <w:color w:val="000000"/>
                <w:sz w:val="21"/>
                <w:szCs w:val="21"/>
              </w:rPr>
              <w:t>的检测，监视测量设备有：</w:t>
            </w:r>
            <w:r>
              <w:rPr>
                <w:rFonts w:hint="eastAsia" w:ascii="宋体" w:hAnsi="宋体" w:cs="宋体"/>
                <w:color w:val="000000"/>
                <w:sz w:val="21"/>
                <w:szCs w:val="21"/>
                <w:lang w:eastAsia="zh-CN"/>
              </w:rPr>
              <w:t>分析天平、定时器</w:t>
            </w:r>
            <w:r>
              <w:rPr>
                <w:rFonts w:hint="eastAsia" w:ascii="宋体" w:hAnsi="宋体" w:cs="宋体"/>
                <w:color w:val="000000"/>
                <w:sz w:val="21"/>
                <w:szCs w:val="21"/>
              </w:rPr>
              <w:t>、</w:t>
            </w:r>
            <w:r>
              <w:rPr>
                <w:rFonts w:hint="eastAsia" w:ascii="宋体" w:hAnsi="宋体" w:cs="宋体"/>
                <w:color w:val="000000"/>
                <w:sz w:val="21"/>
                <w:szCs w:val="21"/>
                <w:lang w:eastAsia="zh-CN"/>
              </w:rPr>
              <w:t>电子秤</w:t>
            </w:r>
            <w:r>
              <w:rPr>
                <w:rFonts w:hint="eastAsia" w:ascii="宋体" w:hAnsi="宋体" w:cs="宋体"/>
                <w:color w:val="000000"/>
                <w:sz w:val="21"/>
                <w:szCs w:val="21"/>
              </w:rPr>
              <w:t>、温度计</w:t>
            </w:r>
            <w:r>
              <w:rPr>
                <w:rFonts w:hint="eastAsia" w:ascii="宋体" w:hAnsi="宋体" w:cs="宋体"/>
                <w:color w:val="000000"/>
                <w:sz w:val="21"/>
                <w:szCs w:val="21"/>
                <w:lang w:eastAsia="zh-CN"/>
              </w:rPr>
              <w:t>、烘箱等。抽查在用量具的校准证书,能提供有效的检定或校准证书。初审开具的不符合项经今年验证未出现类似的不符合情况</w:t>
            </w:r>
            <w:r>
              <w:rPr>
                <w:rFonts w:hint="eastAsia" w:ascii="宋体" w:hAnsi="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adjustRightInd w:val="0"/>
              <w:snapToGrid w:val="0"/>
              <w:spacing w:line="400" w:lineRule="exact"/>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工序(过程)：</w:t>
            </w:r>
            <w:r>
              <w:rPr>
                <w:rFonts w:hint="eastAsia" w:ascii="宋体" w:hAnsi="宋体" w:cs="宋体"/>
                <w:sz w:val="21"/>
                <w:szCs w:val="21"/>
                <w:lang w:eastAsia="zh-CN"/>
              </w:rPr>
              <w:t>匀堆</w:t>
            </w:r>
            <w:r>
              <w:rPr>
                <w:rFonts w:hint="eastAsia" w:ascii="宋体" w:hAnsi="宋体" w:cs="宋体"/>
                <w:sz w:val="21"/>
                <w:szCs w:val="21"/>
              </w:rPr>
              <w:t>、分装</w:t>
            </w:r>
            <w:r>
              <w:rPr>
                <w:rFonts w:hint="eastAsia" w:ascii="宋体" w:hAnsi="宋体" w:cs="宋体"/>
                <w:sz w:val="21"/>
                <w:szCs w:val="21"/>
                <w:lang w:val="en-US" w:eastAsia="zh-CN"/>
              </w:rPr>
              <w:t xml:space="preserve">   </w:t>
            </w:r>
            <w:r>
              <w:rPr>
                <w:rFonts w:hint="eastAsia" w:ascii="宋体" w:hAnsi="宋体" w:cs="宋体"/>
                <w:color w:val="000000"/>
                <w:sz w:val="21"/>
                <w:szCs w:val="21"/>
              </w:rPr>
              <w:t>特殊过程：</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处予以实现，范围包括：过程、最终产品。以此保证持续向顾客稳定提供稳定合格的产品和服务。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color w:val="000000" w:themeColor="text1"/>
                <w:sz w:val="21"/>
                <w:szCs w:val="21"/>
              </w:rPr>
              <w:t xml:space="preserve">10. </w:t>
            </w:r>
            <w:r>
              <w:rPr>
                <w:rFonts w:hint="eastAsia" w:ascii="宋体" w:hAnsi="宋体"/>
                <w:b/>
                <w:color w:val="000000" w:themeColor="text1"/>
                <w:sz w:val="21"/>
                <w:szCs w:val="21"/>
              </w:rPr>
              <w:t>对特种设备的维护，检定</w:t>
            </w:r>
            <w:r>
              <w:rPr>
                <w:rFonts w:ascii="宋体" w:hAnsi="宋体"/>
                <w:b/>
                <w:color w:val="000000" w:themeColor="text1"/>
                <w:sz w:val="21"/>
                <w:szCs w:val="21"/>
              </w:rPr>
              <w:t>;</w:t>
            </w:r>
            <w:r>
              <w:rPr>
                <w:rFonts w:hint="eastAsia" w:ascii="宋体" w:hAnsi="宋体"/>
                <w:b/>
                <w:color w:val="000000" w:themeColor="text1"/>
                <w:sz w:val="21"/>
                <w:szCs w:val="21"/>
              </w:rPr>
              <w:t>（</w:t>
            </w:r>
            <w:r>
              <w:rPr>
                <w:rFonts w:ascii="宋体" w:hAnsi="宋体"/>
                <w:b/>
                <w:color w:val="000000" w:themeColor="text1"/>
                <w:sz w:val="21"/>
                <w:szCs w:val="21"/>
              </w:rPr>
              <w:t>适用时</w:t>
            </w:r>
            <w:r>
              <w:rPr>
                <w:rFonts w:hint="eastAsia" w:ascii="宋体" w:hAnsi="宋体"/>
                <w:b/>
                <w:color w:val="000000" w:themeColor="text1"/>
                <w:sz w:val="21"/>
                <w:szCs w:val="21"/>
              </w:rPr>
              <w:t>）:</w:t>
            </w:r>
            <w:r>
              <w:rPr>
                <w:rFonts w:hint="eastAsia" w:ascii="宋体" w:hAnsi="宋体"/>
                <w:b/>
                <w:color w:val="000000" w:themeColor="text1"/>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color w:val="000000"/>
                <w:sz w:val="21"/>
                <w:szCs w:val="21"/>
                <w:lang w:val="en-US" w:eastAsia="zh-CN"/>
              </w:rPr>
              <w:t>1月</w:t>
            </w:r>
            <w:r>
              <w:rPr>
                <w:rFonts w:hint="eastAsia" w:ascii="宋体" w:hAnsi="宋体" w:cs="宋体"/>
                <w:color w:val="000000"/>
                <w:sz w:val="21"/>
                <w:szCs w:val="21"/>
              </w:rPr>
              <w:t>-2020年</w:t>
            </w:r>
            <w:r>
              <w:rPr>
                <w:rFonts w:hint="eastAsia" w:ascii="宋体" w:hAnsi="宋体" w:cs="宋体"/>
                <w:color w:val="000000"/>
                <w:sz w:val="21"/>
                <w:szCs w:val="21"/>
                <w:lang w:val="en-US" w:eastAsia="zh-CN"/>
              </w:rPr>
              <w:t>10</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rPr>
                <w:rFonts w:ascii="宋体" w:hAnsi="宋体"/>
                <w:b/>
                <w:sz w:val="21"/>
                <w:szCs w:val="21"/>
              </w:rPr>
            </w:pPr>
            <w:r>
              <w:rPr>
                <w:rFonts w:hint="eastAsia" w:ascii="宋体" w:hAnsi="宋体" w:cs="宋体"/>
                <w:sz w:val="21"/>
                <w:szCs w:val="21"/>
                <w:lang w:eastAsia="zh-CN"/>
              </w:rPr>
              <w:t>建立有《内部审核控制程序》，规定了内审频次一年一次，内审时间：2020年04月06日，拟定了审核实施表，明确了内审范围，内审人员经培训合格上岗，能力满足要求，未出现审核本部门情况，内审不符合项1项，涉及品管部</w:t>
            </w:r>
            <w:r>
              <w:rPr>
                <w:rFonts w:hint="eastAsia" w:ascii="宋体" w:hAnsi="宋体" w:cs="宋体"/>
                <w:sz w:val="21"/>
                <w:szCs w:val="21"/>
                <w:lang w:val="en-US" w:eastAsia="zh-CN"/>
              </w:rPr>
              <w:t>8.4.3</w:t>
            </w:r>
            <w:r>
              <w:rPr>
                <w:rFonts w:hint="eastAsia" w:ascii="宋体" w:hAnsi="宋体" w:cs="宋体"/>
                <w:sz w:val="21"/>
                <w:szCs w:val="21"/>
                <w:lang w:eastAsia="zh-CN"/>
              </w:rPr>
              <w:t>条款，</w:t>
            </w:r>
            <w:r>
              <w:rPr>
                <w:rFonts w:hint="eastAsia" w:ascii="宋体" w:hAnsi="宋体" w:cs="宋体"/>
                <w:sz w:val="21"/>
                <w:szCs w:val="21"/>
                <w:lang w:val="en-US" w:eastAsia="zh-CN"/>
              </w:rPr>
              <w:t>不符合事实描述为“</w:t>
            </w:r>
            <w:r>
              <w:rPr>
                <w:rFonts w:hint="eastAsia" w:ascii="宋体" w:hAnsi="宋体" w:cs="宋体"/>
                <w:sz w:val="21"/>
                <w:szCs w:val="21"/>
                <w:lang w:eastAsia="zh-CN"/>
              </w:rPr>
              <w:t>现场查发现</w:t>
            </w:r>
            <w:r>
              <w:rPr>
                <w:rFonts w:hint="eastAsia" w:ascii="宋体" w:hAnsi="宋体" w:cs="宋体"/>
                <w:sz w:val="21"/>
                <w:szCs w:val="21"/>
                <w:lang w:val="en-US" w:eastAsia="zh-CN"/>
              </w:rPr>
              <w:t>4月有某批</w:t>
            </w:r>
            <w:r>
              <w:rPr>
                <w:rFonts w:hint="eastAsia" w:ascii="宋体" w:hAnsi="宋体" w:cs="宋体"/>
                <w:sz w:val="21"/>
                <w:szCs w:val="21"/>
                <w:lang w:eastAsia="zh-CN"/>
              </w:rPr>
              <w:t>原料入库无检验记录。</w:t>
            </w:r>
            <w:r>
              <w:rPr>
                <w:rFonts w:hint="eastAsia" w:ascii="宋体" w:hAnsi="宋体" w:cs="宋体"/>
                <w:sz w:val="21"/>
                <w:szCs w:val="21"/>
                <w:lang w:val="en-US" w:eastAsia="zh-CN"/>
              </w:rPr>
              <w:t>”</w:t>
            </w:r>
            <w:r>
              <w:rPr>
                <w:rFonts w:hint="eastAsia" w:ascii="宋体" w:hAnsi="宋体" w:cs="宋体"/>
                <w:sz w:val="21"/>
                <w:szCs w:val="21"/>
                <w:lang w:eastAsia="zh-CN"/>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eastAsia="宋体" w:cs="宋体"/>
                <w:color w:val="000000" w:themeColor="text1"/>
                <w:sz w:val="21"/>
                <w:szCs w:val="21"/>
                <w:lang w:val="zh-CN" w:eastAsia="zh-CN"/>
              </w:rPr>
              <w:t>管理评审频次为一年一次、本次管理评审于2020年</w:t>
            </w:r>
            <w:r>
              <w:rPr>
                <w:rFonts w:hint="eastAsia" w:ascii="宋体" w:hAnsi="宋体" w:cs="宋体"/>
                <w:color w:val="000000" w:themeColor="text1"/>
                <w:sz w:val="21"/>
                <w:szCs w:val="21"/>
                <w:lang w:val="en-US" w:eastAsia="zh-CN"/>
              </w:rPr>
              <w:t>4</w:t>
            </w:r>
            <w:r>
              <w:rPr>
                <w:rFonts w:hint="eastAsia" w:ascii="宋体" w:hAnsi="宋体" w:eastAsia="宋体" w:cs="宋体"/>
                <w:color w:val="000000" w:themeColor="text1"/>
                <w:sz w:val="21"/>
                <w:szCs w:val="21"/>
                <w:lang w:val="zh-CN" w:eastAsia="zh-CN"/>
              </w:rPr>
              <w:t>月</w:t>
            </w:r>
            <w:r>
              <w:rPr>
                <w:rFonts w:hint="eastAsia" w:ascii="宋体" w:hAnsi="宋体" w:eastAsia="宋体" w:cs="宋体"/>
                <w:color w:val="000000" w:themeColor="text1"/>
                <w:sz w:val="21"/>
                <w:szCs w:val="21"/>
                <w:lang w:val="en-US" w:eastAsia="zh-CN"/>
              </w:rPr>
              <w:t>1</w:t>
            </w:r>
            <w:r>
              <w:rPr>
                <w:rFonts w:hint="eastAsia" w:ascii="宋体" w:hAnsi="宋体" w:cs="宋体"/>
                <w:color w:val="000000" w:themeColor="text1"/>
                <w:sz w:val="21"/>
                <w:szCs w:val="21"/>
                <w:lang w:val="en-US" w:eastAsia="zh-CN"/>
              </w:rPr>
              <w:t>5</w:t>
            </w:r>
            <w:r>
              <w:rPr>
                <w:rFonts w:hint="eastAsia" w:ascii="宋体" w:hAnsi="宋体" w:eastAsia="宋体" w:cs="宋体"/>
                <w:color w:val="000000" w:themeColor="text1"/>
                <w:sz w:val="21"/>
                <w:szCs w:val="21"/>
                <w:lang w:val="zh-CN" w:eastAsia="zh-CN"/>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7.1.5</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tabs>
          <w:tab w:val="left" w:pos="645"/>
        </w:tabs>
        <w:spacing w:beforeLines="50" w:afterLines="50" w:line="360" w:lineRule="exact"/>
        <w:rPr>
          <w:rFonts w:hint="eastAsia" w:eastAsia="宋体"/>
          <w:b/>
          <w:color w:val="000000" w:themeColor="text1"/>
          <w:sz w:val="26"/>
          <w:szCs w:val="26"/>
        </w:rPr>
      </w:pPr>
      <w:r>
        <w:rPr>
          <w:rFonts w:hint="eastAsia" w:eastAsia="宋体"/>
          <w:b/>
          <w:color w:val="000000" w:themeColor="text1"/>
          <w:sz w:val="26"/>
          <w:szCs w:val="26"/>
        </w:rPr>
        <w:t>本次审核Q共开具不符合项报告项：其中</w:t>
      </w:r>
      <w:r>
        <w:rPr>
          <w:rFonts w:hint="eastAsia" w:eastAsia="宋体"/>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eastAsia="宋体"/>
          <w:b/>
          <w:color w:val="000000" w:themeColor="text1"/>
          <w:sz w:val="26"/>
          <w:szCs w:val="26"/>
        </w:rPr>
        <w:t>严重不符合 0项，一般不符合 1项，观察项0项。不符合项分布在</w:t>
      </w:r>
      <w:r>
        <w:rPr>
          <w:rFonts w:hint="eastAsia"/>
          <w:b/>
          <w:color w:val="000000" w:themeColor="text1"/>
          <w:sz w:val="26"/>
          <w:szCs w:val="26"/>
          <w:lang w:eastAsia="zh-CN"/>
        </w:rPr>
        <w:t>综合业务</w:t>
      </w:r>
      <w:r>
        <w:rPr>
          <w:rFonts w:hint="eastAsia" w:eastAsia="宋体"/>
          <w:b/>
          <w:color w:val="000000" w:themeColor="text1"/>
          <w:sz w:val="26"/>
          <w:szCs w:val="26"/>
        </w:rPr>
        <w:t>部 部门</w:t>
      </w:r>
      <w:r>
        <w:rPr>
          <w:rFonts w:hint="eastAsia"/>
          <w:b/>
          <w:color w:val="000000" w:themeColor="text1"/>
          <w:sz w:val="26"/>
          <w:szCs w:val="26"/>
          <w:lang w:val="en-US" w:eastAsia="zh-CN"/>
        </w:rPr>
        <w:t>9.1.3</w:t>
      </w:r>
      <w:r>
        <w:rPr>
          <w:rFonts w:hint="eastAsia" w:eastAsia="宋体"/>
          <w:b/>
          <w:color w:val="000000" w:themeColor="text1"/>
          <w:sz w:val="26"/>
          <w:szCs w:val="26"/>
        </w:rPr>
        <w:t>条款，见不符合项分布表。（Q/J/E/S分开填写）</w:t>
      </w:r>
    </w:p>
    <w:p>
      <w:pPr>
        <w:tabs>
          <w:tab w:val="left" w:pos="645"/>
        </w:tabs>
        <w:spacing w:afterLines="50" w:line="360" w:lineRule="exact"/>
        <w:rPr>
          <w:rFonts w:hint="eastAsia"/>
          <w:b/>
          <w:sz w:val="26"/>
          <w:szCs w:val="26"/>
        </w:rPr>
      </w:pPr>
    </w:p>
    <w:p>
      <w:pPr>
        <w:tabs>
          <w:tab w:val="left" w:pos="645"/>
        </w:tabs>
        <w:spacing w:afterLines="50" w:line="360" w:lineRule="exact"/>
        <w:rPr>
          <w:rFonts w:hint="eastAsia"/>
          <w:b/>
          <w:sz w:val="26"/>
          <w:szCs w:val="26"/>
        </w:rPr>
      </w:pPr>
    </w:p>
    <w:p>
      <w:pPr>
        <w:tabs>
          <w:tab w:val="left" w:pos="645"/>
        </w:tabs>
        <w:spacing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综上所述，审核组一致认为，（重庆市旺发茶叶有限公司）的质量管理体系适宜、充分、得到良好的实施和保持，体系运行持续有效。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日期：2020年</w:t>
      </w:r>
      <w:r>
        <w:rPr>
          <w:rFonts w:hint="eastAsia"/>
          <w:b/>
          <w:sz w:val="21"/>
          <w:lang w:val="en-US" w:eastAsia="zh-CN"/>
        </w:rPr>
        <w:t>10</w:t>
      </w:r>
      <w:r>
        <w:rPr>
          <w:rFonts w:hint="eastAsia"/>
          <w:b/>
          <w:sz w:val="21"/>
        </w:rPr>
        <w:t>月</w:t>
      </w:r>
      <w:r>
        <w:rPr>
          <w:rFonts w:hint="eastAsia"/>
          <w:b/>
          <w:sz w:val="21"/>
          <w:lang w:val="en-US" w:eastAsia="zh-CN"/>
        </w:rPr>
        <w:t>28</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Lines="50" w:line="400" w:lineRule="exact"/>
        <w:rPr>
          <w:b/>
          <w:sz w:val="21"/>
          <w:szCs w:val="21"/>
          <w:u w:val="single"/>
        </w:rPr>
      </w:pPr>
      <w:r>
        <w:rPr>
          <w:rFonts w:hint="eastAsia"/>
          <w:b/>
          <w:sz w:val="21"/>
          <w:szCs w:val="21"/>
        </w:rPr>
        <w:t>存在问题说明及意见：</w:t>
      </w:r>
    </w:p>
    <w:p>
      <w:pPr>
        <w:spacing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15E2D01"/>
    <w:rsid w:val="01984CC6"/>
    <w:rsid w:val="020F0D1E"/>
    <w:rsid w:val="03560A05"/>
    <w:rsid w:val="057404BA"/>
    <w:rsid w:val="069E28A0"/>
    <w:rsid w:val="0724147A"/>
    <w:rsid w:val="0810189E"/>
    <w:rsid w:val="08DB7E61"/>
    <w:rsid w:val="08F1033E"/>
    <w:rsid w:val="0A2E5750"/>
    <w:rsid w:val="0BC00547"/>
    <w:rsid w:val="0BC042EC"/>
    <w:rsid w:val="0D3A5F41"/>
    <w:rsid w:val="0D5461B6"/>
    <w:rsid w:val="0DF53453"/>
    <w:rsid w:val="0F402042"/>
    <w:rsid w:val="11F66B03"/>
    <w:rsid w:val="1263390E"/>
    <w:rsid w:val="16D84B67"/>
    <w:rsid w:val="180C639A"/>
    <w:rsid w:val="1A047D82"/>
    <w:rsid w:val="1A62385D"/>
    <w:rsid w:val="1D517685"/>
    <w:rsid w:val="1ED315F2"/>
    <w:rsid w:val="1F233878"/>
    <w:rsid w:val="21C05192"/>
    <w:rsid w:val="24282D23"/>
    <w:rsid w:val="244516C3"/>
    <w:rsid w:val="264D71CE"/>
    <w:rsid w:val="27FF0507"/>
    <w:rsid w:val="29E80627"/>
    <w:rsid w:val="2A814084"/>
    <w:rsid w:val="2ADC61B2"/>
    <w:rsid w:val="2BFC0761"/>
    <w:rsid w:val="2D0471C3"/>
    <w:rsid w:val="2D1334E8"/>
    <w:rsid w:val="2D180AAA"/>
    <w:rsid w:val="2E3F4286"/>
    <w:rsid w:val="2F91342F"/>
    <w:rsid w:val="2FC13290"/>
    <w:rsid w:val="325436AB"/>
    <w:rsid w:val="36B434E6"/>
    <w:rsid w:val="37EA3A00"/>
    <w:rsid w:val="3A141D11"/>
    <w:rsid w:val="3DB513EF"/>
    <w:rsid w:val="3EB6752F"/>
    <w:rsid w:val="3EF05A51"/>
    <w:rsid w:val="3FED2684"/>
    <w:rsid w:val="4058278A"/>
    <w:rsid w:val="40A22B45"/>
    <w:rsid w:val="41203F88"/>
    <w:rsid w:val="429820EC"/>
    <w:rsid w:val="45891498"/>
    <w:rsid w:val="45B8375F"/>
    <w:rsid w:val="45F53D80"/>
    <w:rsid w:val="47175898"/>
    <w:rsid w:val="471C2C44"/>
    <w:rsid w:val="480C4A92"/>
    <w:rsid w:val="48CA1CE6"/>
    <w:rsid w:val="49923A0A"/>
    <w:rsid w:val="4A3A010A"/>
    <w:rsid w:val="4A453848"/>
    <w:rsid w:val="4B191BE9"/>
    <w:rsid w:val="4B220ED1"/>
    <w:rsid w:val="4CC443A4"/>
    <w:rsid w:val="4E094C99"/>
    <w:rsid w:val="4EA23571"/>
    <w:rsid w:val="52530484"/>
    <w:rsid w:val="52832D42"/>
    <w:rsid w:val="53C651CA"/>
    <w:rsid w:val="58C21D1B"/>
    <w:rsid w:val="5A865E3C"/>
    <w:rsid w:val="5CC34404"/>
    <w:rsid w:val="5D490B51"/>
    <w:rsid w:val="5E6D2417"/>
    <w:rsid w:val="610C5530"/>
    <w:rsid w:val="61B12954"/>
    <w:rsid w:val="65AA6E79"/>
    <w:rsid w:val="66E7630B"/>
    <w:rsid w:val="67273BC0"/>
    <w:rsid w:val="6D195F84"/>
    <w:rsid w:val="6FB3580C"/>
    <w:rsid w:val="717D0106"/>
    <w:rsid w:val="72755D49"/>
    <w:rsid w:val="727B034B"/>
    <w:rsid w:val="75721D22"/>
    <w:rsid w:val="75A77E6E"/>
    <w:rsid w:val="75C76F81"/>
    <w:rsid w:val="762C26DF"/>
    <w:rsid w:val="766E607C"/>
    <w:rsid w:val="769D7668"/>
    <w:rsid w:val="77023F9C"/>
    <w:rsid w:val="7AE35C23"/>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locked/>
    <w:uiPriority w:val="20"/>
    <w:rPr>
      <w:i/>
      <w:iCs/>
    </w:rPr>
  </w:style>
  <w:style w:type="character" w:styleId="9">
    <w:name w:val="Hyperlink"/>
    <w:basedOn w:val="7"/>
    <w:semiHidden/>
    <w:unhideWhenUsed/>
    <w:qFormat/>
    <w:uiPriority w:val="99"/>
    <w:rPr>
      <w:color w:val="0000FF"/>
      <w:u w:val="single"/>
    </w:rPr>
  </w:style>
  <w:style w:type="character" w:customStyle="1" w:styleId="10">
    <w:name w:val="批注框文本 Char"/>
    <w:link w:val="2"/>
    <w:semiHidden/>
    <w:qFormat/>
    <w:locked/>
    <w:uiPriority w:val="99"/>
    <w:rPr>
      <w:rFonts w:ascii="Times New Roman" w:hAnsi="Times New Roman" w:eastAsia="宋体" w:cs="Times New Roman"/>
      <w:sz w:val="18"/>
      <w:szCs w:val="18"/>
    </w:rPr>
  </w:style>
  <w:style w:type="character" w:customStyle="1" w:styleId="11">
    <w:name w:val="页脚 Char"/>
    <w:link w:val="3"/>
    <w:semiHidden/>
    <w:qFormat/>
    <w:locked/>
    <w:uiPriority w:val="99"/>
    <w:rPr>
      <w:rFonts w:ascii="Times New Roman" w:hAnsi="Times New Roman" w:eastAsia="宋体" w:cs="Times New Roman"/>
      <w:sz w:val="18"/>
      <w:szCs w:val="18"/>
    </w:rPr>
  </w:style>
  <w:style w:type="character" w:customStyle="1" w:styleId="12">
    <w:name w:val="页眉 Char"/>
    <w:link w:val="4"/>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1</TotalTime>
  <ScaleCrop>false</ScaleCrop>
  <LinksUpToDate>false</LinksUpToDate>
  <CharactersWithSpaces>7960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2020-10-28T10:38:37Z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