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楷体" w:hAnsi="楷体" w:eastAsia="楷体"/>
          <w:bCs/>
          <w:sz w:val="36"/>
          <w:szCs w:val="36"/>
        </w:rPr>
      </w:pPr>
      <w:r>
        <w:rPr>
          <w:rFonts w:hint="eastAsia" w:ascii="楷体" w:hAnsi="楷体" w:eastAsia="楷体"/>
          <w:bCs/>
          <w:sz w:val="36"/>
          <w:szCs w:val="36"/>
        </w:rPr>
        <w:t>管理体系审核记录表</w:t>
      </w:r>
    </w:p>
    <w:tbl>
      <w:tblPr>
        <w:tblStyle w:val="5"/>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311"/>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809" w:type="dxa"/>
            <w:vMerge w:val="restart"/>
            <w:vAlign w:val="center"/>
          </w:tcPr>
          <w:p>
            <w:pPr>
              <w:spacing w:before="120" w:line="360" w:lineRule="auto"/>
              <w:jc w:val="center"/>
              <w:rPr>
                <w:rFonts w:ascii="楷体" w:hAnsi="楷体" w:eastAsia="楷体"/>
                <w:sz w:val="24"/>
                <w:szCs w:val="24"/>
              </w:rPr>
            </w:pPr>
            <w:r>
              <w:rPr>
                <w:rFonts w:hint="eastAsia" w:ascii="楷体" w:hAnsi="楷体" w:eastAsia="楷体"/>
                <w:sz w:val="24"/>
                <w:szCs w:val="24"/>
              </w:rPr>
              <w:t>过程与活动、</w:t>
            </w:r>
          </w:p>
          <w:p>
            <w:pPr>
              <w:spacing w:line="360" w:lineRule="auto"/>
              <w:jc w:val="center"/>
              <w:rPr>
                <w:rFonts w:ascii="楷体" w:hAnsi="楷体" w:eastAsia="楷体"/>
                <w:sz w:val="24"/>
                <w:szCs w:val="24"/>
              </w:rPr>
            </w:pPr>
            <w:r>
              <w:rPr>
                <w:rFonts w:hint="eastAsia" w:ascii="楷体" w:hAnsi="楷体" w:eastAsia="楷体"/>
                <w:sz w:val="24"/>
                <w:szCs w:val="24"/>
              </w:rPr>
              <w:t>抽样计划</w:t>
            </w:r>
          </w:p>
        </w:tc>
        <w:tc>
          <w:tcPr>
            <w:tcW w:w="1311" w:type="dxa"/>
            <w:vMerge w:val="restart"/>
            <w:vAlign w:val="center"/>
          </w:tcPr>
          <w:p>
            <w:pPr>
              <w:spacing w:line="360" w:lineRule="auto"/>
              <w:rPr>
                <w:rFonts w:ascii="楷体" w:hAnsi="楷体" w:eastAsia="楷体"/>
                <w:sz w:val="24"/>
                <w:szCs w:val="24"/>
              </w:rPr>
            </w:pPr>
            <w:r>
              <w:rPr>
                <w:rFonts w:hint="eastAsia" w:ascii="楷体" w:hAnsi="楷体" w:eastAsia="楷体"/>
                <w:sz w:val="24"/>
                <w:szCs w:val="24"/>
              </w:rPr>
              <w:t>涉及条款</w:t>
            </w:r>
          </w:p>
        </w:tc>
        <w:tc>
          <w:tcPr>
            <w:tcW w:w="10004" w:type="dxa"/>
            <w:vAlign w:val="center"/>
          </w:tcPr>
          <w:p>
            <w:pPr>
              <w:spacing w:line="360" w:lineRule="auto"/>
              <w:rPr>
                <w:rFonts w:ascii="楷体" w:hAnsi="楷体" w:eastAsia="楷体"/>
                <w:sz w:val="24"/>
                <w:szCs w:val="24"/>
              </w:rPr>
            </w:pPr>
            <w:r>
              <w:rPr>
                <w:rFonts w:hint="eastAsia" w:ascii="楷体" w:hAnsi="楷体" w:eastAsia="楷体"/>
                <w:sz w:val="24"/>
                <w:szCs w:val="24"/>
              </w:rPr>
              <w:t>受审核部门：办公室     主管领导：董旭辉    陪同人员：贾展鹏</w:t>
            </w:r>
          </w:p>
        </w:tc>
        <w:tc>
          <w:tcPr>
            <w:tcW w:w="1585" w:type="dxa"/>
            <w:vMerge w:val="restart"/>
            <w:vAlign w:val="center"/>
          </w:tcPr>
          <w:p>
            <w:pPr>
              <w:spacing w:line="360" w:lineRule="auto"/>
              <w:rPr>
                <w:rFonts w:ascii="楷体" w:hAnsi="楷体" w:eastAsia="楷体"/>
                <w:sz w:val="24"/>
                <w:szCs w:val="24"/>
              </w:rPr>
            </w:pPr>
            <w:r>
              <w:rPr>
                <w:rFonts w:hint="eastAsia" w:ascii="楷体" w:hAnsi="楷体" w:eastAsia="楷体"/>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9" w:type="dxa"/>
            <w:vMerge w:val="continue"/>
            <w:vAlign w:val="center"/>
          </w:tcPr>
          <w:p>
            <w:pPr>
              <w:spacing w:line="360" w:lineRule="auto"/>
              <w:rPr>
                <w:rFonts w:ascii="楷体" w:hAnsi="楷体" w:eastAsia="楷体"/>
                <w:sz w:val="24"/>
                <w:szCs w:val="24"/>
              </w:rPr>
            </w:pPr>
          </w:p>
        </w:tc>
        <w:tc>
          <w:tcPr>
            <w:tcW w:w="1311" w:type="dxa"/>
            <w:vMerge w:val="continue"/>
            <w:vAlign w:val="center"/>
          </w:tcPr>
          <w:p>
            <w:pPr>
              <w:spacing w:line="360" w:lineRule="auto"/>
              <w:rPr>
                <w:rFonts w:ascii="楷体" w:hAnsi="楷体" w:eastAsia="楷体"/>
                <w:sz w:val="24"/>
                <w:szCs w:val="24"/>
              </w:rPr>
            </w:pPr>
          </w:p>
        </w:tc>
        <w:tc>
          <w:tcPr>
            <w:tcW w:w="10004" w:type="dxa"/>
            <w:vAlign w:val="center"/>
          </w:tcPr>
          <w:p>
            <w:pPr>
              <w:spacing w:before="120" w:line="360" w:lineRule="auto"/>
              <w:rPr>
                <w:rFonts w:hint="default" w:ascii="楷体" w:hAnsi="楷体" w:eastAsia="楷体"/>
                <w:sz w:val="24"/>
                <w:szCs w:val="24"/>
                <w:lang w:val="en-US"/>
              </w:rPr>
            </w:pPr>
            <w:r>
              <w:rPr>
                <w:rFonts w:hint="eastAsia" w:ascii="楷体" w:hAnsi="楷体" w:eastAsia="楷体"/>
                <w:sz w:val="24"/>
                <w:szCs w:val="24"/>
              </w:rPr>
              <w:t>审核员：李俐、强兴、郭力        审核时间：20</w:t>
            </w:r>
            <w:r>
              <w:rPr>
                <w:rFonts w:hint="eastAsia" w:ascii="楷体" w:hAnsi="楷体" w:eastAsia="楷体"/>
                <w:sz w:val="24"/>
                <w:szCs w:val="24"/>
                <w:lang w:val="en-US" w:eastAsia="zh-CN"/>
              </w:rPr>
              <w:t>20.12.9</w:t>
            </w:r>
          </w:p>
        </w:tc>
        <w:tc>
          <w:tcPr>
            <w:tcW w:w="1585" w:type="dxa"/>
            <w:vMerge w:val="continue"/>
          </w:tcPr>
          <w:p>
            <w:pPr>
              <w:spacing w:line="360" w:lineRule="auto"/>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vMerge w:val="continue"/>
            <w:vAlign w:val="center"/>
          </w:tcPr>
          <w:p>
            <w:pPr>
              <w:spacing w:line="360" w:lineRule="auto"/>
              <w:rPr>
                <w:rFonts w:ascii="楷体" w:hAnsi="楷体" w:eastAsia="楷体"/>
                <w:sz w:val="24"/>
                <w:szCs w:val="24"/>
              </w:rPr>
            </w:pPr>
          </w:p>
        </w:tc>
        <w:tc>
          <w:tcPr>
            <w:tcW w:w="1311" w:type="dxa"/>
            <w:vMerge w:val="continue"/>
            <w:vAlign w:val="center"/>
          </w:tcPr>
          <w:p>
            <w:pPr>
              <w:spacing w:line="360" w:lineRule="auto"/>
              <w:rPr>
                <w:rFonts w:ascii="楷体" w:hAnsi="楷体" w:eastAsia="楷体"/>
                <w:sz w:val="24"/>
                <w:szCs w:val="24"/>
              </w:rPr>
            </w:pPr>
          </w:p>
        </w:tc>
        <w:tc>
          <w:tcPr>
            <w:tcW w:w="10004" w:type="dxa"/>
            <w:vAlign w:val="center"/>
          </w:tcPr>
          <w:p>
            <w:pPr>
              <w:adjustRightInd w:val="0"/>
              <w:snapToGrid w:val="0"/>
              <w:ind w:right="105" w:rightChars="50"/>
              <w:jc w:val="left"/>
              <w:textAlignment w:val="baseline"/>
              <w:rPr>
                <w:rFonts w:ascii="楷体" w:hAnsi="楷体" w:eastAsia="楷体"/>
                <w:szCs w:val="21"/>
              </w:rPr>
            </w:pPr>
            <w:r>
              <w:rPr>
                <w:rFonts w:hint="eastAsia" w:ascii="楷体" w:hAnsi="楷体" w:eastAsia="楷体"/>
                <w:szCs w:val="21"/>
              </w:rPr>
              <w:t>审核条款：</w:t>
            </w:r>
            <w:r>
              <w:rPr>
                <w:rFonts w:hint="eastAsia" w:ascii="楷体" w:hAnsi="楷体" w:eastAsia="楷体" w:cs="Arial"/>
                <w:szCs w:val="21"/>
              </w:rPr>
              <w:t>EMS:</w:t>
            </w:r>
            <w:r>
              <w:rPr>
                <w:rFonts w:hint="eastAsia" w:ascii="楷体" w:hAnsi="楷体" w:eastAsia="楷体"/>
                <w:szCs w:val="21"/>
              </w:rPr>
              <w:t xml:space="preserve"> 5.3组织的岗位、职责和权限、7.2能力、7.3意识、7.5.1形成文件的信息总则、7.5.2形成文件的信息的创建和更新、7.5.3形成文件的信息的控制，</w:t>
            </w:r>
            <w:r>
              <w:rPr>
                <w:rFonts w:hint="eastAsia" w:ascii="楷体" w:hAnsi="楷体" w:eastAsia="楷体" w:cs="Arial"/>
                <w:szCs w:val="21"/>
              </w:rPr>
              <w:t>6.1.2环境因素、6.1.3合规义务、6.1.4措施的策划、6.2.1环境目标、6.2.2实现环境目标措施的策划、8.1运行策划和控制、8.2应急准备和响应、9.1监视、测量、分析和评价（9.1.1总则、9.1.2合规性评价）</w:t>
            </w:r>
            <w:r>
              <w:rPr>
                <w:rFonts w:hint="eastAsia" w:ascii="楷体" w:hAnsi="楷体" w:eastAsia="楷体"/>
                <w:szCs w:val="21"/>
              </w:rPr>
              <w:t>、9.2 内部审核、1</w:t>
            </w:r>
            <w:bookmarkStart w:id="1" w:name="_GoBack"/>
            <w:bookmarkEnd w:id="1"/>
            <w:r>
              <w:rPr>
                <w:rFonts w:hint="eastAsia" w:ascii="楷体" w:hAnsi="楷体" w:eastAsia="楷体"/>
                <w:szCs w:val="21"/>
              </w:rPr>
              <w:t>0.2不合格和纠正措施</w:t>
            </w:r>
          </w:p>
        </w:tc>
        <w:tc>
          <w:tcPr>
            <w:tcW w:w="1585" w:type="dxa"/>
            <w:vMerge w:val="continue"/>
          </w:tcPr>
          <w:p>
            <w:pPr>
              <w:spacing w:line="360" w:lineRule="auto"/>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tcPr>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r>
              <w:rPr>
                <w:rFonts w:hint="eastAsia" w:ascii="楷体" w:hAnsi="楷体" w:eastAsia="楷体"/>
                <w:sz w:val="24"/>
                <w:szCs w:val="24"/>
              </w:rPr>
              <w:t>组织的岗位、职责和权限</w:t>
            </w:r>
          </w:p>
        </w:tc>
        <w:tc>
          <w:tcPr>
            <w:tcW w:w="1311" w:type="dxa"/>
          </w:tcPr>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ind w:firstLine="240" w:firstLineChars="100"/>
              <w:rPr>
                <w:rFonts w:ascii="楷体" w:hAnsi="楷体" w:eastAsia="楷体"/>
                <w:sz w:val="24"/>
                <w:szCs w:val="24"/>
              </w:rPr>
            </w:pPr>
          </w:p>
          <w:p>
            <w:pPr>
              <w:spacing w:line="360" w:lineRule="auto"/>
              <w:ind w:firstLine="240" w:firstLineChars="100"/>
              <w:rPr>
                <w:rFonts w:ascii="楷体" w:hAnsi="楷体" w:eastAsia="楷体"/>
                <w:sz w:val="24"/>
                <w:szCs w:val="24"/>
              </w:rPr>
            </w:pPr>
          </w:p>
          <w:p>
            <w:pPr>
              <w:spacing w:line="360" w:lineRule="auto"/>
              <w:ind w:firstLine="240" w:firstLineChars="100"/>
              <w:rPr>
                <w:rFonts w:ascii="楷体" w:hAnsi="楷体" w:eastAsia="楷体"/>
                <w:sz w:val="24"/>
                <w:szCs w:val="24"/>
              </w:rPr>
            </w:pPr>
          </w:p>
          <w:p>
            <w:pPr>
              <w:spacing w:line="360" w:lineRule="auto"/>
              <w:ind w:firstLine="240" w:firstLineChars="100"/>
              <w:rPr>
                <w:rFonts w:ascii="楷体" w:hAnsi="楷体" w:eastAsia="楷体"/>
                <w:sz w:val="24"/>
                <w:szCs w:val="24"/>
              </w:rPr>
            </w:pPr>
            <w:r>
              <w:rPr>
                <w:rFonts w:hint="eastAsia" w:ascii="楷体" w:hAnsi="楷体" w:eastAsia="楷体"/>
                <w:sz w:val="24"/>
                <w:szCs w:val="24"/>
              </w:rPr>
              <w:t>5.3</w:t>
            </w:r>
          </w:p>
        </w:tc>
        <w:tc>
          <w:tcPr>
            <w:tcW w:w="10004" w:type="dxa"/>
          </w:tcPr>
          <w:p>
            <w:pPr>
              <w:spacing w:line="360" w:lineRule="auto"/>
              <w:rPr>
                <w:rFonts w:ascii="楷体" w:hAnsi="楷体" w:eastAsia="楷体"/>
                <w:color w:val="000000" w:themeColor="text1"/>
                <w:sz w:val="24"/>
                <w:szCs w:val="24"/>
              </w:rPr>
            </w:pPr>
            <w:r>
              <w:rPr>
                <w:rFonts w:hint="eastAsia" w:ascii="楷体" w:hAnsi="楷体" w:eastAsia="楷体"/>
                <w:color w:val="000000" w:themeColor="text1"/>
                <w:sz w:val="24"/>
                <w:szCs w:val="24"/>
              </w:rPr>
              <w:t xml:space="preserve">部门负责人：董旭辉 </w:t>
            </w:r>
          </w:p>
          <w:p>
            <w:pPr>
              <w:spacing w:line="360" w:lineRule="auto"/>
              <w:rPr>
                <w:rFonts w:ascii="楷体" w:hAnsi="楷体" w:eastAsia="楷体"/>
                <w:color w:val="000000" w:themeColor="text1"/>
                <w:sz w:val="24"/>
                <w:szCs w:val="24"/>
              </w:rPr>
            </w:pPr>
            <w:r>
              <w:rPr>
                <w:rFonts w:hint="eastAsia" w:ascii="楷体" w:hAnsi="楷体" w:eastAsia="楷体"/>
                <w:color w:val="000000" w:themeColor="text1"/>
                <w:sz w:val="24"/>
                <w:szCs w:val="24"/>
              </w:rPr>
              <w:t>询问主要职责：</w:t>
            </w:r>
          </w:p>
          <w:p>
            <w:pPr>
              <w:spacing w:line="360" w:lineRule="auto"/>
              <w:ind w:firstLine="480" w:firstLineChars="200"/>
              <w:rPr>
                <w:rFonts w:ascii="楷体" w:hAnsi="楷体" w:eastAsia="楷体"/>
                <w:sz w:val="24"/>
                <w:szCs w:val="24"/>
              </w:rPr>
            </w:pPr>
            <w:r>
              <w:rPr>
                <w:rFonts w:ascii="楷体" w:hAnsi="楷体" w:eastAsia="楷体"/>
                <w:sz w:val="24"/>
                <w:szCs w:val="24"/>
              </w:rPr>
              <w:t xml:space="preserve">1) </w:t>
            </w:r>
            <w:r>
              <w:rPr>
                <w:rFonts w:hint="eastAsia" w:ascii="楷体" w:hAnsi="楷体" w:eastAsia="楷体"/>
                <w:sz w:val="24"/>
                <w:szCs w:val="24"/>
              </w:rPr>
              <w:t>具体负责环境管理体系的建立与实施；</w:t>
            </w:r>
          </w:p>
          <w:p>
            <w:pPr>
              <w:spacing w:line="360" w:lineRule="auto"/>
              <w:ind w:firstLine="480" w:firstLineChars="200"/>
              <w:rPr>
                <w:rFonts w:ascii="楷体" w:hAnsi="楷体" w:eastAsia="楷体"/>
                <w:sz w:val="24"/>
                <w:szCs w:val="24"/>
              </w:rPr>
            </w:pPr>
            <w:r>
              <w:rPr>
                <w:rFonts w:ascii="楷体" w:hAnsi="楷体" w:eastAsia="楷体"/>
                <w:sz w:val="24"/>
                <w:szCs w:val="24"/>
              </w:rPr>
              <w:t xml:space="preserve">2) </w:t>
            </w:r>
            <w:r>
              <w:rPr>
                <w:rFonts w:hint="eastAsia" w:ascii="楷体" w:hAnsi="楷体" w:eastAsia="楷体"/>
                <w:sz w:val="24"/>
                <w:szCs w:val="24"/>
              </w:rPr>
              <w:t>组织环境因素识别与评价，确定重要环境因素；</w:t>
            </w:r>
          </w:p>
          <w:p>
            <w:pPr>
              <w:spacing w:line="360" w:lineRule="auto"/>
              <w:ind w:firstLine="480" w:firstLineChars="200"/>
              <w:rPr>
                <w:rFonts w:ascii="楷体" w:hAnsi="楷体" w:eastAsia="楷体"/>
                <w:sz w:val="24"/>
                <w:szCs w:val="24"/>
              </w:rPr>
            </w:pPr>
            <w:r>
              <w:rPr>
                <w:rFonts w:ascii="楷体" w:hAnsi="楷体" w:eastAsia="楷体"/>
                <w:sz w:val="24"/>
                <w:szCs w:val="24"/>
              </w:rPr>
              <w:t xml:space="preserve">3) </w:t>
            </w:r>
            <w:r>
              <w:rPr>
                <w:rFonts w:hint="eastAsia" w:ascii="楷体" w:hAnsi="楷体" w:eastAsia="楷体"/>
                <w:sz w:val="24"/>
                <w:szCs w:val="24"/>
              </w:rPr>
              <w:t>组织环境管理体系内审及各种评审；</w:t>
            </w:r>
          </w:p>
          <w:p>
            <w:pPr>
              <w:spacing w:line="360" w:lineRule="auto"/>
              <w:ind w:firstLine="480" w:firstLineChars="200"/>
              <w:rPr>
                <w:rFonts w:ascii="楷体" w:hAnsi="楷体" w:eastAsia="楷体"/>
                <w:sz w:val="24"/>
                <w:szCs w:val="24"/>
              </w:rPr>
            </w:pPr>
            <w:r>
              <w:rPr>
                <w:rFonts w:ascii="楷体" w:hAnsi="楷体" w:eastAsia="楷体"/>
                <w:sz w:val="24"/>
                <w:szCs w:val="24"/>
              </w:rPr>
              <w:t xml:space="preserve">4) </w:t>
            </w:r>
            <w:r>
              <w:rPr>
                <w:rFonts w:hint="eastAsia" w:ascii="楷体" w:hAnsi="楷体" w:eastAsia="楷体"/>
                <w:sz w:val="24"/>
                <w:szCs w:val="24"/>
              </w:rPr>
              <w:t>负责获取、识别和更新适用的环境法律法规及其他要求，组织实施对法律法规遵循情况的评价；</w:t>
            </w:r>
          </w:p>
          <w:p>
            <w:pPr>
              <w:spacing w:line="360" w:lineRule="auto"/>
              <w:ind w:firstLine="480" w:firstLineChars="200"/>
              <w:rPr>
                <w:rFonts w:ascii="楷体" w:hAnsi="楷体" w:eastAsia="楷体"/>
                <w:sz w:val="24"/>
                <w:szCs w:val="24"/>
              </w:rPr>
            </w:pPr>
            <w:r>
              <w:rPr>
                <w:rFonts w:ascii="楷体" w:hAnsi="楷体" w:eastAsia="楷体"/>
                <w:sz w:val="24"/>
                <w:szCs w:val="24"/>
              </w:rPr>
              <w:t xml:space="preserve">5) </w:t>
            </w:r>
            <w:r>
              <w:rPr>
                <w:rFonts w:hint="eastAsia" w:ascii="楷体" w:hAnsi="楷体" w:eastAsia="楷体"/>
                <w:sz w:val="24"/>
                <w:szCs w:val="24"/>
              </w:rPr>
              <w:t>组织环境管理体系文件的编写和文件的管理；</w:t>
            </w:r>
          </w:p>
          <w:p>
            <w:pPr>
              <w:spacing w:line="360" w:lineRule="auto"/>
              <w:ind w:firstLine="480" w:firstLineChars="200"/>
              <w:rPr>
                <w:rFonts w:ascii="楷体" w:hAnsi="楷体" w:eastAsia="楷体"/>
                <w:sz w:val="24"/>
                <w:szCs w:val="24"/>
              </w:rPr>
            </w:pPr>
            <w:r>
              <w:rPr>
                <w:rFonts w:ascii="楷体" w:hAnsi="楷体" w:eastAsia="楷体"/>
                <w:sz w:val="24"/>
                <w:szCs w:val="24"/>
              </w:rPr>
              <w:t xml:space="preserve">6) </w:t>
            </w:r>
            <w:r>
              <w:rPr>
                <w:rFonts w:hint="eastAsia" w:ascii="楷体" w:hAnsi="楷体" w:eastAsia="楷体"/>
                <w:sz w:val="24"/>
                <w:szCs w:val="24"/>
              </w:rPr>
              <w:t>组织制定环境目标、指标和方案，并对完成情况进行监督检查；</w:t>
            </w:r>
          </w:p>
          <w:p>
            <w:pPr>
              <w:spacing w:line="360" w:lineRule="auto"/>
              <w:ind w:firstLine="480" w:firstLineChars="200"/>
              <w:rPr>
                <w:rFonts w:ascii="楷体" w:hAnsi="楷体" w:eastAsia="楷体"/>
                <w:sz w:val="24"/>
                <w:szCs w:val="24"/>
              </w:rPr>
            </w:pPr>
            <w:r>
              <w:rPr>
                <w:rFonts w:ascii="楷体" w:hAnsi="楷体" w:eastAsia="楷体"/>
                <w:sz w:val="24"/>
                <w:szCs w:val="24"/>
              </w:rPr>
              <w:t xml:space="preserve">7) </w:t>
            </w:r>
            <w:r>
              <w:rPr>
                <w:rFonts w:hint="eastAsia" w:ascii="楷体" w:hAnsi="楷体" w:eastAsia="楷体"/>
                <w:sz w:val="24"/>
                <w:szCs w:val="24"/>
              </w:rPr>
              <w:t>负责内、外部环境信息交流；</w:t>
            </w:r>
          </w:p>
          <w:p>
            <w:pPr>
              <w:spacing w:line="360" w:lineRule="auto"/>
              <w:ind w:firstLine="480" w:firstLineChars="200"/>
              <w:rPr>
                <w:rFonts w:ascii="楷体" w:hAnsi="楷体" w:eastAsia="楷体"/>
                <w:sz w:val="24"/>
                <w:szCs w:val="24"/>
              </w:rPr>
            </w:pPr>
            <w:r>
              <w:rPr>
                <w:rFonts w:ascii="楷体" w:hAnsi="楷体" w:eastAsia="楷体"/>
                <w:sz w:val="24"/>
                <w:szCs w:val="24"/>
              </w:rPr>
              <w:t xml:space="preserve">8) </w:t>
            </w:r>
            <w:r>
              <w:rPr>
                <w:rFonts w:hint="eastAsia" w:ascii="楷体" w:hAnsi="楷体" w:eastAsia="楷体"/>
                <w:sz w:val="24"/>
                <w:szCs w:val="24"/>
              </w:rPr>
              <w:t>负责环境管理体系运行的监督检查，对纠正预措施和预防措施跟踪验证；</w:t>
            </w:r>
          </w:p>
          <w:p>
            <w:pPr>
              <w:spacing w:line="360" w:lineRule="auto"/>
              <w:ind w:firstLine="480" w:firstLineChars="200"/>
              <w:rPr>
                <w:rFonts w:ascii="楷体" w:hAnsi="楷体" w:eastAsia="楷体"/>
                <w:sz w:val="24"/>
                <w:szCs w:val="24"/>
              </w:rPr>
            </w:pPr>
            <w:r>
              <w:rPr>
                <w:rFonts w:ascii="楷体" w:hAnsi="楷体" w:eastAsia="楷体"/>
                <w:sz w:val="24"/>
                <w:szCs w:val="24"/>
              </w:rPr>
              <w:t xml:space="preserve">9) </w:t>
            </w:r>
            <w:r>
              <w:rPr>
                <w:rFonts w:hint="eastAsia" w:ascii="楷体" w:hAnsi="楷体" w:eastAsia="楷体"/>
                <w:sz w:val="24"/>
                <w:szCs w:val="24"/>
              </w:rPr>
              <w:t>负责环境管理体系运行有关资料的汇总，为管理评审提供依据；</w:t>
            </w:r>
          </w:p>
          <w:p>
            <w:pPr>
              <w:tabs>
                <w:tab w:val="center" w:pos="3169"/>
              </w:tabs>
              <w:spacing w:line="360" w:lineRule="auto"/>
              <w:ind w:firstLine="480" w:firstLineChars="200"/>
              <w:jc w:val="left"/>
              <w:rPr>
                <w:rFonts w:ascii="楷体" w:hAnsi="楷体" w:eastAsia="楷体"/>
                <w:color w:val="000000" w:themeColor="text1"/>
                <w:sz w:val="24"/>
                <w:szCs w:val="24"/>
              </w:rPr>
            </w:pPr>
            <w:r>
              <w:rPr>
                <w:rFonts w:hint="eastAsia" w:ascii="楷体" w:hAnsi="楷体" w:eastAsia="楷体" w:cs="宋体"/>
                <w:color w:val="000000" w:themeColor="text1"/>
                <w:sz w:val="24"/>
                <w:szCs w:val="24"/>
                <w:lang w:bidi="ar"/>
              </w:rPr>
              <w:t>……</w:t>
            </w:r>
          </w:p>
          <w:p>
            <w:pPr>
              <w:spacing w:line="360" w:lineRule="auto"/>
              <w:rPr>
                <w:rFonts w:ascii="楷体" w:hAnsi="楷体" w:eastAsia="楷体"/>
                <w:sz w:val="24"/>
                <w:szCs w:val="24"/>
              </w:rPr>
            </w:pPr>
            <w:r>
              <w:rPr>
                <w:rFonts w:hint="eastAsia" w:ascii="楷体" w:hAnsi="楷体" w:eastAsia="楷体" w:cs="宋体"/>
                <w:color w:val="000000" w:themeColor="text1"/>
                <w:sz w:val="24"/>
                <w:szCs w:val="24"/>
                <w:lang w:bidi="ar"/>
              </w:rPr>
              <w:t>部门职责清晰、明确。办公室负责人能基本阐述本部门的主要职责。</w:t>
            </w:r>
          </w:p>
        </w:tc>
        <w:tc>
          <w:tcPr>
            <w:tcW w:w="1585" w:type="dxa"/>
          </w:tcPr>
          <w:p>
            <w:pPr>
              <w:spacing w:line="360" w:lineRule="auto"/>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tcPr>
          <w:p>
            <w:pPr>
              <w:spacing w:line="360" w:lineRule="auto"/>
              <w:rPr>
                <w:rFonts w:ascii="楷体" w:hAnsi="楷体" w:eastAsia="楷体"/>
                <w:sz w:val="24"/>
                <w:szCs w:val="24"/>
              </w:rPr>
            </w:pPr>
          </w:p>
          <w:p>
            <w:pPr>
              <w:spacing w:line="360" w:lineRule="auto"/>
              <w:ind w:firstLine="480" w:firstLineChars="200"/>
              <w:rPr>
                <w:rFonts w:ascii="楷体" w:hAnsi="楷体" w:eastAsia="楷体"/>
                <w:sz w:val="24"/>
                <w:szCs w:val="24"/>
              </w:rPr>
            </w:pPr>
          </w:p>
          <w:p>
            <w:pPr>
              <w:spacing w:line="360" w:lineRule="auto"/>
              <w:ind w:firstLine="480" w:firstLineChars="200"/>
              <w:rPr>
                <w:rFonts w:ascii="楷体" w:hAnsi="楷体" w:eastAsia="楷体"/>
                <w:sz w:val="24"/>
                <w:szCs w:val="24"/>
              </w:rPr>
            </w:pPr>
          </w:p>
          <w:p>
            <w:pPr>
              <w:spacing w:line="360" w:lineRule="auto"/>
              <w:ind w:firstLine="480" w:firstLineChars="200"/>
              <w:rPr>
                <w:rFonts w:ascii="楷体" w:hAnsi="楷体" w:eastAsia="楷体"/>
                <w:sz w:val="24"/>
                <w:szCs w:val="24"/>
              </w:rPr>
            </w:pPr>
            <w:r>
              <w:rPr>
                <w:rFonts w:hint="eastAsia" w:ascii="楷体" w:hAnsi="楷体" w:eastAsia="楷体"/>
                <w:sz w:val="24"/>
                <w:szCs w:val="24"/>
              </w:rPr>
              <w:t>能力、意识</w:t>
            </w:r>
          </w:p>
        </w:tc>
        <w:tc>
          <w:tcPr>
            <w:tcW w:w="1311" w:type="dxa"/>
          </w:tcPr>
          <w:p>
            <w:pPr>
              <w:spacing w:line="360" w:lineRule="auto"/>
              <w:rPr>
                <w:rFonts w:ascii="楷体" w:hAnsi="楷体" w:eastAsia="楷体"/>
                <w:sz w:val="24"/>
                <w:szCs w:val="24"/>
              </w:rPr>
            </w:pPr>
          </w:p>
          <w:p>
            <w:pPr>
              <w:spacing w:line="360" w:lineRule="auto"/>
              <w:ind w:firstLine="240" w:firstLineChars="100"/>
              <w:rPr>
                <w:rFonts w:ascii="楷体" w:hAnsi="楷体" w:eastAsia="楷体"/>
                <w:sz w:val="24"/>
                <w:szCs w:val="24"/>
              </w:rPr>
            </w:pPr>
          </w:p>
          <w:p>
            <w:pPr>
              <w:spacing w:line="360" w:lineRule="auto"/>
              <w:ind w:firstLine="240" w:firstLineChars="100"/>
              <w:rPr>
                <w:rFonts w:ascii="楷体" w:hAnsi="楷体" w:eastAsia="楷体"/>
                <w:sz w:val="24"/>
                <w:szCs w:val="24"/>
              </w:rPr>
            </w:pPr>
          </w:p>
          <w:p>
            <w:pPr>
              <w:spacing w:line="360" w:lineRule="auto"/>
              <w:ind w:firstLine="240" w:firstLineChars="100"/>
              <w:rPr>
                <w:rFonts w:ascii="楷体" w:hAnsi="楷体" w:eastAsia="楷体"/>
                <w:sz w:val="24"/>
                <w:szCs w:val="24"/>
              </w:rPr>
            </w:pPr>
            <w:r>
              <w:rPr>
                <w:rFonts w:hint="eastAsia" w:ascii="楷体" w:hAnsi="楷体" w:eastAsia="楷体"/>
                <w:sz w:val="24"/>
                <w:szCs w:val="24"/>
              </w:rPr>
              <w:t>7.2</w:t>
            </w:r>
          </w:p>
          <w:p>
            <w:pPr>
              <w:spacing w:line="360" w:lineRule="auto"/>
              <w:ind w:firstLine="240" w:firstLineChars="100"/>
              <w:rPr>
                <w:rFonts w:ascii="楷体" w:hAnsi="楷体" w:eastAsia="楷体"/>
                <w:sz w:val="24"/>
                <w:szCs w:val="24"/>
              </w:rPr>
            </w:pPr>
            <w:r>
              <w:rPr>
                <w:rFonts w:hint="eastAsia" w:ascii="楷体" w:hAnsi="楷体" w:eastAsia="楷体"/>
                <w:sz w:val="24"/>
                <w:szCs w:val="24"/>
              </w:rPr>
              <w:t>7.3</w:t>
            </w:r>
          </w:p>
        </w:tc>
        <w:tc>
          <w:tcPr>
            <w:tcW w:w="10004" w:type="dxa"/>
          </w:tcPr>
          <w:p>
            <w:pPr>
              <w:spacing w:line="360" w:lineRule="auto"/>
              <w:ind w:firstLine="480" w:firstLineChars="200"/>
              <w:rPr>
                <w:rFonts w:ascii="楷体" w:hAnsi="楷体" w:eastAsia="楷体"/>
                <w:sz w:val="24"/>
                <w:szCs w:val="24"/>
              </w:rPr>
            </w:pPr>
            <w:r>
              <w:rPr>
                <w:rFonts w:hint="eastAsia" w:ascii="楷体" w:hAnsi="楷体" w:eastAsia="楷体"/>
                <w:color w:val="000000" w:themeColor="text1"/>
                <w:sz w:val="24"/>
                <w:szCs w:val="24"/>
              </w:rPr>
              <w:t>公司</w:t>
            </w:r>
            <w:r>
              <w:rPr>
                <w:rFonts w:hint="eastAsia" w:ascii="楷体" w:hAnsi="楷体" w:eastAsia="楷体"/>
                <w:sz w:val="24"/>
                <w:szCs w:val="24"/>
              </w:rPr>
              <w:t>制定了《岗位人员任职要求》，对各部门领导层、生产部、采购部、质量部、设备科、技术部负责人岗位能力工作权限与内容、任职资格（经验知识个人素质、专业技能）的等作出了规定。</w:t>
            </w:r>
          </w:p>
          <w:p>
            <w:pPr>
              <w:spacing w:line="360" w:lineRule="auto"/>
              <w:ind w:firstLine="480" w:firstLineChars="200"/>
              <w:rPr>
                <w:rFonts w:ascii="楷体" w:hAnsi="楷体" w:eastAsia="楷体"/>
                <w:sz w:val="24"/>
                <w:szCs w:val="24"/>
              </w:rPr>
            </w:pPr>
            <w:r>
              <w:rPr>
                <w:rFonts w:hint="eastAsia" w:ascii="楷体" w:hAnsi="楷体" w:eastAsia="楷体"/>
                <w:sz w:val="24"/>
                <w:szCs w:val="24"/>
              </w:rPr>
              <w:t>查看《员工任职能力评价表》，其中包括：总经理、管代、各部门负责人等。能够满足公司环境管理体系运行以及体系覆盖产品生产和服务的需求。</w:t>
            </w:r>
          </w:p>
          <w:p>
            <w:pPr>
              <w:spacing w:line="360" w:lineRule="auto"/>
              <w:ind w:firstLine="480" w:firstLineChars="200"/>
              <w:rPr>
                <w:rFonts w:ascii="楷体" w:hAnsi="楷体" w:eastAsia="楷体"/>
                <w:sz w:val="24"/>
                <w:szCs w:val="24"/>
              </w:rPr>
            </w:pPr>
            <w:r>
              <w:rPr>
                <w:rFonts w:hint="eastAsia" w:ascii="楷体" w:hAnsi="楷体" w:eastAsia="楷体"/>
                <w:sz w:val="24"/>
                <w:szCs w:val="24"/>
              </w:rPr>
              <w:t>查看20</w:t>
            </w:r>
            <w:r>
              <w:rPr>
                <w:rFonts w:hint="eastAsia" w:ascii="楷体" w:hAnsi="楷体" w:eastAsia="楷体"/>
                <w:sz w:val="24"/>
                <w:szCs w:val="24"/>
                <w:lang w:val="en-US" w:eastAsia="zh-CN"/>
              </w:rPr>
              <w:t>20</w:t>
            </w:r>
            <w:r>
              <w:rPr>
                <w:rFonts w:hint="eastAsia" w:ascii="楷体" w:hAnsi="楷体" w:eastAsia="楷体"/>
                <w:sz w:val="24"/>
                <w:szCs w:val="24"/>
              </w:rPr>
              <w:t>年培训计划表，内容包括：环境、安全基础知识培训、GB/T24001标准各条款详解、环境因素识别、管理方针、目标及管理方案等培训。</w:t>
            </w:r>
          </w:p>
          <w:p>
            <w:pPr>
              <w:spacing w:line="360" w:lineRule="auto"/>
              <w:ind w:firstLine="480" w:firstLineChars="200"/>
              <w:rPr>
                <w:rFonts w:ascii="楷体" w:hAnsi="楷体" w:eastAsia="楷体"/>
                <w:sz w:val="24"/>
                <w:szCs w:val="24"/>
              </w:rPr>
            </w:pPr>
            <w:r>
              <w:rPr>
                <w:rFonts w:hint="eastAsia" w:ascii="楷体" w:hAnsi="楷体" w:eastAsia="楷体"/>
                <w:sz w:val="24"/>
                <w:szCs w:val="24"/>
              </w:rPr>
              <w:t>抽1：</w:t>
            </w:r>
            <w:r>
              <w:rPr>
                <w:rFonts w:hint="eastAsia" w:ascii="楷体" w:hAnsi="楷体" w:eastAsia="楷体"/>
                <w:sz w:val="24"/>
                <w:szCs w:val="24"/>
                <w:lang w:eastAsia="zh-CN"/>
              </w:rPr>
              <w:t>2020</w:t>
            </w:r>
            <w:r>
              <w:rPr>
                <w:rFonts w:hint="eastAsia" w:ascii="楷体" w:hAnsi="楷体" w:eastAsia="楷体"/>
                <w:sz w:val="24"/>
                <w:szCs w:val="24"/>
              </w:rPr>
              <w:t>年</w:t>
            </w:r>
            <w:r>
              <w:rPr>
                <w:rFonts w:hint="eastAsia" w:ascii="楷体" w:hAnsi="楷体" w:eastAsia="楷体"/>
                <w:sz w:val="24"/>
                <w:szCs w:val="24"/>
                <w:lang w:val="en-US" w:eastAsia="zh-CN"/>
              </w:rPr>
              <w:t>4</w:t>
            </w:r>
            <w:r>
              <w:rPr>
                <w:rFonts w:hint="eastAsia" w:ascii="楷体" w:hAnsi="楷体" w:eastAsia="楷体"/>
                <w:sz w:val="24"/>
                <w:szCs w:val="24"/>
              </w:rPr>
              <w:t>月</w:t>
            </w:r>
            <w:r>
              <w:rPr>
                <w:rFonts w:hint="eastAsia" w:ascii="楷体" w:hAnsi="楷体" w:eastAsia="楷体"/>
                <w:sz w:val="24"/>
                <w:szCs w:val="24"/>
                <w:lang w:val="en-US" w:eastAsia="zh-CN"/>
              </w:rPr>
              <w:t>1</w:t>
            </w:r>
            <w:r>
              <w:rPr>
                <w:rFonts w:hint="eastAsia" w:ascii="楷体" w:hAnsi="楷体" w:eastAsia="楷体"/>
                <w:sz w:val="24"/>
                <w:szCs w:val="24"/>
              </w:rPr>
              <w:t>5日在会议室进行了GB/T24001-2016标准及环境管理体系知识培训，培训效果评价，达到预期效果，评价人：董旭辉。</w:t>
            </w:r>
          </w:p>
          <w:p>
            <w:pPr>
              <w:spacing w:line="360" w:lineRule="auto"/>
              <w:ind w:firstLine="480" w:firstLineChars="200"/>
              <w:rPr>
                <w:rFonts w:ascii="楷体" w:hAnsi="楷体" w:eastAsia="楷体"/>
                <w:sz w:val="24"/>
                <w:szCs w:val="24"/>
              </w:rPr>
            </w:pPr>
            <w:r>
              <w:rPr>
                <w:rFonts w:hint="eastAsia" w:ascii="楷体" w:hAnsi="楷体" w:eastAsia="楷体"/>
                <w:sz w:val="24"/>
                <w:szCs w:val="24"/>
              </w:rPr>
              <w:t>抽2：</w:t>
            </w:r>
            <w:r>
              <w:rPr>
                <w:rFonts w:hint="eastAsia" w:ascii="楷体" w:hAnsi="楷体" w:eastAsia="楷体"/>
                <w:sz w:val="24"/>
                <w:szCs w:val="24"/>
                <w:lang w:eastAsia="zh-CN"/>
              </w:rPr>
              <w:t>2020</w:t>
            </w:r>
            <w:r>
              <w:rPr>
                <w:rFonts w:hint="eastAsia" w:ascii="楷体" w:hAnsi="楷体" w:eastAsia="楷体"/>
                <w:sz w:val="24"/>
                <w:szCs w:val="24"/>
              </w:rPr>
              <w:t>年</w:t>
            </w:r>
            <w:r>
              <w:rPr>
                <w:rFonts w:hint="eastAsia" w:ascii="楷体" w:hAnsi="楷体" w:eastAsia="楷体"/>
                <w:sz w:val="24"/>
                <w:szCs w:val="24"/>
                <w:lang w:val="en-US" w:eastAsia="zh-CN"/>
              </w:rPr>
              <w:t>5</w:t>
            </w:r>
            <w:r>
              <w:rPr>
                <w:rFonts w:hint="eastAsia" w:ascii="楷体" w:hAnsi="楷体" w:eastAsia="楷体"/>
                <w:sz w:val="24"/>
                <w:szCs w:val="24"/>
              </w:rPr>
              <w:t>月1</w:t>
            </w:r>
            <w:r>
              <w:rPr>
                <w:rFonts w:hint="eastAsia" w:ascii="楷体" w:hAnsi="楷体" w:eastAsia="楷体"/>
                <w:sz w:val="24"/>
                <w:szCs w:val="24"/>
                <w:lang w:val="en-US" w:eastAsia="zh-CN"/>
              </w:rPr>
              <w:t>6</w:t>
            </w:r>
            <w:r>
              <w:rPr>
                <w:rFonts w:hint="eastAsia" w:ascii="楷体" w:hAnsi="楷体" w:eastAsia="楷体"/>
                <w:sz w:val="24"/>
                <w:szCs w:val="24"/>
              </w:rPr>
              <w:t>日消防安全知识培训，</w:t>
            </w:r>
            <w:r>
              <w:rPr>
                <w:rFonts w:hint="eastAsia" w:ascii="楷体" w:hAnsi="楷体" w:eastAsia="楷体"/>
                <w:color w:val="000000" w:themeColor="text1"/>
                <w:sz w:val="24"/>
                <w:szCs w:val="24"/>
              </w:rPr>
              <w:t>培训取得预期效果，</w:t>
            </w:r>
            <w:r>
              <w:rPr>
                <w:rFonts w:hint="eastAsia" w:ascii="楷体" w:hAnsi="楷体" w:eastAsia="楷体"/>
                <w:sz w:val="24"/>
                <w:szCs w:val="24"/>
              </w:rPr>
              <w:t>评价人：董旭辉。</w:t>
            </w:r>
          </w:p>
          <w:p>
            <w:pPr>
              <w:spacing w:line="360" w:lineRule="auto"/>
              <w:ind w:firstLine="480" w:firstLineChars="200"/>
              <w:rPr>
                <w:rFonts w:ascii="楷体" w:hAnsi="楷体" w:eastAsia="楷体"/>
                <w:sz w:val="24"/>
                <w:szCs w:val="24"/>
              </w:rPr>
            </w:pPr>
            <w:r>
              <w:rPr>
                <w:rFonts w:hint="eastAsia" w:ascii="楷体" w:hAnsi="楷体" w:eastAsia="楷体"/>
                <w:sz w:val="24"/>
                <w:szCs w:val="24"/>
              </w:rPr>
              <w:t>抽3、</w:t>
            </w:r>
            <w:r>
              <w:rPr>
                <w:rFonts w:hint="eastAsia" w:ascii="楷体" w:hAnsi="楷体" w:eastAsia="楷体"/>
                <w:sz w:val="24"/>
                <w:szCs w:val="24"/>
                <w:lang w:eastAsia="zh-CN"/>
              </w:rPr>
              <w:t>2020</w:t>
            </w:r>
            <w:r>
              <w:rPr>
                <w:rFonts w:hint="eastAsia" w:ascii="楷体" w:hAnsi="楷体" w:eastAsia="楷体"/>
                <w:sz w:val="24"/>
                <w:szCs w:val="24"/>
              </w:rPr>
              <w:t>年</w:t>
            </w:r>
            <w:r>
              <w:rPr>
                <w:rFonts w:hint="eastAsia" w:ascii="楷体" w:hAnsi="楷体" w:eastAsia="楷体"/>
                <w:sz w:val="24"/>
                <w:szCs w:val="24"/>
                <w:lang w:val="en-US" w:eastAsia="zh-CN"/>
              </w:rPr>
              <w:t>8</w:t>
            </w:r>
            <w:r>
              <w:rPr>
                <w:rFonts w:hint="eastAsia" w:ascii="楷体" w:hAnsi="楷体" w:eastAsia="楷体"/>
                <w:sz w:val="24"/>
                <w:szCs w:val="24"/>
              </w:rPr>
              <w:t>月</w:t>
            </w:r>
            <w:r>
              <w:rPr>
                <w:rFonts w:hint="eastAsia" w:ascii="楷体" w:hAnsi="楷体" w:eastAsia="楷体"/>
                <w:sz w:val="24"/>
                <w:szCs w:val="24"/>
                <w:lang w:val="en-US" w:eastAsia="zh-CN"/>
              </w:rPr>
              <w:t>2</w:t>
            </w:r>
            <w:r>
              <w:rPr>
                <w:rFonts w:hint="eastAsia" w:ascii="楷体" w:hAnsi="楷体" w:eastAsia="楷体"/>
                <w:sz w:val="24"/>
                <w:szCs w:val="24"/>
              </w:rPr>
              <w:t>日，</w:t>
            </w:r>
            <w:r>
              <w:rPr>
                <w:rFonts w:hint="eastAsia" w:ascii="楷体" w:hAnsi="楷体" w:eastAsia="楷体"/>
                <w:color w:val="000000" w:themeColor="text1"/>
                <w:sz w:val="24"/>
                <w:szCs w:val="24"/>
              </w:rPr>
              <w:t>环境法律法规培训记录。培训取得预期效果，</w:t>
            </w:r>
            <w:r>
              <w:rPr>
                <w:rFonts w:hint="eastAsia" w:ascii="楷体" w:hAnsi="楷体" w:eastAsia="楷体"/>
                <w:sz w:val="24"/>
                <w:szCs w:val="24"/>
              </w:rPr>
              <w:t>评价人：董旭辉。</w:t>
            </w:r>
          </w:p>
          <w:p>
            <w:pPr>
              <w:spacing w:line="360" w:lineRule="auto"/>
              <w:ind w:firstLine="480" w:firstLineChars="200"/>
              <w:rPr>
                <w:rFonts w:ascii="楷体" w:hAnsi="楷体" w:eastAsia="楷体"/>
                <w:sz w:val="24"/>
                <w:szCs w:val="24"/>
              </w:rPr>
            </w:pPr>
            <w:r>
              <w:rPr>
                <w:rFonts w:hint="eastAsia" w:ascii="楷体" w:hAnsi="楷体" w:eastAsia="楷体"/>
                <w:sz w:val="24"/>
                <w:szCs w:val="24"/>
              </w:rPr>
              <w:t>企业有起重机工和锅炉工特种作业人员，抽查操作工证均在有效期内，见附件。</w:t>
            </w:r>
          </w:p>
          <w:p>
            <w:pPr>
              <w:spacing w:line="360" w:lineRule="auto"/>
              <w:ind w:firstLine="480" w:firstLineChars="200"/>
              <w:rPr>
                <w:rFonts w:ascii="楷体" w:hAnsi="楷体" w:eastAsia="楷体"/>
                <w:sz w:val="24"/>
                <w:szCs w:val="24"/>
              </w:rPr>
            </w:pPr>
            <w:r>
              <w:rPr>
                <w:rFonts w:hint="eastAsia" w:ascii="楷体" w:hAnsi="楷体" w:eastAsia="楷体"/>
                <w:sz w:val="24"/>
                <w:szCs w:val="24"/>
              </w:rPr>
              <w:t>人力资源控制基本满足要求。</w:t>
            </w:r>
          </w:p>
          <w:p>
            <w:pPr>
              <w:spacing w:line="360" w:lineRule="auto"/>
              <w:ind w:firstLine="480" w:firstLineChars="200"/>
              <w:rPr>
                <w:rFonts w:ascii="楷体" w:hAnsi="楷体" w:eastAsia="楷体"/>
                <w:sz w:val="24"/>
                <w:szCs w:val="24"/>
              </w:rPr>
            </w:pPr>
            <w:r>
              <w:rPr>
                <w:rFonts w:hint="eastAsia" w:ascii="楷体" w:hAnsi="楷体" w:eastAsia="楷体"/>
                <w:color w:val="000000" w:themeColor="text1"/>
                <w:sz w:val="24"/>
                <w:szCs w:val="24"/>
              </w:rPr>
              <w:t>董旭辉部长</w:t>
            </w:r>
            <w:r>
              <w:rPr>
                <w:rFonts w:hint="eastAsia" w:ascii="楷体" w:hAnsi="楷体" w:eastAsia="楷体"/>
                <w:sz w:val="24"/>
                <w:szCs w:val="24"/>
              </w:rPr>
              <w:t>介绍到通过培训、面谈等沟通方式，提高了员工的素质，增强了员工的环保意识，员工认识到了自身贡献的重要性。</w:t>
            </w:r>
          </w:p>
          <w:p>
            <w:pPr>
              <w:spacing w:line="360" w:lineRule="auto"/>
              <w:rPr>
                <w:rFonts w:ascii="楷体" w:hAnsi="楷体" w:eastAsia="楷体"/>
                <w:sz w:val="24"/>
                <w:szCs w:val="24"/>
              </w:rPr>
            </w:pPr>
            <w:r>
              <w:rPr>
                <w:rFonts w:hint="eastAsia" w:ascii="楷体" w:hAnsi="楷体" w:eastAsia="楷体"/>
                <w:sz w:val="24"/>
                <w:szCs w:val="24"/>
              </w:rPr>
              <w:t>企业已对人力资源的管理、控制进行了策划，并已实施控制，针对体系文件的系统学习进行了交流。</w:t>
            </w:r>
          </w:p>
        </w:tc>
        <w:tc>
          <w:tcPr>
            <w:tcW w:w="1585" w:type="dxa"/>
          </w:tcPr>
          <w:p>
            <w:pPr>
              <w:spacing w:line="360" w:lineRule="auto"/>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tcPr>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r>
              <w:rPr>
                <w:rFonts w:hint="eastAsia" w:ascii="楷体" w:hAnsi="楷体" w:eastAsia="楷体"/>
                <w:sz w:val="24"/>
                <w:szCs w:val="24"/>
              </w:rPr>
              <w:t>形成文件的信息总则</w:t>
            </w:r>
          </w:p>
        </w:tc>
        <w:tc>
          <w:tcPr>
            <w:tcW w:w="1311" w:type="dxa"/>
          </w:tcPr>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r>
              <w:rPr>
                <w:rFonts w:hint="eastAsia" w:ascii="楷体" w:hAnsi="楷体" w:eastAsia="楷体"/>
                <w:sz w:val="24"/>
                <w:szCs w:val="24"/>
              </w:rPr>
              <w:t>7.5.1</w:t>
            </w:r>
          </w:p>
          <w:p>
            <w:pPr>
              <w:spacing w:line="360" w:lineRule="auto"/>
              <w:rPr>
                <w:rFonts w:ascii="楷体" w:hAnsi="楷体" w:eastAsia="楷体"/>
                <w:sz w:val="24"/>
                <w:szCs w:val="24"/>
              </w:rPr>
            </w:pPr>
          </w:p>
        </w:tc>
        <w:tc>
          <w:tcPr>
            <w:tcW w:w="10004" w:type="dxa"/>
          </w:tcPr>
          <w:p>
            <w:pPr>
              <w:spacing w:line="360" w:lineRule="auto"/>
              <w:rPr>
                <w:rFonts w:ascii="楷体" w:hAnsi="楷体" w:eastAsia="楷体"/>
                <w:sz w:val="24"/>
                <w:szCs w:val="24"/>
              </w:rPr>
            </w:pPr>
            <w:r>
              <w:rPr>
                <w:rFonts w:hint="eastAsia" w:ascii="楷体" w:hAnsi="楷体" w:eastAsia="楷体"/>
                <w:color w:val="000000" w:themeColor="text1"/>
                <w:sz w:val="24"/>
                <w:szCs w:val="24"/>
              </w:rPr>
              <w:t>董旭辉部长</w:t>
            </w:r>
            <w:r>
              <w:rPr>
                <w:rFonts w:hint="eastAsia" w:ascii="楷体" w:hAnsi="楷体" w:eastAsia="楷体"/>
                <w:sz w:val="24"/>
                <w:szCs w:val="24"/>
              </w:rPr>
              <w:t xml:space="preserve">介绍：企业根据公司建立了管理体系的要求及其体系覆盖范围、企业员工的文化水平、各过程的控制难易程度、企业的实际情况建立了管理体系，企业环境管理体系文件主要包括： </w:t>
            </w:r>
          </w:p>
          <w:p>
            <w:pPr>
              <w:spacing w:line="360" w:lineRule="auto"/>
              <w:rPr>
                <w:rFonts w:ascii="楷体" w:hAnsi="楷体" w:eastAsia="楷体"/>
                <w:sz w:val="24"/>
                <w:szCs w:val="24"/>
              </w:rPr>
            </w:pPr>
            <w:r>
              <w:rPr>
                <w:rFonts w:hint="eastAsia" w:ascii="楷体" w:hAnsi="楷体" w:eastAsia="楷体"/>
                <w:sz w:val="24"/>
                <w:szCs w:val="24"/>
              </w:rPr>
              <w:t>1）在企业管理手册、程序文件中包括了：管理方针、体系覆盖范围的描述、管理目标、主要要素、过程及其相互作用的描述，以及相关文件查询途径。</w:t>
            </w:r>
          </w:p>
          <w:p>
            <w:pPr>
              <w:spacing w:line="360" w:lineRule="auto"/>
              <w:rPr>
                <w:rFonts w:ascii="楷体" w:hAnsi="楷体" w:eastAsia="楷体"/>
                <w:sz w:val="24"/>
                <w:szCs w:val="24"/>
              </w:rPr>
            </w:pPr>
            <w:r>
              <w:rPr>
                <w:rFonts w:hint="eastAsia" w:ascii="楷体" w:hAnsi="楷体" w:eastAsia="楷体"/>
                <w:sz w:val="24"/>
                <w:szCs w:val="24"/>
              </w:rPr>
              <w:t>2）编制了涉及质量、安全、环境体系过程所需体系有效运行所需管理制度；</w:t>
            </w:r>
          </w:p>
          <w:p>
            <w:pPr>
              <w:spacing w:line="360" w:lineRule="auto"/>
              <w:rPr>
                <w:rFonts w:ascii="楷体" w:hAnsi="楷体" w:eastAsia="楷体"/>
                <w:sz w:val="24"/>
                <w:szCs w:val="24"/>
              </w:rPr>
            </w:pPr>
            <w:r>
              <w:rPr>
                <w:rFonts w:hint="eastAsia" w:ascii="楷体" w:hAnsi="楷体" w:eastAsia="楷体"/>
                <w:sz w:val="24"/>
                <w:szCs w:val="24"/>
              </w:rPr>
              <w:t>3）收集了有关外来文件；</w:t>
            </w:r>
          </w:p>
          <w:p>
            <w:pPr>
              <w:spacing w:line="360" w:lineRule="auto"/>
              <w:rPr>
                <w:rFonts w:ascii="楷体" w:hAnsi="楷体" w:eastAsia="楷体"/>
                <w:sz w:val="24"/>
                <w:szCs w:val="24"/>
              </w:rPr>
            </w:pPr>
            <w:r>
              <w:rPr>
                <w:rFonts w:hint="eastAsia" w:ascii="楷体" w:hAnsi="楷体" w:eastAsia="楷体"/>
                <w:sz w:val="24"/>
                <w:szCs w:val="24"/>
              </w:rPr>
              <w:t>4）策划了有关体系运行的记录。</w:t>
            </w:r>
          </w:p>
          <w:p>
            <w:pPr>
              <w:spacing w:line="360" w:lineRule="auto"/>
              <w:rPr>
                <w:rFonts w:hint="default" w:ascii="楷体" w:hAnsi="楷体" w:eastAsia="楷体"/>
                <w:sz w:val="24"/>
                <w:szCs w:val="24"/>
                <w:lang w:val="en-US" w:eastAsia="zh-CN"/>
              </w:rPr>
            </w:pPr>
            <w:r>
              <w:rPr>
                <w:rFonts w:hint="eastAsia" w:ascii="楷体" w:hAnsi="楷体" w:eastAsia="楷体"/>
                <w:sz w:val="24"/>
                <w:szCs w:val="24"/>
              </w:rPr>
              <w:t>企业编制了以上文件经总经理梁永旭批准，于</w:t>
            </w:r>
            <w:r>
              <w:rPr>
                <w:rFonts w:hint="eastAsia" w:ascii="楷体" w:hAnsi="楷体" w:eastAsia="楷体"/>
                <w:sz w:val="24"/>
                <w:szCs w:val="24"/>
                <w:lang w:eastAsia="zh-CN"/>
              </w:rPr>
              <w:t>20</w:t>
            </w:r>
            <w:r>
              <w:rPr>
                <w:rFonts w:hint="eastAsia" w:ascii="楷体" w:hAnsi="楷体" w:eastAsia="楷体"/>
                <w:sz w:val="24"/>
                <w:szCs w:val="24"/>
                <w:lang w:val="en-US" w:eastAsia="zh-CN"/>
              </w:rPr>
              <w:t>19</w:t>
            </w:r>
            <w:r>
              <w:rPr>
                <w:rFonts w:hint="eastAsia" w:ascii="楷体" w:hAnsi="楷体" w:eastAsia="楷体"/>
                <w:sz w:val="24"/>
                <w:szCs w:val="24"/>
              </w:rPr>
              <w:t>年3月1日发布实施。</w:t>
            </w:r>
            <w:r>
              <w:rPr>
                <w:rFonts w:hint="eastAsia" w:ascii="楷体" w:hAnsi="楷体" w:eastAsia="楷体"/>
                <w:sz w:val="24"/>
                <w:szCs w:val="24"/>
                <w:lang w:val="en-US" w:eastAsia="zh-CN"/>
              </w:rPr>
              <w:t>2020年度暂无修订更改。</w:t>
            </w:r>
          </w:p>
          <w:p>
            <w:pPr>
              <w:spacing w:line="360" w:lineRule="auto"/>
              <w:rPr>
                <w:rFonts w:ascii="楷体" w:hAnsi="楷体" w:eastAsia="楷体"/>
                <w:sz w:val="24"/>
                <w:szCs w:val="24"/>
              </w:rPr>
            </w:pPr>
            <w:r>
              <w:rPr>
                <w:rFonts w:hint="eastAsia" w:ascii="楷体" w:hAnsi="楷体" w:eastAsia="楷体"/>
                <w:sz w:val="24"/>
                <w:szCs w:val="24"/>
              </w:rPr>
              <w:t>企业手册依据标准的要求，对企业适用情况进行了描述。</w:t>
            </w:r>
          </w:p>
        </w:tc>
        <w:tc>
          <w:tcPr>
            <w:tcW w:w="1585" w:type="dxa"/>
          </w:tcPr>
          <w:p>
            <w:pPr>
              <w:spacing w:line="360" w:lineRule="auto"/>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tcPr>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r>
              <w:rPr>
                <w:rFonts w:ascii="楷体" w:hAnsi="楷体" w:eastAsia="楷体"/>
                <w:sz w:val="24"/>
                <w:szCs w:val="24"/>
              </w:rPr>
              <w:t>文件控制</w:t>
            </w:r>
          </w:p>
        </w:tc>
        <w:tc>
          <w:tcPr>
            <w:tcW w:w="1311" w:type="dxa"/>
          </w:tcPr>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r>
              <w:rPr>
                <w:rFonts w:hint="eastAsia" w:ascii="楷体" w:hAnsi="楷体" w:eastAsia="楷体"/>
                <w:sz w:val="24"/>
                <w:szCs w:val="24"/>
              </w:rPr>
              <w:t>7.5.2</w:t>
            </w:r>
          </w:p>
          <w:p>
            <w:pPr>
              <w:spacing w:line="360" w:lineRule="auto"/>
              <w:rPr>
                <w:rFonts w:ascii="楷体" w:hAnsi="楷体" w:eastAsia="楷体"/>
                <w:sz w:val="24"/>
                <w:szCs w:val="24"/>
              </w:rPr>
            </w:pPr>
            <w:r>
              <w:rPr>
                <w:rFonts w:hint="eastAsia" w:ascii="楷体" w:hAnsi="楷体" w:eastAsia="楷体"/>
                <w:sz w:val="24"/>
                <w:szCs w:val="24"/>
              </w:rPr>
              <w:t>7.5.3</w:t>
            </w:r>
          </w:p>
        </w:tc>
        <w:tc>
          <w:tcPr>
            <w:tcW w:w="10004" w:type="dxa"/>
          </w:tcPr>
          <w:p>
            <w:pPr>
              <w:spacing w:line="360" w:lineRule="auto"/>
              <w:rPr>
                <w:rFonts w:ascii="楷体" w:hAnsi="楷体" w:eastAsia="楷体"/>
                <w:sz w:val="24"/>
                <w:szCs w:val="24"/>
              </w:rPr>
            </w:pPr>
            <w:r>
              <w:rPr>
                <w:rFonts w:hint="eastAsia" w:ascii="楷体" w:hAnsi="楷体" w:eastAsia="楷体"/>
                <w:sz w:val="24"/>
                <w:szCs w:val="24"/>
              </w:rPr>
              <w:t>企业编制了《文件控制程序》、《记录控制程序》，规定了有关企业文件、记录编制、标识、外来文件的收集编制、控制、管理要求。</w:t>
            </w:r>
          </w:p>
          <w:p>
            <w:pPr>
              <w:spacing w:line="360" w:lineRule="auto"/>
              <w:rPr>
                <w:rFonts w:ascii="楷体" w:hAnsi="楷体" w:eastAsia="楷体"/>
                <w:sz w:val="24"/>
                <w:szCs w:val="24"/>
              </w:rPr>
            </w:pPr>
            <w:r>
              <w:rPr>
                <w:rFonts w:hint="eastAsia" w:ascii="楷体" w:hAnsi="楷体" w:eastAsia="楷体"/>
                <w:sz w:val="24"/>
                <w:szCs w:val="24"/>
              </w:rPr>
              <w:t>为确保企业体系文件的适宜性和充分性，规定了企业文件资料的标识、格式、评审和批准的要求。</w:t>
            </w:r>
          </w:p>
          <w:p>
            <w:pPr>
              <w:spacing w:line="360" w:lineRule="auto"/>
              <w:rPr>
                <w:rFonts w:ascii="楷体" w:hAnsi="楷体" w:eastAsia="楷体"/>
                <w:sz w:val="24"/>
                <w:szCs w:val="24"/>
              </w:rPr>
            </w:pPr>
            <w:r>
              <w:rPr>
                <w:rFonts w:hint="eastAsia" w:ascii="楷体" w:hAnsi="楷体" w:eastAsia="楷体"/>
                <w:sz w:val="24"/>
                <w:szCs w:val="24"/>
              </w:rPr>
              <w:t>查企业提供的《环境管理手册》，查阅文审部分已经进行了修改，经过批准后进行更改。一阶段问题已整改有效，文件均为打印文稿，保持清晰，易于识别。</w:t>
            </w:r>
          </w:p>
          <w:p>
            <w:pPr>
              <w:spacing w:line="360" w:lineRule="auto"/>
              <w:rPr>
                <w:rFonts w:ascii="楷体" w:hAnsi="楷体" w:eastAsia="楷体"/>
                <w:sz w:val="24"/>
                <w:szCs w:val="24"/>
              </w:rPr>
            </w:pPr>
            <w:r>
              <w:rPr>
                <w:rFonts w:hint="eastAsia" w:ascii="楷体" w:hAnsi="楷体" w:eastAsia="楷体"/>
                <w:sz w:val="24"/>
                <w:szCs w:val="24"/>
              </w:rPr>
              <w:t xml:space="preserve">企业提供了针对以上文件的《文件发放记录》，记录了以上有关体系文件的发放情况。 </w:t>
            </w:r>
          </w:p>
          <w:p>
            <w:pPr>
              <w:spacing w:line="360" w:lineRule="auto"/>
              <w:rPr>
                <w:rFonts w:ascii="楷体" w:hAnsi="楷体" w:eastAsia="楷体"/>
                <w:sz w:val="24"/>
                <w:szCs w:val="24"/>
              </w:rPr>
            </w:pPr>
            <w:r>
              <w:rPr>
                <w:rFonts w:hint="eastAsia" w:ascii="楷体" w:hAnsi="楷体" w:eastAsia="楷体"/>
                <w:sz w:val="24"/>
                <w:szCs w:val="24"/>
              </w:rPr>
              <w:t>提供了《法律法规清单》列入了相关机械加工生产的质量、安全、环境法规外来文件，并形成文件的信息的控制。对以上进行识别、收集。</w:t>
            </w:r>
          </w:p>
          <w:p>
            <w:pPr>
              <w:spacing w:line="360" w:lineRule="auto"/>
              <w:rPr>
                <w:rFonts w:ascii="楷体" w:hAnsi="楷体" w:eastAsia="楷体"/>
                <w:sz w:val="24"/>
                <w:szCs w:val="24"/>
              </w:rPr>
            </w:pPr>
            <w:r>
              <w:rPr>
                <w:rFonts w:hint="eastAsia" w:ascii="楷体" w:hAnsi="楷体" w:eastAsia="楷体"/>
                <w:sz w:val="24"/>
                <w:szCs w:val="24"/>
              </w:rPr>
              <w:t>由办公室负责通过到主管部门、网上收集、标准发布部门进行购买，并对外来文件的识别、跟踪、控制。</w:t>
            </w:r>
          </w:p>
        </w:tc>
        <w:tc>
          <w:tcPr>
            <w:tcW w:w="1585" w:type="dxa"/>
          </w:tcPr>
          <w:p>
            <w:pPr>
              <w:spacing w:line="360" w:lineRule="auto"/>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809" w:type="dxa"/>
            <w:vAlign w:val="center"/>
          </w:tcPr>
          <w:p>
            <w:pPr>
              <w:spacing w:line="360" w:lineRule="auto"/>
              <w:rPr>
                <w:rFonts w:ascii="楷体" w:hAnsi="楷体" w:eastAsia="楷体"/>
                <w:sz w:val="24"/>
                <w:szCs w:val="24"/>
              </w:rPr>
            </w:pPr>
            <w:r>
              <w:rPr>
                <w:rFonts w:ascii="楷体" w:hAnsi="楷体" w:eastAsia="楷体"/>
                <w:sz w:val="24"/>
                <w:szCs w:val="24"/>
              </w:rPr>
              <w:t>目标</w:t>
            </w:r>
          </w:p>
        </w:tc>
        <w:tc>
          <w:tcPr>
            <w:tcW w:w="1311" w:type="dxa"/>
            <w:vAlign w:val="center"/>
          </w:tcPr>
          <w:p>
            <w:pPr>
              <w:tabs>
                <w:tab w:val="left" w:pos="6597"/>
              </w:tabs>
              <w:spacing w:line="360" w:lineRule="auto"/>
              <w:rPr>
                <w:rFonts w:ascii="楷体" w:hAnsi="楷体" w:eastAsia="楷体" w:cs="楷体"/>
                <w:sz w:val="24"/>
                <w:szCs w:val="24"/>
              </w:rPr>
            </w:pPr>
            <w:r>
              <w:rPr>
                <w:rFonts w:hint="eastAsia" w:ascii="楷体" w:hAnsi="楷体" w:eastAsia="楷体" w:cs="楷体"/>
                <w:sz w:val="24"/>
                <w:szCs w:val="24"/>
              </w:rPr>
              <w:t>E：6.2、</w:t>
            </w:r>
          </w:p>
        </w:tc>
        <w:tc>
          <w:tcPr>
            <w:tcW w:w="10004" w:type="dxa"/>
          </w:tcPr>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查到公司的环境目标：</w:t>
            </w:r>
          </w:p>
          <w:p>
            <w:pPr>
              <w:spacing w:line="360" w:lineRule="auto"/>
              <w:ind w:firstLine="480" w:firstLineChars="200"/>
              <w:rPr>
                <w:rFonts w:ascii="楷体" w:hAnsi="楷体" w:eastAsia="楷体" w:cs="楷体"/>
                <w:sz w:val="24"/>
                <w:szCs w:val="24"/>
              </w:rPr>
            </w:pPr>
            <w:r>
              <w:rPr>
                <w:rFonts w:ascii="楷体" w:hAnsi="楷体" w:eastAsia="楷体" w:cs="楷体"/>
                <w:sz w:val="24"/>
                <w:szCs w:val="24"/>
              </w:rPr>
              <w:t>a)</w:t>
            </w:r>
            <w:r>
              <w:rPr>
                <w:rFonts w:hint="eastAsia" w:ascii="楷体" w:hAnsi="楷体" w:eastAsia="楷体" w:cs="楷体"/>
                <w:sz w:val="24"/>
                <w:szCs w:val="24"/>
              </w:rPr>
              <w:t>重大环境污染事故为零；</w:t>
            </w:r>
          </w:p>
          <w:p>
            <w:pPr>
              <w:spacing w:line="360" w:lineRule="auto"/>
              <w:ind w:firstLine="480" w:firstLineChars="200"/>
              <w:rPr>
                <w:rFonts w:ascii="楷体" w:hAnsi="楷体" w:eastAsia="楷体" w:cs="楷体"/>
                <w:sz w:val="24"/>
                <w:szCs w:val="24"/>
              </w:rPr>
            </w:pPr>
            <w:r>
              <w:rPr>
                <w:rFonts w:ascii="楷体" w:hAnsi="楷体" w:eastAsia="楷体" w:cs="楷体"/>
                <w:sz w:val="24"/>
                <w:szCs w:val="24"/>
              </w:rPr>
              <w:t>b)</w:t>
            </w:r>
            <w:r>
              <w:rPr>
                <w:rFonts w:hint="eastAsia" w:ascii="楷体" w:hAnsi="楷体" w:eastAsia="楷体" w:cs="楷体"/>
                <w:sz w:val="24"/>
                <w:szCs w:val="24"/>
              </w:rPr>
              <w:t>工作场所产生的废水、废气和厂界噪声达到国家排放标准要求；</w:t>
            </w:r>
          </w:p>
          <w:p>
            <w:pPr>
              <w:autoSpaceDE w:val="0"/>
              <w:autoSpaceDN w:val="0"/>
              <w:spacing w:line="360" w:lineRule="auto"/>
              <w:ind w:firstLine="480" w:firstLineChars="200"/>
              <w:rPr>
                <w:rFonts w:ascii="楷体" w:hAnsi="楷体" w:eastAsia="楷体" w:cs="楷体"/>
                <w:sz w:val="24"/>
                <w:szCs w:val="24"/>
              </w:rPr>
            </w:pPr>
            <w:r>
              <w:rPr>
                <w:rFonts w:ascii="楷体" w:hAnsi="楷体" w:eastAsia="楷体" w:cs="楷体"/>
                <w:sz w:val="24"/>
                <w:szCs w:val="24"/>
              </w:rPr>
              <w:t>c)</w:t>
            </w:r>
            <w:r>
              <w:rPr>
                <w:rFonts w:hint="eastAsia" w:ascii="楷体" w:hAnsi="楷体" w:eastAsia="楷体" w:cs="楷体"/>
                <w:sz w:val="24"/>
                <w:szCs w:val="24"/>
              </w:rPr>
              <w:t>工作场所的废弃物处置符合国家及地方环保规定要求。</w:t>
            </w:r>
          </w:p>
          <w:p>
            <w:pPr>
              <w:autoSpaceDE w:val="0"/>
              <w:autoSpaceDN w:val="0"/>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查到目标完成情况考核表：考核日期：</w:t>
            </w:r>
            <w:r>
              <w:rPr>
                <w:rFonts w:hint="eastAsia" w:ascii="楷体" w:hAnsi="楷体" w:eastAsia="楷体" w:cs="楷体"/>
                <w:sz w:val="24"/>
                <w:szCs w:val="24"/>
                <w:lang w:eastAsia="zh-CN"/>
              </w:rPr>
              <w:t>2020</w:t>
            </w:r>
            <w:r>
              <w:rPr>
                <w:rFonts w:hint="eastAsia" w:ascii="楷体" w:hAnsi="楷体" w:eastAsia="楷体" w:cs="楷体"/>
                <w:sz w:val="24"/>
                <w:szCs w:val="24"/>
              </w:rPr>
              <w:t>.</w:t>
            </w:r>
            <w:r>
              <w:rPr>
                <w:rFonts w:hint="eastAsia" w:ascii="楷体" w:hAnsi="楷体" w:eastAsia="楷体" w:cs="楷体"/>
                <w:sz w:val="24"/>
                <w:szCs w:val="24"/>
                <w:lang w:val="en-US" w:eastAsia="zh-CN"/>
              </w:rPr>
              <w:t>8</w:t>
            </w:r>
            <w:r>
              <w:rPr>
                <w:rFonts w:hint="eastAsia" w:ascii="楷体" w:hAnsi="楷体" w:eastAsia="楷体" w:cs="楷体"/>
                <w:sz w:val="24"/>
                <w:szCs w:val="24"/>
              </w:rPr>
              <w:t>.</w:t>
            </w:r>
            <w:r>
              <w:rPr>
                <w:rFonts w:hint="eastAsia" w:ascii="楷体" w:hAnsi="楷体" w:eastAsia="楷体" w:cs="楷体"/>
                <w:sz w:val="24"/>
                <w:szCs w:val="24"/>
                <w:lang w:val="en-US" w:eastAsia="zh-CN"/>
              </w:rPr>
              <w:t>25</w:t>
            </w:r>
            <w:r>
              <w:rPr>
                <w:rFonts w:hint="eastAsia" w:ascii="楷体" w:hAnsi="楷体" w:eastAsia="楷体" w:cs="楷体"/>
                <w:sz w:val="24"/>
                <w:szCs w:val="24"/>
              </w:rPr>
              <w:t>日，以上能达标完成。</w:t>
            </w:r>
          </w:p>
          <w:p>
            <w:pPr>
              <w:autoSpaceDE w:val="0"/>
              <w:autoSpaceDN w:val="0"/>
              <w:spacing w:line="360" w:lineRule="auto"/>
              <w:ind w:firstLine="480" w:firstLineChars="200"/>
              <w:rPr>
                <w:rFonts w:ascii="楷体" w:hAnsi="楷体" w:eastAsia="楷体" w:cs="楷体"/>
                <w:sz w:val="24"/>
                <w:szCs w:val="24"/>
              </w:rPr>
            </w:pPr>
          </w:p>
          <w:p>
            <w:pPr>
              <w:spacing w:line="360" w:lineRule="auto"/>
              <w:rPr>
                <w:rFonts w:ascii="楷体" w:hAnsi="楷体" w:eastAsia="楷体" w:cs="楷体"/>
                <w:sz w:val="24"/>
                <w:szCs w:val="24"/>
              </w:rPr>
            </w:pPr>
            <w:r>
              <w:rPr>
                <w:rFonts w:ascii="楷体" w:hAnsi="楷体" w:eastAsia="楷体" w:cs="楷体"/>
                <w:sz w:val="24"/>
                <w:szCs w:val="24"/>
              </w:rPr>
              <w:t>查办公室目标也能完成</w:t>
            </w:r>
            <w:r>
              <w:rPr>
                <w:rFonts w:hint="eastAsia" w:ascii="楷体" w:hAnsi="楷体" w:eastAsia="楷体" w:cs="楷体"/>
                <w:sz w:val="24"/>
                <w:szCs w:val="24"/>
              </w:rPr>
              <w:t>，</w:t>
            </w:r>
          </w:p>
          <w:tbl>
            <w:tblPr>
              <w:tblStyle w:val="5"/>
              <w:tblW w:w="6520" w:type="dxa"/>
              <w:tblInd w:w="10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44"/>
              <w:gridCol w:w="2126"/>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3544" w:type="dxa"/>
                  <w:vAlign w:val="center"/>
                </w:tcPr>
                <w:p>
                  <w:pPr>
                    <w:spacing w:line="240" w:lineRule="exact"/>
                    <w:jc w:val="center"/>
                    <w:rPr>
                      <w:rFonts w:ascii="楷体" w:hAnsi="楷体" w:eastAsia="楷体" w:cs="楷体"/>
                      <w:sz w:val="24"/>
                      <w:szCs w:val="24"/>
                    </w:rPr>
                  </w:pPr>
                  <w:r>
                    <w:rPr>
                      <w:rFonts w:hint="eastAsia" w:ascii="楷体" w:hAnsi="楷体" w:eastAsia="楷体" w:cs="楷体"/>
                      <w:sz w:val="24"/>
                      <w:szCs w:val="24"/>
                    </w:rPr>
                    <w:t>目标指标</w:t>
                  </w:r>
                </w:p>
              </w:tc>
              <w:tc>
                <w:tcPr>
                  <w:tcW w:w="2126" w:type="dxa"/>
                  <w:vAlign w:val="center"/>
                </w:tcPr>
                <w:p>
                  <w:pPr>
                    <w:spacing w:line="240" w:lineRule="exact"/>
                    <w:jc w:val="center"/>
                    <w:rPr>
                      <w:rFonts w:ascii="楷体" w:hAnsi="楷体" w:eastAsia="楷体" w:cs="楷体"/>
                      <w:sz w:val="24"/>
                      <w:szCs w:val="24"/>
                    </w:rPr>
                  </w:pPr>
                  <w:r>
                    <w:rPr>
                      <w:rFonts w:hint="eastAsia" w:ascii="楷体" w:hAnsi="楷体" w:eastAsia="楷体" w:cs="楷体"/>
                      <w:sz w:val="24"/>
                      <w:szCs w:val="24"/>
                    </w:rPr>
                    <w:t>完成情况</w:t>
                  </w:r>
                </w:p>
              </w:tc>
              <w:tc>
                <w:tcPr>
                  <w:tcW w:w="850" w:type="dxa"/>
                  <w:vAlign w:val="center"/>
                </w:tcPr>
                <w:p>
                  <w:pPr>
                    <w:spacing w:line="240" w:lineRule="exact"/>
                    <w:rPr>
                      <w:rFonts w:ascii="楷体" w:hAnsi="楷体" w:eastAsia="楷体" w:cs="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3544" w:type="dxa"/>
                  <w:vAlign w:val="center"/>
                </w:tcPr>
                <w:p>
                  <w:pPr>
                    <w:spacing w:line="240" w:lineRule="exact"/>
                    <w:rPr>
                      <w:rFonts w:ascii="楷体" w:hAnsi="楷体" w:eastAsia="楷体" w:cs="楷体"/>
                      <w:sz w:val="24"/>
                      <w:szCs w:val="24"/>
                    </w:rPr>
                  </w:pPr>
                  <w:r>
                    <w:rPr>
                      <w:rFonts w:hint="eastAsia" w:ascii="楷体" w:hAnsi="楷体" w:eastAsia="楷体" w:cs="楷体"/>
                      <w:sz w:val="24"/>
                      <w:szCs w:val="24"/>
                    </w:rPr>
                    <w:t>培训计划完成率100%</w:t>
                  </w:r>
                </w:p>
              </w:tc>
              <w:tc>
                <w:tcPr>
                  <w:tcW w:w="2126" w:type="dxa"/>
                  <w:vAlign w:val="center"/>
                </w:tcPr>
                <w:p>
                  <w:pPr>
                    <w:spacing w:line="240" w:lineRule="exact"/>
                    <w:jc w:val="center"/>
                    <w:rPr>
                      <w:rFonts w:ascii="楷体" w:hAnsi="楷体" w:eastAsia="楷体" w:cs="楷体"/>
                      <w:sz w:val="24"/>
                      <w:szCs w:val="24"/>
                    </w:rPr>
                  </w:pPr>
                  <w:r>
                    <w:rPr>
                      <w:rFonts w:hint="eastAsia" w:ascii="楷体" w:hAnsi="楷体" w:eastAsia="楷体" w:cs="楷体"/>
                      <w:sz w:val="24"/>
                      <w:szCs w:val="24"/>
                    </w:rPr>
                    <w:t>100%</w:t>
                  </w:r>
                </w:p>
              </w:tc>
              <w:tc>
                <w:tcPr>
                  <w:tcW w:w="850" w:type="dxa"/>
                  <w:vAlign w:val="center"/>
                </w:tcPr>
                <w:p>
                  <w:pPr>
                    <w:spacing w:line="240" w:lineRule="exact"/>
                    <w:rPr>
                      <w:rFonts w:ascii="楷体" w:hAnsi="楷体" w:eastAsia="楷体" w:cs="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3544" w:type="dxa"/>
                  <w:vAlign w:val="center"/>
                </w:tcPr>
                <w:p>
                  <w:pPr>
                    <w:spacing w:line="240" w:lineRule="exact"/>
                    <w:rPr>
                      <w:rFonts w:ascii="楷体" w:hAnsi="楷体" w:eastAsia="楷体" w:cs="楷体"/>
                      <w:sz w:val="24"/>
                      <w:szCs w:val="24"/>
                    </w:rPr>
                  </w:pPr>
                  <w:r>
                    <w:rPr>
                      <w:rFonts w:hint="eastAsia" w:ascii="楷体" w:hAnsi="楷体" w:eastAsia="楷体" w:cs="楷体"/>
                      <w:sz w:val="24"/>
                      <w:szCs w:val="24"/>
                    </w:rPr>
                    <w:t>培训合格率100%</w:t>
                  </w:r>
                </w:p>
              </w:tc>
              <w:tc>
                <w:tcPr>
                  <w:tcW w:w="2126" w:type="dxa"/>
                  <w:vAlign w:val="center"/>
                </w:tcPr>
                <w:p>
                  <w:pPr>
                    <w:spacing w:line="240" w:lineRule="exact"/>
                    <w:jc w:val="center"/>
                    <w:rPr>
                      <w:rFonts w:ascii="楷体" w:hAnsi="楷体" w:eastAsia="楷体" w:cs="楷体"/>
                      <w:sz w:val="24"/>
                      <w:szCs w:val="24"/>
                    </w:rPr>
                  </w:pPr>
                  <w:r>
                    <w:rPr>
                      <w:rFonts w:hint="eastAsia" w:ascii="楷体" w:hAnsi="楷体" w:eastAsia="楷体" w:cs="楷体"/>
                      <w:sz w:val="24"/>
                      <w:szCs w:val="24"/>
                    </w:rPr>
                    <w:t>100%</w:t>
                  </w:r>
                </w:p>
              </w:tc>
              <w:tc>
                <w:tcPr>
                  <w:tcW w:w="850" w:type="dxa"/>
                  <w:vAlign w:val="center"/>
                </w:tcPr>
                <w:p>
                  <w:pPr>
                    <w:spacing w:line="240" w:lineRule="exact"/>
                    <w:rPr>
                      <w:rFonts w:ascii="楷体" w:hAnsi="楷体" w:eastAsia="楷体" w:cs="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3544" w:type="dxa"/>
                  <w:vAlign w:val="center"/>
                </w:tcPr>
                <w:p>
                  <w:pPr>
                    <w:spacing w:line="240" w:lineRule="exact"/>
                    <w:rPr>
                      <w:rFonts w:ascii="楷体" w:hAnsi="楷体" w:eastAsia="楷体" w:cs="楷体"/>
                      <w:sz w:val="24"/>
                      <w:szCs w:val="24"/>
                    </w:rPr>
                  </w:pPr>
                  <w:r>
                    <w:rPr>
                      <w:rFonts w:hint="eastAsia" w:ascii="楷体" w:hAnsi="楷体" w:eastAsia="楷体" w:cs="楷体"/>
                      <w:sz w:val="24"/>
                      <w:szCs w:val="24"/>
                    </w:rPr>
                    <w:t>文件化信息受控率100%</w:t>
                  </w:r>
                </w:p>
              </w:tc>
              <w:tc>
                <w:tcPr>
                  <w:tcW w:w="2126" w:type="dxa"/>
                  <w:vAlign w:val="center"/>
                </w:tcPr>
                <w:p>
                  <w:pPr>
                    <w:spacing w:line="240" w:lineRule="exact"/>
                    <w:jc w:val="center"/>
                    <w:rPr>
                      <w:rFonts w:ascii="楷体" w:hAnsi="楷体" w:eastAsia="楷体" w:cs="楷体"/>
                      <w:sz w:val="24"/>
                      <w:szCs w:val="24"/>
                    </w:rPr>
                  </w:pPr>
                  <w:r>
                    <w:rPr>
                      <w:rFonts w:hint="eastAsia" w:ascii="楷体" w:hAnsi="楷体" w:eastAsia="楷体" w:cs="楷体"/>
                      <w:sz w:val="24"/>
                      <w:szCs w:val="24"/>
                    </w:rPr>
                    <w:t>100%</w:t>
                  </w:r>
                </w:p>
              </w:tc>
              <w:tc>
                <w:tcPr>
                  <w:tcW w:w="850" w:type="dxa"/>
                  <w:vAlign w:val="center"/>
                </w:tcPr>
                <w:p>
                  <w:pPr>
                    <w:spacing w:line="240" w:lineRule="exact"/>
                    <w:rPr>
                      <w:rFonts w:ascii="楷体" w:hAnsi="楷体" w:eastAsia="楷体" w:cs="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3544" w:type="dxa"/>
                  <w:vAlign w:val="center"/>
                </w:tcPr>
                <w:p>
                  <w:pPr>
                    <w:spacing w:line="240" w:lineRule="exact"/>
                    <w:rPr>
                      <w:rFonts w:ascii="楷体" w:hAnsi="楷体" w:eastAsia="楷体" w:cs="楷体"/>
                      <w:sz w:val="24"/>
                      <w:szCs w:val="24"/>
                    </w:rPr>
                  </w:pPr>
                  <w:r>
                    <w:rPr>
                      <w:rFonts w:hint="eastAsia" w:ascii="楷体" w:hAnsi="楷体" w:eastAsia="楷体" w:cs="楷体"/>
                      <w:sz w:val="24"/>
                      <w:szCs w:val="24"/>
                    </w:rPr>
                    <w:t>固体废弃物有效处置率100%</w:t>
                  </w:r>
                </w:p>
              </w:tc>
              <w:tc>
                <w:tcPr>
                  <w:tcW w:w="2126" w:type="dxa"/>
                  <w:vAlign w:val="center"/>
                </w:tcPr>
                <w:p>
                  <w:pPr>
                    <w:spacing w:line="240" w:lineRule="exact"/>
                    <w:jc w:val="center"/>
                    <w:rPr>
                      <w:rFonts w:ascii="楷体" w:hAnsi="楷体" w:eastAsia="楷体" w:cs="楷体"/>
                      <w:sz w:val="24"/>
                      <w:szCs w:val="24"/>
                    </w:rPr>
                  </w:pPr>
                  <w:r>
                    <w:rPr>
                      <w:rFonts w:hint="eastAsia" w:ascii="楷体" w:hAnsi="楷体" w:eastAsia="楷体" w:cs="楷体"/>
                      <w:sz w:val="24"/>
                      <w:szCs w:val="24"/>
                    </w:rPr>
                    <w:t>100%</w:t>
                  </w:r>
                </w:p>
              </w:tc>
              <w:tc>
                <w:tcPr>
                  <w:tcW w:w="850" w:type="dxa"/>
                  <w:vAlign w:val="center"/>
                </w:tcPr>
                <w:p>
                  <w:pPr>
                    <w:spacing w:line="240" w:lineRule="exact"/>
                    <w:rPr>
                      <w:rFonts w:ascii="楷体" w:hAnsi="楷体" w:eastAsia="楷体" w:cs="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3544" w:type="dxa"/>
                  <w:vAlign w:val="center"/>
                </w:tcPr>
                <w:p>
                  <w:pPr>
                    <w:spacing w:line="240" w:lineRule="exact"/>
                    <w:rPr>
                      <w:rFonts w:ascii="楷体" w:hAnsi="楷体" w:eastAsia="楷体" w:cs="楷体"/>
                      <w:sz w:val="24"/>
                      <w:szCs w:val="24"/>
                    </w:rPr>
                  </w:pPr>
                  <w:r>
                    <w:rPr>
                      <w:rFonts w:hint="eastAsia" w:ascii="楷体" w:hAnsi="楷体" w:eastAsia="楷体" w:cs="楷体"/>
                      <w:sz w:val="24"/>
                      <w:szCs w:val="24"/>
                    </w:rPr>
                    <w:t>火灾发生率0</w:t>
                  </w:r>
                </w:p>
              </w:tc>
              <w:tc>
                <w:tcPr>
                  <w:tcW w:w="2126" w:type="dxa"/>
                  <w:vAlign w:val="center"/>
                </w:tcPr>
                <w:p>
                  <w:pPr>
                    <w:spacing w:line="240" w:lineRule="exact"/>
                    <w:jc w:val="center"/>
                    <w:rPr>
                      <w:rFonts w:ascii="楷体" w:hAnsi="楷体" w:eastAsia="楷体" w:cs="楷体"/>
                      <w:sz w:val="24"/>
                      <w:szCs w:val="24"/>
                    </w:rPr>
                  </w:pPr>
                  <w:r>
                    <w:rPr>
                      <w:rFonts w:hint="eastAsia" w:ascii="楷体" w:hAnsi="楷体" w:eastAsia="楷体" w:cs="楷体"/>
                      <w:sz w:val="24"/>
                      <w:szCs w:val="24"/>
                    </w:rPr>
                    <w:t>0</w:t>
                  </w:r>
                </w:p>
              </w:tc>
              <w:tc>
                <w:tcPr>
                  <w:tcW w:w="850" w:type="dxa"/>
                  <w:vAlign w:val="center"/>
                </w:tcPr>
                <w:p>
                  <w:pPr>
                    <w:spacing w:line="240" w:lineRule="exact"/>
                    <w:rPr>
                      <w:rFonts w:ascii="楷体" w:hAnsi="楷体" w:eastAsia="楷体" w:cs="楷体"/>
                      <w:sz w:val="24"/>
                      <w:szCs w:val="24"/>
                    </w:rPr>
                  </w:pPr>
                </w:p>
              </w:tc>
            </w:tr>
          </w:tbl>
          <w:p>
            <w:pPr>
              <w:autoSpaceDE w:val="0"/>
              <w:autoSpaceDN w:val="0"/>
              <w:spacing w:line="360" w:lineRule="auto"/>
              <w:ind w:firstLine="480" w:firstLineChars="200"/>
              <w:rPr>
                <w:rFonts w:ascii="楷体" w:hAnsi="楷体" w:eastAsia="楷体" w:cs="楷体"/>
                <w:sz w:val="24"/>
                <w:szCs w:val="24"/>
              </w:rPr>
            </w:pPr>
          </w:p>
          <w:p>
            <w:pPr>
              <w:spacing w:line="360" w:lineRule="auto"/>
              <w:ind w:firstLine="480" w:firstLineChars="200"/>
              <w:jc w:val="left"/>
              <w:rPr>
                <w:rFonts w:ascii="楷体" w:hAnsi="楷体" w:eastAsia="楷体" w:cs="楷体"/>
                <w:sz w:val="24"/>
                <w:szCs w:val="24"/>
              </w:rPr>
            </w:pPr>
            <w:r>
              <w:rPr>
                <w:rFonts w:hint="eastAsia" w:ascii="楷体" w:hAnsi="楷体" w:eastAsia="楷体" w:cs="楷体"/>
                <w:sz w:val="24"/>
                <w:szCs w:val="24"/>
              </w:rPr>
              <w:t>查到公司制定的</w:t>
            </w:r>
            <w:r>
              <w:rPr>
                <w:rFonts w:hint="eastAsia" w:ascii="楷体" w:hAnsi="楷体" w:eastAsia="楷体" w:cs="楷体"/>
                <w:sz w:val="24"/>
                <w:szCs w:val="24"/>
                <w:lang w:eastAsia="zh-CN"/>
              </w:rPr>
              <w:t>2020</w:t>
            </w:r>
            <w:r>
              <w:rPr>
                <w:rFonts w:hint="eastAsia" w:ascii="楷体" w:hAnsi="楷体" w:eastAsia="楷体" w:cs="楷体"/>
                <w:sz w:val="24"/>
                <w:szCs w:val="24"/>
              </w:rPr>
              <w:t>年度“环境管理方案”，主要有加强化学品管理，防止潜在泄露事故；加强固体废物管理；降低设备噪声；火灾事故的发生等管理方案。</w:t>
            </w:r>
          </w:p>
          <w:p>
            <w:pPr>
              <w:autoSpaceDE w:val="0"/>
              <w:autoSpaceDN w:val="0"/>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抽查杜绝火灾管理方案，</w:t>
            </w:r>
          </w:p>
          <w:p>
            <w:pPr>
              <w:autoSpaceDE w:val="0"/>
              <w:autoSpaceDN w:val="0"/>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管理目标：火灾事故发生率为0，</w:t>
            </w:r>
          </w:p>
          <w:p>
            <w:pPr>
              <w:spacing w:line="360" w:lineRule="auto"/>
              <w:ind w:firstLine="480" w:firstLineChars="200"/>
              <w:jc w:val="left"/>
              <w:rPr>
                <w:rFonts w:ascii="楷体" w:hAnsi="楷体" w:eastAsia="楷体" w:cs="楷体"/>
                <w:sz w:val="24"/>
                <w:szCs w:val="24"/>
              </w:rPr>
            </w:pPr>
            <w:r>
              <w:rPr>
                <w:rFonts w:hint="eastAsia" w:ascii="楷体" w:hAnsi="楷体" w:eastAsia="楷体" w:cs="楷体"/>
                <w:sz w:val="24"/>
                <w:szCs w:val="24"/>
              </w:rPr>
              <w:t>管理组织及职责：规定了各部门负责人及工作人员的职责及控制方法，费用预算、完成时间。</w:t>
            </w:r>
          </w:p>
          <w:p>
            <w:pPr>
              <w:spacing w:line="360" w:lineRule="auto"/>
              <w:ind w:firstLine="480" w:firstLineChars="200"/>
              <w:jc w:val="left"/>
              <w:rPr>
                <w:rFonts w:ascii="楷体" w:hAnsi="楷体" w:eastAsia="楷体" w:cs="楷体"/>
                <w:sz w:val="24"/>
                <w:szCs w:val="24"/>
              </w:rPr>
            </w:pPr>
            <w:r>
              <w:rPr>
                <w:rFonts w:hint="eastAsia" w:ascii="楷体" w:hAnsi="楷体" w:eastAsia="楷体" w:cs="楷体"/>
                <w:sz w:val="24"/>
                <w:szCs w:val="24"/>
              </w:rPr>
              <w:t>主要措施：加强电器设备的维护和保养；加强对于仓库和车间易燃部位管理，杜绝火灾隐患；确保厂区应急通道畅通；确保消防设施完好；加强火灾安全意识。</w:t>
            </w:r>
          </w:p>
          <w:p>
            <w:pPr>
              <w:spacing w:line="360" w:lineRule="auto"/>
              <w:ind w:firstLine="480" w:firstLineChars="200"/>
              <w:jc w:val="left"/>
              <w:rPr>
                <w:rFonts w:ascii="楷体" w:hAnsi="楷体" w:eastAsia="楷体" w:cs="楷体"/>
                <w:sz w:val="24"/>
                <w:szCs w:val="24"/>
              </w:rPr>
            </w:pPr>
            <w:r>
              <w:rPr>
                <w:rFonts w:hint="eastAsia" w:ascii="楷体" w:hAnsi="楷体" w:eastAsia="楷体" w:cs="楷体"/>
                <w:sz w:val="24"/>
                <w:szCs w:val="24"/>
              </w:rPr>
              <w:t>管理方案编制人：董旭辉，批准：梁永旭，日期：</w:t>
            </w:r>
            <w:r>
              <w:rPr>
                <w:rFonts w:hint="eastAsia" w:ascii="楷体" w:hAnsi="楷体" w:eastAsia="楷体" w:cs="楷体"/>
                <w:sz w:val="24"/>
                <w:szCs w:val="24"/>
                <w:lang w:eastAsia="zh-CN"/>
              </w:rPr>
              <w:t>2020</w:t>
            </w:r>
            <w:r>
              <w:rPr>
                <w:rFonts w:hint="eastAsia" w:ascii="楷体" w:hAnsi="楷体" w:eastAsia="楷体" w:cs="楷体"/>
                <w:sz w:val="24"/>
                <w:szCs w:val="24"/>
              </w:rPr>
              <w:t>年3月</w:t>
            </w:r>
            <w:r>
              <w:rPr>
                <w:rFonts w:hint="eastAsia" w:ascii="楷体" w:hAnsi="楷体" w:eastAsia="楷体" w:cs="楷体"/>
                <w:sz w:val="24"/>
                <w:szCs w:val="24"/>
                <w:lang w:val="en-US" w:eastAsia="zh-CN"/>
              </w:rPr>
              <w:t>15</w:t>
            </w:r>
            <w:r>
              <w:rPr>
                <w:rFonts w:hint="eastAsia" w:ascii="楷体" w:hAnsi="楷体" w:eastAsia="楷体" w:cs="楷体"/>
                <w:sz w:val="24"/>
                <w:szCs w:val="24"/>
              </w:rPr>
              <w:t>日。</w:t>
            </w:r>
          </w:p>
          <w:p>
            <w:pPr>
              <w:spacing w:line="360" w:lineRule="auto"/>
              <w:ind w:firstLine="480" w:firstLineChars="200"/>
              <w:jc w:val="left"/>
              <w:rPr>
                <w:rFonts w:ascii="楷体" w:hAnsi="楷体" w:eastAsia="楷体" w:cs="楷体"/>
                <w:sz w:val="24"/>
                <w:szCs w:val="24"/>
              </w:rPr>
            </w:pPr>
            <w:r>
              <w:rPr>
                <w:rFonts w:hint="eastAsia" w:ascii="楷体" w:hAnsi="楷体" w:eastAsia="楷体" w:cs="楷体"/>
                <w:sz w:val="24"/>
                <w:szCs w:val="24"/>
              </w:rPr>
              <w:t>另外抽查降低设备噪声的管理方案、加强固体废物管理的管理方案，制定了管理控制措施，明确的责任人、费用和完成期限，经过审批。</w:t>
            </w:r>
          </w:p>
          <w:p>
            <w:pPr>
              <w:autoSpaceDE w:val="0"/>
              <w:autoSpaceDN w:val="0"/>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管理方案由责任部门组织实施，目前在实施中，部分已完成。</w:t>
            </w:r>
          </w:p>
        </w:tc>
        <w:tc>
          <w:tcPr>
            <w:tcW w:w="1585" w:type="dxa"/>
          </w:tcPr>
          <w:p>
            <w:pPr>
              <w:spacing w:line="360" w:lineRule="auto"/>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9" w:hRule="atLeast"/>
        </w:trPr>
        <w:tc>
          <w:tcPr>
            <w:tcW w:w="1809" w:type="dxa"/>
            <w:vAlign w:val="center"/>
          </w:tcPr>
          <w:p>
            <w:pPr>
              <w:snapToGrid w:val="0"/>
              <w:spacing w:line="360" w:lineRule="auto"/>
              <w:rPr>
                <w:rFonts w:ascii="楷体" w:hAnsi="楷体" w:eastAsia="楷体"/>
                <w:sz w:val="24"/>
                <w:szCs w:val="24"/>
              </w:rPr>
            </w:pPr>
            <w:r>
              <w:rPr>
                <w:rFonts w:hint="eastAsia" w:ascii="楷体" w:hAnsi="楷体" w:eastAsia="楷体" w:cs="宋体"/>
                <w:sz w:val="24"/>
                <w:szCs w:val="24"/>
              </w:rPr>
              <w:t xml:space="preserve"> </w:t>
            </w:r>
            <w:r>
              <w:rPr>
                <w:rFonts w:hint="eastAsia" w:ascii="楷体" w:hAnsi="楷体" w:eastAsia="楷体" w:cs="Arial"/>
                <w:sz w:val="24"/>
                <w:szCs w:val="24"/>
              </w:rPr>
              <w:t>环境因素</w:t>
            </w:r>
          </w:p>
        </w:tc>
        <w:tc>
          <w:tcPr>
            <w:tcW w:w="1311" w:type="dxa"/>
          </w:tcPr>
          <w:p>
            <w:pPr>
              <w:spacing w:line="360" w:lineRule="auto"/>
              <w:rPr>
                <w:rFonts w:ascii="楷体" w:hAnsi="楷体" w:eastAsia="楷体" w:cs="楷体"/>
                <w:sz w:val="24"/>
                <w:szCs w:val="24"/>
              </w:rPr>
            </w:pPr>
            <w:r>
              <w:rPr>
                <w:rFonts w:hint="eastAsia" w:ascii="楷体" w:hAnsi="楷体" w:eastAsia="楷体" w:cs="楷体"/>
                <w:bCs/>
                <w:sz w:val="24"/>
                <w:szCs w:val="24"/>
              </w:rPr>
              <w:t>E：</w:t>
            </w:r>
            <w:r>
              <w:rPr>
                <w:rFonts w:hint="eastAsia" w:ascii="楷体" w:hAnsi="楷体" w:eastAsia="楷体" w:cs="Arial"/>
                <w:sz w:val="24"/>
                <w:szCs w:val="24"/>
              </w:rPr>
              <w:t>6.1.2</w:t>
            </w:r>
            <w:r>
              <w:rPr>
                <w:rFonts w:ascii="楷体" w:hAnsi="楷体" w:eastAsia="楷体" w:cs="楷体"/>
                <w:sz w:val="24"/>
                <w:szCs w:val="24"/>
              </w:rPr>
              <w:t xml:space="preserve"> </w:t>
            </w:r>
          </w:p>
          <w:p>
            <w:pPr>
              <w:spacing w:line="360" w:lineRule="auto"/>
              <w:rPr>
                <w:rFonts w:ascii="楷体" w:hAnsi="楷体" w:eastAsia="楷体" w:cs="楷体"/>
                <w:sz w:val="24"/>
                <w:szCs w:val="24"/>
              </w:rPr>
            </w:pPr>
          </w:p>
        </w:tc>
        <w:tc>
          <w:tcPr>
            <w:tcW w:w="10004" w:type="dxa"/>
          </w:tcPr>
          <w:p>
            <w:pPr>
              <w:spacing w:line="360" w:lineRule="auto"/>
              <w:ind w:firstLine="480" w:firstLineChars="200"/>
              <w:rPr>
                <w:rFonts w:ascii="楷体" w:hAnsi="楷体" w:eastAsia="楷体" w:cs="楷体"/>
                <w:sz w:val="24"/>
                <w:szCs w:val="24"/>
              </w:rPr>
            </w:pPr>
            <w:r>
              <w:rPr>
                <w:rFonts w:hint="eastAsia" w:ascii="楷体" w:hAnsi="楷体" w:eastAsia="楷体" w:cs="楷体"/>
                <w:bCs/>
                <w:sz w:val="24"/>
                <w:szCs w:val="24"/>
              </w:rPr>
              <w:t>办公室作为环境管理体系的推进</w:t>
            </w:r>
            <w:r>
              <w:rPr>
                <w:rFonts w:hint="eastAsia" w:ascii="楷体" w:hAnsi="楷体" w:eastAsia="楷体" w:cs="楷体"/>
                <w:sz w:val="24"/>
                <w:szCs w:val="24"/>
              </w:rPr>
              <w:t>部门，主要负责识别评价相关的环境因素，查有：《环境因素识别与评价控制程序》。</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根据各生产、办公、销售过程环节识别，由办公室统一汇总。</w:t>
            </w:r>
          </w:p>
          <w:p>
            <w:pPr>
              <w:tabs>
                <w:tab w:val="left" w:pos="6597"/>
              </w:tabs>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 xml:space="preserve">提供了“环境因素识别评价汇总表”，识别了体系覆盖的各过程的环境因素，如水电消耗、包装物消耗、废旧办公设备排放、废水排放、生活垃圾排放、运输汽车尾气扬尘排放、废气排放、废水排放、设备噪声的排放等环境因素，但是识别不够细致、充分，现场交流。 </w:t>
            </w:r>
          </w:p>
          <w:p>
            <w:pPr>
              <w:tabs>
                <w:tab w:val="left" w:pos="6597"/>
              </w:tabs>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现场提供了《重要环境因素清单》，通过评价，公司共识别出重要环境因素</w:t>
            </w:r>
            <w:r>
              <w:rPr>
                <w:rFonts w:hint="eastAsia" w:ascii="楷体" w:hAnsi="楷体" w:eastAsia="楷体" w:cs="楷体"/>
                <w:sz w:val="24"/>
                <w:szCs w:val="24"/>
                <w:lang w:val="en-US" w:eastAsia="zh-CN"/>
              </w:rPr>
              <w:t>8</w:t>
            </w:r>
            <w:r>
              <w:rPr>
                <w:rFonts w:hint="eastAsia" w:ascii="楷体" w:hAnsi="楷体" w:eastAsia="楷体" w:cs="楷体"/>
                <w:sz w:val="24"/>
                <w:szCs w:val="24"/>
              </w:rPr>
              <w:t>项。</w:t>
            </w:r>
          </w:p>
          <w:p>
            <w:pPr>
              <w:tabs>
                <w:tab w:val="left" w:pos="6597"/>
              </w:tabs>
              <w:spacing w:line="360" w:lineRule="auto"/>
              <w:ind w:firstLine="480" w:firstLineChars="200"/>
              <w:rPr>
                <w:rFonts w:hint="eastAsia" w:ascii="楷体" w:hAnsi="楷体" w:eastAsia="楷体" w:cs="楷体"/>
                <w:sz w:val="24"/>
                <w:szCs w:val="24"/>
                <w:lang w:eastAsia="zh-CN"/>
              </w:rPr>
            </w:pPr>
            <w:r>
              <w:rPr>
                <w:rFonts w:hint="eastAsia" w:ascii="楷体" w:hAnsi="楷体" w:eastAsia="楷体" w:cs="楷体"/>
                <w:sz w:val="24"/>
                <w:szCs w:val="24"/>
                <w:lang w:eastAsia="zh-CN"/>
              </w:rPr>
              <w:drawing>
                <wp:anchor distT="0" distB="0" distL="114300" distR="114300" simplePos="0" relativeHeight="251676672" behindDoc="0" locked="0" layoutInCell="1" allowOverlap="1">
                  <wp:simplePos x="0" y="0"/>
                  <wp:positionH relativeFrom="column">
                    <wp:posOffset>1370330</wp:posOffset>
                  </wp:positionH>
                  <wp:positionV relativeFrom="paragraph">
                    <wp:posOffset>55245</wp:posOffset>
                  </wp:positionV>
                  <wp:extent cx="2853055" cy="3735705"/>
                  <wp:effectExtent l="0" t="0" r="4445" b="10795"/>
                  <wp:wrapNone/>
                  <wp:docPr id="14" name="图片 14" descr="db703cbb93c47d5f3bac2111ff305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b703cbb93c47d5f3bac2111ff3055f"/>
                          <pic:cNvPicPr>
                            <a:picLocks noChangeAspect="1"/>
                          </pic:cNvPicPr>
                        </pic:nvPicPr>
                        <pic:blipFill>
                          <a:blip r:embed="rId6"/>
                          <a:srcRect l="6630" t="5606" r="7033" b="16235"/>
                          <a:stretch>
                            <a:fillRect/>
                          </a:stretch>
                        </pic:blipFill>
                        <pic:spPr>
                          <a:xfrm>
                            <a:off x="0" y="0"/>
                            <a:ext cx="2853055" cy="3735705"/>
                          </a:xfrm>
                          <a:prstGeom prst="rect">
                            <a:avLst/>
                          </a:prstGeom>
                        </pic:spPr>
                      </pic:pic>
                    </a:graphicData>
                  </a:graphic>
                </wp:anchor>
              </w:drawing>
            </w:r>
          </w:p>
          <w:p>
            <w:pPr>
              <w:tabs>
                <w:tab w:val="left" w:pos="6597"/>
              </w:tabs>
              <w:spacing w:line="360" w:lineRule="auto"/>
              <w:ind w:firstLine="480" w:firstLineChars="200"/>
              <w:rPr>
                <w:rFonts w:ascii="楷体" w:hAnsi="楷体" w:eastAsia="楷体" w:cs="楷体"/>
                <w:sz w:val="24"/>
                <w:szCs w:val="24"/>
              </w:rPr>
            </w:pPr>
          </w:p>
          <w:p>
            <w:pPr>
              <w:tabs>
                <w:tab w:val="left" w:pos="6597"/>
              </w:tabs>
              <w:spacing w:line="360" w:lineRule="auto"/>
              <w:ind w:firstLine="480" w:firstLineChars="200"/>
              <w:rPr>
                <w:rFonts w:ascii="楷体" w:hAnsi="楷体" w:eastAsia="楷体" w:cs="楷体"/>
                <w:sz w:val="24"/>
                <w:szCs w:val="24"/>
              </w:rPr>
            </w:pPr>
          </w:p>
          <w:p>
            <w:pPr>
              <w:tabs>
                <w:tab w:val="left" w:pos="6597"/>
              </w:tabs>
              <w:spacing w:line="360" w:lineRule="auto"/>
              <w:ind w:firstLine="480" w:firstLineChars="200"/>
              <w:rPr>
                <w:rFonts w:ascii="楷体" w:hAnsi="楷体" w:eastAsia="楷体" w:cs="楷体"/>
                <w:sz w:val="24"/>
                <w:szCs w:val="24"/>
              </w:rPr>
            </w:pPr>
          </w:p>
          <w:p>
            <w:pPr>
              <w:tabs>
                <w:tab w:val="left" w:pos="6597"/>
              </w:tabs>
              <w:spacing w:line="360" w:lineRule="auto"/>
              <w:ind w:firstLine="480" w:firstLineChars="200"/>
              <w:rPr>
                <w:rFonts w:ascii="楷体" w:hAnsi="楷体" w:eastAsia="楷体" w:cs="楷体"/>
                <w:sz w:val="24"/>
                <w:szCs w:val="24"/>
              </w:rPr>
            </w:pPr>
          </w:p>
          <w:p>
            <w:pPr>
              <w:tabs>
                <w:tab w:val="left" w:pos="6597"/>
              </w:tabs>
              <w:spacing w:line="360" w:lineRule="auto"/>
              <w:ind w:firstLine="480" w:firstLineChars="200"/>
              <w:rPr>
                <w:rFonts w:ascii="楷体" w:hAnsi="楷体" w:eastAsia="楷体" w:cs="楷体"/>
                <w:sz w:val="24"/>
                <w:szCs w:val="24"/>
              </w:rPr>
            </w:pPr>
          </w:p>
          <w:p>
            <w:pPr>
              <w:tabs>
                <w:tab w:val="left" w:pos="6597"/>
              </w:tabs>
              <w:spacing w:line="360" w:lineRule="auto"/>
              <w:ind w:firstLine="480" w:firstLineChars="200"/>
              <w:rPr>
                <w:rFonts w:ascii="楷体" w:hAnsi="楷体" w:eastAsia="楷体" w:cs="楷体"/>
                <w:sz w:val="24"/>
                <w:szCs w:val="24"/>
              </w:rPr>
            </w:pPr>
          </w:p>
          <w:p>
            <w:pPr>
              <w:tabs>
                <w:tab w:val="left" w:pos="6597"/>
              </w:tabs>
              <w:spacing w:line="360" w:lineRule="auto"/>
              <w:ind w:firstLine="480" w:firstLineChars="200"/>
              <w:rPr>
                <w:rFonts w:ascii="楷体" w:hAnsi="楷体" w:eastAsia="楷体" w:cs="楷体"/>
                <w:sz w:val="24"/>
                <w:szCs w:val="24"/>
              </w:rPr>
            </w:pPr>
          </w:p>
          <w:p>
            <w:pPr>
              <w:tabs>
                <w:tab w:val="left" w:pos="6597"/>
              </w:tabs>
              <w:spacing w:line="360" w:lineRule="auto"/>
              <w:ind w:firstLine="480" w:firstLineChars="200"/>
              <w:rPr>
                <w:rFonts w:ascii="楷体" w:hAnsi="楷体" w:eastAsia="楷体" w:cs="楷体"/>
                <w:sz w:val="24"/>
                <w:szCs w:val="24"/>
              </w:rPr>
            </w:pPr>
          </w:p>
          <w:p>
            <w:pPr>
              <w:tabs>
                <w:tab w:val="left" w:pos="6597"/>
              </w:tabs>
              <w:spacing w:line="360" w:lineRule="auto"/>
              <w:ind w:firstLine="480" w:firstLineChars="200"/>
              <w:rPr>
                <w:rFonts w:ascii="楷体" w:hAnsi="楷体" w:eastAsia="楷体" w:cs="楷体"/>
                <w:sz w:val="24"/>
                <w:szCs w:val="24"/>
              </w:rPr>
            </w:pPr>
          </w:p>
          <w:p>
            <w:pPr>
              <w:tabs>
                <w:tab w:val="left" w:pos="6597"/>
              </w:tabs>
              <w:spacing w:line="360" w:lineRule="auto"/>
              <w:ind w:firstLine="480" w:firstLineChars="200"/>
              <w:rPr>
                <w:rFonts w:ascii="楷体" w:hAnsi="楷体" w:eastAsia="楷体" w:cs="楷体"/>
                <w:sz w:val="24"/>
                <w:szCs w:val="24"/>
              </w:rPr>
            </w:pPr>
          </w:p>
          <w:p>
            <w:pPr>
              <w:tabs>
                <w:tab w:val="left" w:pos="6597"/>
              </w:tabs>
              <w:spacing w:line="360" w:lineRule="auto"/>
              <w:ind w:firstLine="480" w:firstLineChars="200"/>
              <w:rPr>
                <w:rFonts w:ascii="楷体" w:hAnsi="楷体" w:eastAsia="楷体" w:cs="楷体"/>
                <w:sz w:val="24"/>
                <w:szCs w:val="24"/>
              </w:rPr>
            </w:pPr>
          </w:p>
          <w:p>
            <w:pPr>
              <w:tabs>
                <w:tab w:val="left" w:pos="6597"/>
              </w:tabs>
              <w:spacing w:line="360" w:lineRule="auto"/>
              <w:ind w:firstLine="480" w:firstLineChars="200"/>
              <w:rPr>
                <w:rFonts w:ascii="楷体" w:hAnsi="楷体" w:eastAsia="楷体" w:cs="楷体"/>
                <w:sz w:val="24"/>
                <w:szCs w:val="24"/>
              </w:rPr>
            </w:pPr>
          </w:p>
          <w:p>
            <w:pPr>
              <w:tabs>
                <w:tab w:val="left" w:pos="6597"/>
              </w:tabs>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查办公室环境因素识别情况：识别了办公过程的如下环境因素：办公过程中的水电消耗、纸张使用、废办公设备排放、生活垃圾排放、火灾等。</w:t>
            </w:r>
          </w:p>
          <w:p>
            <w:pPr>
              <w:tabs>
                <w:tab w:val="left" w:pos="6597"/>
              </w:tabs>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涉及办公室的重要环境因素有2项：办公活动过程中的火灾及固废排放。</w:t>
            </w:r>
          </w:p>
          <w:p>
            <w:pPr>
              <w:tabs>
                <w:tab w:val="left" w:pos="6597"/>
              </w:tabs>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对于重要环境因素的控制，通过日常检查、目标、管理方案、运行控制、应急预案等控制方式，各部门的运行控制情况见各部门审核记录。</w:t>
            </w:r>
          </w:p>
        </w:tc>
        <w:tc>
          <w:tcPr>
            <w:tcW w:w="1585" w:type="dxa"/>
          </w:tcPr>
          <w:p>
            <w:pPr>
              <w:spacing w:line="360" w:lineRule="auto"/>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1809" w:type="dxa"/>
            <w:vAlign w:val="center"/>
          </w:tcPr>
          <w:p>
            <w:pPr>
              <w:spacing w:line="360" w:lineRule="auto"/>
              <w:rPr>
                <w:rFonts w:ascii="楷体" w:hAnsi="楷体" w:eastAsia="楷体"/>
                <w:sz w:val="24"/>
                <w:szCs w:val="24"/>
              </w:rPr>
            </w:pPr>
            <w:r>
              <w:rPr>
                <w:rFonts w:hint="eastAsia" w:ascii="楷体" w:hAnsi="楷体" w:eastAsia="楷体" w:cs="Arial"/>
                <w:sz w:val="24"/>
                <w:szCs w:val="24"/>
              </w:rPr>
              <w:t>合规义务</w:t>
            </w:r>
          </w:p>
        </w:tc>
        <w:tc>
          <w:tcPr>
            <w:tcW w:w="1311" w:type="dxa"/>
          </w:tcPr>
          <w:p>
            <w:pPr>
              <w:spacing w:line="360" w:lineRule="auto"/>
              <w:rPr>
                <w:rFonts w:ascii="楷体" w:hAnsi="楷体" w:eastAsia="楷体" w:cs="楷体"/>
                <w:bCs/>
                <w:sz w:val="24"/>
                <w:szCs w:val="24"/>
              </w:rPr>
            </w:pPr>
            <w:r>
              <w:rPr>
                <w:rFonts w:hint="eastAsia" w:ascii="楷体" w:hAnsi="楷体" w:eastAsia="楷体" w:cs="楷体"/>
                <w:bCs/>
                <w:sz w:val="24"/>
                <w:szCs w:val="24"/>
              </w:rPr>
              <w:t>E：</w:t>
            </w:r>
            <w:r>
              <w:rPr>
                <w:rFonts w:hint="eastAsia" w:ascii="楷体" w:hAnsi="楷体" w:eastAsia="楷体" w:cs="Arial"/>
                <w:sz w:val="24"/>
                <w:szCs w:val="24"/>
              </w:rPr>
              <w:t>6.1.3</w:t>
            </w:r>
          </w:p>
        </w:tc>
        <w:tc>
          <w:tcPr>
            <w:tcW w:w="10004" w:type="dxa"/>
            <w:vAlign w:val="center"/>
          </w:tcPr>
          <w:p>
            <w:pPr>
              <w:tabs>
                <w:tab w:val="left" w:pos="6597"/>
              </w:tabs>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建立实施了《法律法规及其他要求控制程序》。</w:t>
            </w:r>
          </w:p>
          <w:p>
            <w:pPr>
              <w:spacing w:line="36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提供了“法律法规和其他要求清单”，包含了</w:t>
            </w:r>
            <w:r>
              <w:rPr>
                <w:rFonts w:hint="eastAsia" w:ascii="楷体" w:hAnsi="楷体" w:eastAsia="楷体" w:cs="楷体"/>
                <w:sz w:val="24"/>
                <w:szCs w:val="24"/>
                <w:lang w:val="en-US" w:eastAsia="zh-CN"/>
              </w:rPr>
              <w:t>69</w:t>
            </w:r>
            <w:r>
              <w:rPr>
                <w:rFonts w:hint="eastAsia" w:ascii="楷体" w:hAnsi="楷体" w:eastAsia="楷体" w:cs="楷体"/>
                <w:sz w:val="24"/>
                <w:szCs w:val="24"/>
              </w:rPr>
              <w:t>个环境法律法规、标准和其他要求。如中华人民共和国环境保护法、中华人民共和国消防法、中华人民共和国环境影响评价法、中华人民共和国水污染防治法、陕西省消防条例等。</w:t>
            </w:r>
          </w:p>
          <w:p>
            <w:pPr>
              <w:spacing w:line="360" w:lineRule="auto"/>
              <w:ind w:firstLine="482" w:firstLineChars="200"/>
              <w:rPr>
                <w:rFonts w:hint="default" w:ascii="楷体" w:hAnsi="楷体" w:eastAsia="楷体" w:cs="楷体"/>
                <w:b/>
                <w:bCs/>
                <w:color w:val="0000FF"/>
                <w:sz w:val="24"/>
                <w:szCs w:val="24"/>
                <w:lang w:val="en-US" w:eastAsia="zh-CN"/>
              </w:rPr>
            </w:pPr>
            <w:r>
              <w:rPr>
                <w:rFonts w:hint="eastAsia" w:ascii="楷体" w:hAnsi="楷体" w:eastAsia="楷体" w:cs="楷体"/>
                <w:b/>
                <w:bCs/>
                <w:color w:val="0000FF"/>
                <w:sz w:val="24"/>
                <w:szCs w:val="24"/>
                <w:lang w:val="en-US" w:eastAsia="zh-CN"/>
              </w:rPr>
              <w:t>查《</w:t>
            </w:r>
            <w:r>
              <w:rPr>
                <w:rFonts w:hint="eastAsia" w:ascii="楷体" w:hAnsi="楷体" w:eastAsia="楷体" w:cs="楷体"/>
                <w:b/>
                <w:bCs/>
                <w:color w:val="0000FF"/>
                <w:sz w:val="24"/>
                <w:szCs w:val="24"/>
              </w:rPr>
              <w:t>法律法规和其他要求清单</w:t>
            </w:r>
            <w:r>
              <w:rPr>
                <w:rFonts w:hint="eastAsia" w:ascii="楷体" w:hAnsi="楷体" w:eastAsia="楷体" w:cs="楷体"/>
                <w:b/>
                <w:bCs/>
                <w:color w:val="0000FF"/>
                <w:sz w:val="24"/>
                <w:szCs w:val="24"/>
                <w:lang w:val="en-US" w:eastAsia="zh-CN"/>
              </w:rPr>
              <w:t>》中《</w:t>
            </w:r>
            <w:r>
              <w:rPr>
                <w:rFonts w:hint="eastAsia" w:ascii="楷体" w:hAnsi="楷体" w:eastAsia="楷体" w:cs="楷体"/>
                <w:b/>
                <w:bCs/>
                <w:color w:val="0000FF"/>
                <w:sz w:val="24"/>
                <w:szCs w:val="24"/>
              </w:rPr>
              <w:t>中华人民共和国环境噪声污染防治法</w:t>
            </w:r>
            <w:r>
              <w:rPr>
                <w:rFonts w:hint="eastAsia" w:ascii="楷体" w:hAnsi="楷体" w:eastAsia="楷体" w:cs="楷体"/>
                <w:b/>
                <w:bCs/>
                <w:color w:val="0000FF"/>
                <w:sz w:val="24"/>
                <w:szCs w:val="24"/>
                <w:lang w:val="en-US" w:eastAsia="zh-CN"/>
              </w:rPr>
              <w:t>》已失效，未收集有效的版本。</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办公室根据需要随时网上获取、识别更新，并通过培训、宣传、会议等形式传达给员工和相关方，各部门如有需要随时到办公室查阅。</w:t>
            </w:r>
          </w:p>
        </w:tc>
        <w:tc>
          <w:tcPr>
            <w:tcW w:w="1585" w:type="dxa"/>
          </w:tcPr>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hint="eastAsia" w:ascii="楷体" w:hAnsi="楷体" w:eastAsia="楷体"/>
                <w:sz w:val="24"/>
                <w:szCs w:val="24"/>
                <w:lang w:val="en-US" w:eastAsia="zh-CN"/>
              </w:rPr>
            </w:pPr>
            <w:r>
              <w:rPr>
                <w:rFonts w:hint="eastAsia" w:ascii="楷体" w:hAnsi="楷体" w:eastAsia="楷体"/>
                <w:sz w:val="24"/>
                <w:szCs w:val="24"/>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1809" w:type="dxa"/>
            <w:vAlign w:val="center"/>
          </w:tcPr>
          <w:p>
            <w:pPr>
              <w:spacing w:line="360" w:lineRule="auto"/>
              <w:rPr>
                <w:rFonts w:ascii="楷体" w:hAnsi="楷体" w:eastAsia="楷体" w:cs="Arial"/>
                <w:sz w:val="24"/>
                <w:szCs w:val="24"/>
              </w:rPr>
            </w:pPr>
            <w:r>
              <w:rPr>
                <w:rFonts w:hint="eastAsia" w:ascii="楷体" w:hAnsi="楷体" w:eastAsia="楷体" w:cs="Arial"/>
                <w:sz w:val="24"/>
                <w:szCs w:val="24"/>
              </w:rPr>
              <w:t>措施的策划</w:t>
            </w:r>
          </w:p>
        </w:tc>
        <w:tc>
          <w:tcPr>
            <w:tcW w:w="1311" w:type="dxa"/>
          </w:tcPr>
          <w:p>
            <w:pPr>
              <w:spacing w:line="360" w:lineRule="auto"/>
              <w:rPr>
                <w:rFonts w:ascii="楷体" w:hAnsi="楷体" w:eastAsia="楷体" w:cs="楷体"/>
                <w:bCs/>
                <w:sz w:val="24"/>
                <w:szCs w:val="24"/>
              </w:rPr>
            </w:pPr>
            <w:r>
              <w:rPr>
                <w:rFonts w:hint="eastAsia" w:ascii="楷体" w:hAnsi="楷体" w:eastAsia="楷体" w:cs="楷体"/>
                <w:bCs/>
                <w:sz w:val="24"/>
                <w:szCs w:val="24"/>
              </w:rPr>
              <w:t>E6.1.4</w:t>
            </w:r>
          </w:p>
        </w:tc>
        <w:tc>
          <w:tcPr>
            <w:tcW w:w="10004" w:type="dxa"/>
            <w:vAlign w:val="center"/>
          </w:tcPr>
          <w:p>
            <w:pPr>
              <w:spacing w:line="360" w:lineRule="auto"/>
              <w:ind w:firstLine="480" w:firstLineChars="200"/>
              <w:rPr>
                <w:rFonts w:ascii="楷体" w:hAnsi="楷体" w:eastAsia="楷体"/>
                <w:sz w:val="24"/>
                <w:szCs w:val="24"/>
              </w:rPr>
            </w:pPr>
            <w:r>
              <w:rPr>
                <w:rFonts w:hint="eastAsia" w:ascii="楷体" w:hAnsi="楷体" w:eastAsia="楷体"/>
                <w:sz w:val="24"/>
                <w:szCs w:val="24"/>
              </w:rPr>
              <w:t>公司根据环境因素评价结果，制定出《重要环境因素清单》，清单内明确了控制措施计划，通过具体的措施进行有效控制：目标、管理方案、管理制度运行控制、应急预案、检查、培训。</w:t>
            </w:r>
          </w:p>
          <w:p>
            <w:pPr>
              <w:spacing w:line="360" w:lineRule="auto"/>
              <w:ind w:firstLine="480" w:firstLineChars="200"/>
              <w:rPr>
                <w:rFonts w:ascii="楷体" w:hAnsi="楷体" w:eastAsia="楷体"/>
                <w:sz w:val="24"/>
                <w:szCs w:val="24"/>
              </w:rPr>
            </w:pPr>
            <w:r>
              <w:rPr>
                <w:rFonts w:hint="eastAsia" w:ascii="楷体" w:hAnsi="楷体" w:eastAsia="楷体"/>
                <w:sz w:val="24"/>
                <w:szCs w:val="24"/>
              </w:rPr>
              <w:t>制定了《法律、法规和其他要求控制程序》、《合规性评价控制程序》，每年对公司适用的合规义务进行识别更新并定期评价、检查。</w:t>
            </w:r>
          </w:p>
          <w:p>
            <w:pPr>
              <w:tabs>
                <w:tab w:val="left" w:pos="6597"/>
              </w:tabs>
              <w:spacing w:line="360" w:lineRule="auto"/>
              <w:ind w:firstLine="480" w:firstLineChars="200"/>
              <w:rPr>
                <w:rFonts w:ascii="楷体" w:hAnsi="楷体" w:eastAsia="楷体" w:cs="楷体"/>
                <w:sz w:val="24"/>
                <w:szCs w:val="24"/>
              </w:rPr>
            </w:pPr>
            <w:r>
              <w:rPr>
                <w:rFonts w:hint="eastAsia" w:ascii="楷体" w:hAnsi="楷体" w:eastAsia="楷体"/>
                <w:sz w:val="24"/>
                <w:szCs w:val="24"/>
              </w:rPr>
              <w:t>经组织评价，组织策划的措施基本能够满足风险和机遇应对需要，与潜在影响相适应，基本满足标准要求。</w:t>
            </w:r>
          </w:p>
        </w:tc>
        <w:tc>
          <w:tcPr>
            <w:tcW w:w="1585" w:type="dxa"/>
          </w:tcPr>
          <w:p>
            <w:pPr>
              <w:spacing w:line="360" w:lineRule="auto"/>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1809" w:type="dxa"/>
            <w:vAlign w:val="center"/>
          </w:tcPr>
          <w:p>
            <w:pPr>
              <w:spacing w:line="360" w:lineRule="auto"/>
              <w:rPr>
                <w:rFonts w:ascii="楷体" w:hAnsi="楷体" w:eastAsia="楷体"/>
                <w:sz w:val="24"/>
                <w:szCs w:val="24"/>
              </w:rPr>
            </w:pPr>
            <w:r>
              <w:rPr>
                <w:rFonts w:hint="eastAsia" w:ascii="楷体" w:hAnsi="楷体" w:eastAsia="楷体" w:cs="Arial"/>
                <w:sz w:val="24"/>
                <w:szCs w:val="24"/>
              </w:rPr>
              <w:t>合规性评价</w:t>
            </w:r>
          </w:p>
        </w:tc>
        <w:tc>
          <w:tcPr>
            <w:tcW w:w="1311" w:type="dxa"/>
            <w:vAlign w:val="center"/>
          </w:tcPr>
          <w:p>
            <w:pPr>
              <w:spacing w:line="360" w:lineRule="auto"/>
              <w:rPr>
                <w:rFonts w:ascii="楷体" w:hAnsi="楷体" w:eastAsia="楷体"/>
                <w:sz w:val="24"/>
                <w:szCs w:val="24"/>
              </w:rPr>
            </w:pPr>
            <w:r>
              <w:rPr>
                <w:rFonts w:hint="eastAsia" w:ascii="楷体" w:hAnsi="楷体" w:eastAsia="楷体"/>
                <w:sz w:val="24"/>
                <w:szCs w:val="24"/>
              </w:rPr>
              <w:t>E9.1.2</w:t>
            </w:r>
          </w:p>
        </w:tc>
        <w:tc>
          <w:tcPr>
            <w:tcW w:w="10004" w:type="dxa"/>
            <w:vAlign w:val="center"/>
          </w:tcPr>
          <w:p>
            <w:pPr>
              <w:spacing w:line="360" w:lineRule="auto"/>
              <w:ind w:firstLine="480" w:firstLineChars="200"/>
              <w:jc w:val="left"/>
              <w:rPr>
                <w:rFonts w:ascii="楷体" w:hAnsi="楷体" w:eastAsia="楷体"/>
                <w:sz w:val="24"/>
                <w:szCs w:val="24"/>
              </w:rPr>
            </w:pPr>
            <w:r>
              <w:rPr>
                <w:rFonts w:hint="eastAsia" w:ascii="楷体" w:hAnsi="楷体" w:eastAsia="楷体"/>
                <w:sz w:val="24"/>
                <w:szCs w:val="24"/>
              </w:rPr>
              <w:t>现场提供了“环境合规性评价表”,对公司的清洗地面、生活废水、生活垃圾、办公垃圾、生产中产生的下脚料等、生产噪声的排放、电能的消耗、原材料消耗、资源的消耗、安全生产、国家、省市提出环境因素要求等方面进行了法律法规及其他要求的遵守情况进行了评价，评价结论均为符合。</w:t>
            </w:r>
          </w:p>
          <w:p>
            <w:pPr>
              <w:spacing w:line="360" w:lineRule="auto"/>
              <w:ind w:firstLine="480" w:firstLineChars="200"/>
              <w:rPr>
                <w:rFonts w:ascii="楷体" w:hAnsi="楷体" w:eastAsia="楷体"/>
                <w:sz w:val="24"/>
                <w:szCs w:val="24"/>
              </w:rPr>
            </w:pPr>
            <w:r>
              <w:rPr>
                <w:rFonts w:hint="eastAsia" w:ascii="楷体" w:hAnsi="楷体" w:eastAsia="楷体"/>
                <w:sz w:val="24"/>
                <w:szCs w:val="24"/>
              </w:rPr>
              <w:t>评价人：董旭辉、梁永旭等，日期：</w:t>
            </w:r>
            <w:r>
              <w:rPr>
                <w:rFonts w:hint="eastAsia" w:ascii="楷体" w:hAnsi="楷体" w:eastAsia="楷体"/>
                <w:sz w:val="24"/>
                <w:szCs w:val="24"/>
                <w:lang w:eastAsia="zh-CN"/>
              </w:rPr>
              <w:t>2020</w:t>
            </w:r>
            <w:r>
              <w:rPr>
                <w:rFonts w:hint="eastAsia" w:ascii="楷体" w:hAnsi="楷体" w:eastAsia="楷体"/>
                <w:sz w:val="24"/>
                <w:szCs w:val="24"/>
              </w:rPr>
              <w:t>年</w:t>
            </w:r>
            <w:r>
              <w:rPr>
                <w:rFonts w:hint="eastAsia" w:ascii="楷体" w:hAnsi="楷体" w:eastAsia="楷体"/>
                <w:sz w:val="24"/>
                <w:szCs w:val="24"/>
                <w:lang w:val="en-US" w:eastAsia="zh-CN"/>
              </w:rPr>
              <w:t>8</w:t>
            </w:r>
            <w:r>
              <w:rPr>
                <w:rFonts w:hint="eastAsia" w:ascii="楷体" w:hAnsi="楷体" w:eastAsia="楷体"/>
                <w:sz w:val="24"/>
                <w:szCs w:val="24"/>
              </w:rPr>
              <w:t>月</w:t>
            </w:r>
            <w:r>
              <w:rPr>
                <w:rFonts w:hint="eastAsia" w:ascii="楷体" w:hAnsi="楷体" w:eastAsia="楷体"/>
                <w:sz w:val="24"/>
                <w:szCs w:val="24"/>
                <w:lang w:val="en-US" w:eastAsia="zh-CN"/>
              </w:rPr>
              <w:t>25</w:t>
            </w:r>
            <w:r>
              <w:rPr>
                <w:rFonts w:hint="eastAsia" w:ascii="楷体" w:hAnsi="楷体" w:eastAsia="楷体"/>
                <w:sz w:val="24"/>
                <w:szCs w:val="24"/>
              </w:rPr>
              <w:t>日。</w:t>
            </w:r>
          </w:p>
        </w:tc>
        <w:tc>
          <w:tcPr>
            <w:tcW w:w="1585" w:type="dxa"/>
          </w:tcPr>
          <w:p>
            <w:pPr>
              <w:spacing w:line="360" w:lineRule="auto"/>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1809" w:type="dxa"/>
            <w:vAlign w:val="center"/>
          </w:tcPr>
          <w:p>
            <w:pPr>
              <w:spacing w:line="360" w:lineRule="auto"/>
              <w:rPr>
                <w:rFonts w:ascii="楷体" w:hAnsi="楷体" w:eastAsia="楷体"/>
                <w:sz w:val="24"/>
                <w:szCs w:val="24"/>
              </w:rPr>
            </w:pPr>
            <w:r>
              <w:rPr>
                <w:rFonts w:hint="eastAsia" w:ascii="楷体" w:hAnsi="楷体" w:eastAsia="楷体" w:cs="楷体"/>
                <w:sz w:val="24"/>
                <w:szCs w:val="24"/>
              </w:rPr>
              <w:t>监视、测量、分析和评价</w:t>
            </w:r>
          </w:p>
        </w:tc>
        <w:tc>
          <w:tcPr>
            <w:tcW w:w="1311" w:type="dxa"/>
            <w:vAlign w:val="center"/>
          </w:tcPr>
          <w:p>
            <w:pPr>
              <w:tabs>
                <w:tab w:val="left" w:pos="6597"/>
              </w:tabs>
              <w:spacing w:line="360" w:lineRule="auto"/>
              <w:rPr>
                <w:rFonts w:ascii="楷体" w:hAnsi="楷体" w:eastAsia="楷体" w:cs="楷体"/>
                <w:bCs/>
                <w:sz w:val="24"/>
                <w:szCs w:val="24"/>
              </w:rPr>
            </w:pPr>
            <w:r>
              <w:rPr>
                <w:rFonts w:hint="eastAsia" w:ascii="楷体" w:hAnsi="楷体" w:eastAsia="楷体" w:cs="楷体"/>
                <w:sz w:val="24"/>
                <w:szCs w:val="24"/>
              </w:rPr>
              <w:t xml:space="preserve">E：9.1.1  </w:t>
            </w:r>
          </w:p>
        </w:tc>
        <w:tc>
          <w:tcPr>
            <w:tcW w:w="10004" w:type="dxa"/>
            <w:vAlign w:val="center"/>
          </w:tcPr>
          <w:p>
            <w:pPr>
              <w:spacing w:line="360" w:lineRule="auto"/>
              <w:ind w:firstLine="480" w:firstLineChars="200"/>
              <w:rPr>
                <w:rFonts w:ascii="楷体" w:hAnsi="楷体" w:eastAsia="楷体" w:cs="楷体"/>
                <w:color w:val="auto"/>
                <w:sz w:val="24"/>
                <w:szCs w:val="24"/>
              </w:rPr>
            </w:pPr>
            <w:r>
              <w:rPr>
                <w:rFonts w:hint="eastAsia" w:ascii="楷体" w:hAnsi="楷体" w:eastAsia="楷体" w:cs="楷体"/>
                <w:color w:val="auto"/>
                <w:sz w:val="24"/>
                <w:szCs w:val="24"/>
              </w:rPr>
              <w:t>查到《质量、环境和职业健康安全目标指标考核表》，记录了公司质量、环境、职业健康安全目标完成情况，</w:t>
            </w:r>
            <w:r>
              <w:rPr>
                <w:rFonts w:hint="eastAsia" w:ascii="楷体" w:hAnsi="楷体" w:eastAsia="楷体" w:cs="楷体"/>
                <w:color w:val="auto"/>
                <w:sz w:val="24"/>
                <w:szCs w:val="24"/>
                <w:lang w:eastAsia="zh-CN"/>
              </w:rPr>
              <w:t>2020</w:t>
            </w:r>
            <w:r>
              <w:rPr>
                <w:rFonts w:hint="eastAsia" w:ascii="楷体" w:hAnsi="楷体" w:eastAsia="楷体" w:cs="楷体"/>
                <w:color w:val="auto"/>
                <w:sz w:val="24"/>
                <w:szCs w:val="24"/>
              </w:rPr>
              <w:t>年</w:t>
            </w:r>
            <w:r>
              <w:rPr>
                <w:rFonts w:hint="eastAsia" w:ascii="楷体" w:hAnsi="楷体" w:eastAsia="楷体" w:cs="楷体"/>
                <w:color w:val="auto"/>
                <w:sz w:val="24"/>
                <w:szCs w:val="24"/>
                <w:lang w:val="en-US" w:eastAsia="zh-CN"/>
              </w:rPr>
              <w:t>3</w:t>
            </w:r>
            <w:r>
              <w:rPr>
                <w:rFonts w:hint="eastAsia" w:ascii="楷体" w:hAnsi="楷体" w:eastAsia="楷体" w:cs="楷体"/>
                <w:color w:val="auto"/>
                <w:sz w:val="24"/>
                <w:szCs w:val="24"/>
              </w:rPr>
              <w:t>月</w:t>
            </w:r>
            <w:r>
              <w:rPr>
                <w:rFonts w:hint="eastAsia" w:ascii="楷体" w:hAnsi="楷体" w:eastAsia="楷体" w:cs="楷体"/>
                <w:color w:val="auto"/>
                <w:sz w:val="24"/>
                <w:szCs w:val="24"/>
                <w:lang w:val="en-US" w:eastAsia="zh-CN"/>
              </w:rPr>
              <w:t>1</w:t>
            </w:r>
            <w:r>
              <w:rPr>
                <w:rFonts w:hint="eastAsia" w:ascii="楷体" w:hAnsi="楷体" w:eastAsia="楷体" w:cs="楷体"/>
                <w:color w:val="auto"/>
                <w:sz w:val="24"/>
                <w:szCs w:val="24"/>
              </w:rPr>
              <w:t>5日完成情况：目标均已完成。</w:t>
            </w:r>
          </w:p>
          <w:p>
            <w:pPr>
              <w:widowControl/>
              <w:spacing w:line="360" w:lineRule="auto"/>
              <w:ind w:firstLine="480" w:firstLineChars="200"/>
              <w:jc w:val="left"/>
              <w:rPr>
                <w:rFonts w:ascii="楷体" w:hAnsi="楷体" w:eastAsia="楷体" w:cs="楷体"/>
                <w:color w:val="auto"/>
                <w:sz w:val="24"/>
                <w:szCs w:val="24"/>
              </w:rPr>
            </w:pPr>
            <w:r>
              <w:rPr>
                <w:rFonts w:hint="eastAsia" w:ascii="楷体" w:hAnsi="楷体" w:eastAsia="楷体" w:cs="楷体"/>
                <w:color w:val="auto"/>
                <w:sz w:val="24"/>
                <w:szCs w:val="24"/>
              </w:rPr>
              <w:t>提供《环境安全管理检查记录》，每月对各部门进行环境安全事项的例行检查，检查项目包括资源能源使用、固体废弃物管理、污水控制、噪声控制、消防设施管理、管理方案控制等。</w:t>
            </w:r>
          </w:p>
          <w:p>
            <w:pPr>
              <w:spacing w:line="360" w:lineRule="auto"/>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查到</w:t>
            </w:r>
            <w:r>
              <w:rPr>
                <w:rFonts w:hint="eastAsia" w:ascii="楷体" w:hAnsi="楷体" w:eastAsia="楷体" w:cs="楷体"/>
                <w:color w:val="auto"/>
                <w:sz w:val="24"/>
                <w:szCs w:val="24"/>
                <w:lang w:val="en-US" w:eastAsia="zh-CN"/>
              </w:rPr>
              <w:t>2020年8月10日陕西正为环境检测有限公司，监测了</w:t>
            </w:r>
            <w:r>
              <w:rPr>
                <w:rFonts w:hint="eastAsia" w:ascii="楷体" w:hAnsi="楷体" w:eastAsia="楷体" w:cs="楷体"/>
                <w:color w:val="auto"/>
                <w:sz w:val="24"/>
                <w:szCs w:val="24"/>
              </w:rPr>
              <w:t>废气，编号</w:t>
            </w:r>
            <w:r>
              <w:rPr>
                <w:rFonts w:hint="eastAsia" w:ascii="楷体" w:hAnsi="楷体" w:eastAsia="楷体" w:cs="楷体"/>
                <w:color w:val="auto"/>
                <w:sz w:val="24"/>
                <w:szCs w:val="24"/>
                <w:lang w:val="en-US" w:eastAsia="zh-CN"/>
              </w:rPr>
              <w:t>正为监（气）【2020】</w:t>
            </w:r>
            <w:r>
              <w:rPr>
                <w:rFonts w:hint="eastAsia" w:ascii="楷体" w:hAnsi="楷体" w:eastAsia="楷体" w:cs="楷体"/>
                <w:color w:val="auto"/>
                <w:sz w:val="24"/>
                <w:szCs w:val="24"/>
              </w:rPr>
              <w:t>第0</w:t>
            </w:r>
            <w:r>
              <w:rPr>
                <w:rFonts w:hint="eastAsia" w:ascii="楷体" w:hAnsi="楷体" w:eastAsia="楷体" w:cs="楷体"/>
                <w:color w:val="auto"/>
                <w:sz w:val="24"/>
                <w:szCs w:val="24"/>
                <w:lang w:val="en-US" w:eastAsia="zh-CN"/>
              </w:rPr>
              <w:t>8155</w:t>
            </w:r>
            <w:r>
              <w:rPr>
                <w:rFonts w:hint="eastAsia" w:ascii="楷体" w:hAnsi="楷体" w:eastAsia="楷体" w:cs="楷体"/>
                <w:color w:val="auto"/>
                <w:sz w:val="24"/>
                <w:szCs w:val="24"/>
              </w:rPr>
              <w:t>号，监测结果符合排放标准要求。</w:t>
            </w:r>
          </w:p>
          <w:p>
            <w:pPr>
              <w:spacing w:line="360" w:lineRule="auto"/>
              <w:ind w:firstLine="480" w:firstLineChars="200"/>
              <w:rPr>
                <w:rFonts w:hint="eastAsia" w:ascii="楷体" w:hAnsi="楷体" w:eastAsia="楷体" w:cs="楷体"/>
                <w:color w:val="auto"/>
                <w:sz w:val="24"/>
                <w:szCs w:val="24"/>
                <w:lang w:val="en-US" w:eastAsia="zh-CN"/>
              </w:rPr>
            </w:pPr>
            <w:r>
              <w:rPr>
                <w:rFonts w:hint="eastAsia" w:ascii="楷体" w:hAnsi="楷体" w:eastAsia="楷体" w:cs="楷体"/>
                <w:color w:val="auto"/>
                <w:sz w:val="24"/>
                <w:szCs w:val="24"/>
              </w:rPr>
              <w:t>查到</w:t>
            </w:r>
            <w:r>
              <w:rPr>
                <w:rFonts w:hint="eastAsia" w:ascii="楷体" w:hAnsi="楷体" w:eastAsia="楷体" w:cs="楷体"/>
                <w:color w:val="auto"/>
                <w:sz w:val="24"/>
                <w:szCs w:val="24"/>
                <w:lang w:val="en-US" w:eastAsia="zh-CN"/>
              </w:rPr>
              <w:t>2020年9月9日陕西正为环境检测有限公司，监测了</w:t>
            </w:r>
            <w:r>
              <w:rPr>
                <w:rFonts w:hint="eastAsia" w:ascii="楷体" w:hAnsi="楷体" w:eastAsia="楷体" w:cs="楷体"/>
                <w:color w:val="auto"/>
                <w:sz w:val="24"/>
                <w:szCs w:val="24"/>
              </w:rPr>
              <w:t>废气，编号</w:t>
            </w:r>
            <w:r>
              <w:rPr>
                <w:rFonts w:hint="eastAsia" w:ascii="楷体" w:hAnsi="楷体" w:eastAsia="楷体" w:cs="楷体"/>
                <w:color w:val="auto"/>
                <w:sz w:val="24"/>
                <w:szCs w:val="24"/>
                <w:lang w:val="en-US" w:eastAsia="zh-CN"/>
              </w:rPr>
              <w:t>正为监（气）【2020】</w:t>
            </w:r>
            <w:r>
              <w:rPr>
                <w:rFonts w:hint="eastAsia" w:ascii="楷体" w:hAnsi="楷体" w:eastAsia="楷体" w:cs="楷体"/>
                <w:color w:val="auto"/>
                <w:sz w:val="24"/>
                <w:szCs w:val="24"/>
              </w:rPr>
              <w:t>第0</w:t>
            </w:r>
            <w:r>
              <w:rPr>
                <w:rFonts w:hint="eastAsia" w:ascii="楷体" w:hAnsi="楷体" w:eastAsia="楷体" w:cs="楷体"/>
                <w:color w:val="auto"/>
                <w:sz w:val="24"/>
                <w:szCs w:val="24"/>
                <w:lang w:val="en-US" w:eastAsia="zh-CN"/>
              </w:rPr>
              <w:t>937</w:t>
            </w:r>
            <w:r>
              <w:rPr>
                <w:rFonts w:hint="eastAsia" w:ascii="楷体" w:hAnsi="楷体" w:eastAsia="楷体" w:cs="楷体"/>
                <w:color w:val="auto"/>
                <w:sz w:val="24"/>
                <w:szCs w:val="24"/>
              </w:rPr>
              <w:t>号，监测结果符合排放标准要求。</w:t>
            </w:r>
          </w:p>
          <w:p>
            <w:pPr>
              <w:spacing w:line="360" w:lineRule="auto"/>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查到</w:t>
            </w:r>
            <w:r>
              <w:rPr>
                <w:rFonts w:hint="eastAsia" w:ascii="楷体" w:hAnsi="楷体" w:eastAsia="楷体" w:cs="楷体"/>
                <w:color w:val="auto"/>
                <w:sz w:val="24"/>
                <w:szCs w:val="24"/>
                <w:lang w:val="en-US" w:eastAsia="zh-CN"/>
              </w:rPr>
              <w:t>2020年9月30日陕西正为环境检测有限公司，监测了</w:t>
            </w:r>
            <w:r>
              <w:rPr>
                <w:rFonts w:hint="eastAsia" w:ascii="楷体" w:hAnsi="楷体" w:eastAsia="楷体" w:cs="楷体"/>
                <w:color w:val="auto"/>
                <w:sz w:val="24"/>
                <w:szCs w:val="24"/>
              </w:rPr>
              <w:t>废气，编号</w:t>
            </w:r>
            <w:r>
              <w:rPr>
                <w:rFonts w:hint="eastAsia" w:ascii="楷体" w:hAnsi="楷体" w:eastAsia="楷体" w:cs="楷体"/>
                <w:color w:val="auto"/>
                <w:sz w:val="24"/>
                <w:szCs w:val="24"/>
                <w:lang w:val="en-US" w:eastAsia="zh-CN"/>
              </w:rPr>
              <w:t>正为监（气）【2020】</w:t>
            </w:r>
            <w:r>
              <w:rPr>
                <w:rFonts w:hint="eastAsia" w:ascii="楷体" w:hAnsi="楷体" w:eastAsia="楷体" w:cs="楷体"/>
                <w:color w:val="auto"/>
                <w:sz w:val="24"/>
                <w:szCs w:val="24"/>
              </w:rPr>
              <w:t>第0</w:t>
            </w:r>
            <w:r>
              <w:rPr>
                <w:rFonts w:hint="eastAsia" w:ascii="楷体" w:hAnsi="楷体" w:eastAsia="楷体" w:cs="楷体"/>
                <w:color w:val="auto"/>
                <w:sz w:val="24"/>
                <w:szCs w:val="24"/>
                <w:lang w:val="en-US" w:eastAsia="zh-CN"/>
              </w:rPr>
              <w:t>9133</w:t>
            </w:r>
            <w:r>
              <w:rPr>
                <w:rFonts w:hint="eastAsia" w:ascii="楷体" w:hAnsi="楷体" w:eastAsia="楷体" w:cs="楷体"/>
                <w:color w:val="auto"/>
                <w:sz w:val="24"/>
                <w:szCs w:val="24"/>
              </w:rPr>
              <w:t>号，监测结果符合排放标准要求。</w:t>
            </w:r>
          </w:p>
          <w:p>
            <w:pPr>
              <w:spacing w:line="360" w:lineRule="auto"/>
              <w:ind w:firstLine="480" w:firstLineChars="200"/>
              <w:rPr>
                <w:rFonts w:hint="default" w:ascii="楷体" w:hAnsi="楷体" w:eastAsia="楷体" w:cs="楷体"/>
                <w:color w:val="auto"/>
                <w:sz w:val="24"/>
                <w:szCs w:val="24"/>
                <w:lang w:val="en-US" w:eastAsia="zh-CN"/>
              </w:rPr>
            </w:pPr>
            <w:r>
              <w:rPr>
                <w:rFonts w:hint="eastAsia" w:ascii="楷体" w:hAnsi="楷体" w:eastAsia="楷体" w:cs="楷体"/>
                <w:color w:val="auto"/>
                <w:sz w:val="24"/>
                <w:szCs w:val="24"/>
              </w:rPr>
              <w:t>查到</w:t>
            </w:r>
            <w:r>
              <w:rPr>
                <w:rFonts w:hint="eastAsia" w:ascii="楷体" w:hAnsi="楷体" w:eastAsia="楷体" w:cs="楷体"/>
                <w:color w:val="auto"/>
                <w:sz w:val="24"/>
                <w:szCs w:val="24"/>
                <w:lang w:val="en-US" w:eastAsia="zh-CN"/>
              </w:rPr>
              <w:t>2020年11月11日陕西正为环境检测有限公司，监测了</w:t>
            </w:r>
            <w:r>
              <w:rPr>
                <w:rFonts w:hint="eastAsia" w:ascii="楷体" w:hAnsi="楷体" w:eastAsia="楷体" w:cs="楷体"/>
                <w:color w:val="auto"/>
                <w:sz w:val="24"/>
                <w:szCs w:val="24"/>
              </w:rPr>
              <w:t>废气</w:t>
            </w:r>
            <w:r>
              <w:rPr>
                <w:rFonts w:hint="eastAsia" w:ascii="楷体" w:hAnsi="楷体" w:eastAsia="楷体" w:cs="楷体"/>
                <w:color w:val="auto"/>
                <w:sz w:val="24"/>
                <w:szCs w:val="24"/>
                <w:lang w:eastAsia="zh-CN"/>
              </w:rPr>
              <w:t>、</w:t>
            </w:r>
            <w:r>
              <w:rPr>
                <w:rFonts w:hint="eastAsia" w:ascii="楷体" w:hAnsi="楷体" w:eastAsia="楷体" w:cs="楷体"/>
                <w:color w:val="auto"/>
                <w:sz w:val="24"/>
                <w:szCs w:val="24"/>
                <w:lang w:val="en-US" w:eastAsia="zh-CN"/>
              </w:rPr>
              <w:t>噪音</w:t>
            </w:r>
            <w:r>
              <w:rPr>
                <w:rFonts w:hint="eastAsia" w:ascii="楷体" w:hAnsi="楷体" w:eastAsia="楷体" w:cs="楷体"/>
                <w:color w:val="auto"/>
                <w:sz w:val="24"/>
                <w:szCs w:val="24"/>
              </w:rPr>
              <w:t>，编号</w:t>
            </w:r>
            <w:r>
              <w:rPr>
                <w:rFonts w:hint="eastAsia" w:ascii="楷体" w:hAnsi="楷体" w:eastAsia="楷体" w:cs="楷体"/>
                <w:color w:val="auto"/>
                <w:sz w:val="24"/>
                <w:szCs w:val="24"/>
                <w:lang w:val="en-US" w:eastAsia="zh-CN"/>
              </w:rPr>
              <w:t>正为监（综）【2020】</w:t>
            </w:r>
            <w:r>
              <w:rPr>
                <w:rFonts w:hint="eastAsia" w:ascii="楷体" w:hAnsi="楷体" w:eastAsia="楷体" w:cs="楷体"/>
                <w:color w:val="auto"/>
                <w:sz w:val="24"/>
                <w:szCs w:val="24"/>
              </w:rPr>
              <w:t>第</w:t>
            </w:r>
            <w:r>
              <w:rPr>
                <w:rFonts w:hint="eastAsia" w:ascii="楷体" w:hAnsi="楷体" w:eastAsia="楷体" w:cs="楷体"/>
                <w:color w:val="auto"/>
                <w:sz w:val="24"/>
                <w:szCs w:val="24"/>
                <w:lang w:val="en-US" w:eastAsia="zh-CN"/>
              </w:rPr>
              <w:t>1034</w:t>
            </w:r>
            <w:r>
              <w:rPr>
                <w:rFonts w:hint="eastAsia" w:ascii="楷体" w:hAnsi="楷体" w:eastAsia="楷体" w:cs="楷体"/>
                <w:color w:val="auto"/>
                <w:sz w:val="24"/>
                <w:szCs w:val="24"/>
              </w:rPr>
              <w:t>号，监测结果符合排放标准要求。</w:t>
            </w:r>
            <w:r>
              <w:rPr>
                <w:rFonts w:hint="eastAsia" w:ascii="楷体" w:hAnsi="楷体" w:eastAsia="楷体" w:cs="楷体"/>
                <w:color w:val="auto"/>
                <w:sz w:val="24"/>
                <w:szCs w:val="24"/>
                <w:lang w:val="en-US" w:eastAsia="zh-CN"/>
              </w:rPr>
              <w:t>见附件。</w:t>
            </w:r>
          </w:p>
          <w:p>
            <w:pPr>
              <w:widowControl/>
              <w:spacing w:line="360" w:lineRule="auto"/>
              <w:ind w:left="480"/>
              <w:jc w:val="left"/>
              <w:rPr>
                <w:rFonts w:ascii="楷体" w:hAnsi="楷体" w:eastAsia="楷体" w:cs="楷体"/>
                <w:color w:val="auto"/>
                <w:sz w:val="24"/>
                <w:szCs w:val="24"/>
              </w:rPr>
            </w:pPr>
            <w:r>
              <w:rPr>
                <w:rFonts w:hint="eastAsia" w:ascii="楷体" w:hAnsi="楷体" w:eastAsia="楷体" w:cs="楷体"/>
                <w:color w:val="auto"/>
                <w:sz w:val="24"/>
                <w:szCs w:val="24"/>
              </w:rPr>
              <w:t>经交流公司无用于环境监测的设备。</w:t>
            </w:r>
          </w:p>
        </w:tc>
        <w:tc>
          <w:tcPr>
            <w:tcW w:w="1585" w:type="dxa"/>
          </w:tcPr>
          <w:p>
            <w:pPr>
              <w:spacing w:line="360" w:lineRule="auto"/>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809" w:type="dxa"/>
            <w:vAlign w:val="center"/>
          </w:tcPr>
          <w:p>
            <w:pPr>
              <w:spacing w:line="360" w:lineRule="auto"/>
              <w:rPr>
                <w:rFonts w:ascii="楷体" w:hAnsi="楷体" w:eastAsia="楷体"/>
                <w:sz w:val="24"/>
                <w:szCs w:val="24"/>
              </w:rPr>
            </w:pPr>
            <w:r>
              <w:rPr>
                <w:rFonts w:hint="eastAsia" w:ascii="楷体" w:hAnsi="楷体" w:eastAsia="楷体" w:cs="Arial"/>
                <w:sz w:val="24"/>
                <w:szCs w:val="24"/>
              </w:rPr>
              <w:t>运行策划和控制、</w:t>
            </w:r>
          </w:p>
        </w:tc>
        <w:tc>
          <w:tcPr>
            <w:tcW w:w="1311" w:type="dxa"/>
            <w:vAlign w:val="center"/>
          </w:tcPr>
          <w:p>
            <w:pPr>
              <w:spacing w:line="360" w:lineRule="auto"/>
              <w:rPr>
                <w:rFonts w:ascii="楷体" w:hAnsi="楷体" w:eastAsia="楷体" w:cs="楷体"/>
                <w:sz w:val="24"/>
                <w:szCs w:val="24"/>
              </w:rPr>
            </w:pPr>
            <w:r>
              <w:rPr>
                <w:rFonts w:hint="eastAsia" w:ascii="楷体" w:hAnsi="楷体" w:eastAsia="楷体" w:cs="楷体"/>
                <w:bCs/>
                <w:sz w:val="24"/>
                <w:szCs w:val="24"/>
              </w:rPr>
              <w:t>E</w:t>
            </w:r>
            <w:r>
              <w:rPr>
                <w:rFonts w:hint="eastAsia" w:ascii="楷体" w:hAnsi="楷体" w:eastAsia="楷体" w:cs="Arial"/>
                <w:sz w:val="24"/>
                <w:szCs w:val="24"/>
              </w:rPr>
              <w:t>8.1</w:t>
            </w:r>
            <w:r>
              <w:rPr>
                <w:rFonts w:hint="eastAsia" w:ascii="楷体" w:hAnsi="楷体" w:eastAsia="楷体" w:cs="楷体"/>
                <w:sz w:val="24"/>
                <w:szCs w:val="24"/>
              </w:rPr>
              <w:t xml:space="preserve">  </w:t>
            </w:r>
          </w:p>
        </w:tc>
        <w:tc>
          <w:tcPr>
            <w:tcW w:w="10004" w:type="dxa"/>
            <w:vAlign w:val="center"/>
          </w:tcPr>
          <w:p>
            <w:pPr>
              <w:spacing w:line="360" w:lineRule="auto"/>
              <w:ind w:firstLine="480" w:firstLineChars="200"/>
              <w:rPr>
                <w:rFonts w:ascii="楷体" w:hAnsi="楷体" w:eastAsia="楷体" w:cs="SimSun-Identity-H"/>
                <w:sz w:val="24"/>
                <w:szCs w:val="24"/>
              </w:rPr>
            </w:pPr>
            <w:r>
              <w:rPr>
                <w:rFonts w:hint="eastAsia" w:ascii="楷体" w:hAnsi="楷体" w:eastAsia="楷体" w:cs="楷体"/>
                <w:sz w:val="24"/>
                <w:szCs w:val="24"/>
              </w:rPr>
              <w:t>公司制定并实施了</w:t>
            </w:r>
            <w:r>
              <w:rPr>
                <w:rFonts w:hint="eastAsia" w:ascii="楷体" w:hAnsi="楷体" w:eastAsia="楷体" w:cs="SimSun-Identity-H"/>
                <w:sz w:val="24"/>
                <w:szCs w:val="24"/>
              </w:rPr>
              <w:t>《环境管理控制程序》、《固体废弃物污染防治控制程序》、《废水污染防治控制程序》、《废气防治污染控制程序》、《噪声防治污染控制程序》、《能源资源管理控制程序》、《危险化学品管理控制程序》、《环保设备设施运行控制程序》等环境管理程序。</w:t>
            </w:r>
          </w:p>
          <w:p>
            <w:pPr>
              <w:spacing w:line="360" w:lineRule="auto"/>
              <w:ind w:firstLine="480" w:firstLineChars="200"/>
              <w:rPr>
                <w:rFonts w:ascii="楷体" w:hAnsi="楷体" w:eastAsia="楷体" w:cs="楷体"/>
                <w:sz w:val="24"/>
                <w:szCs w:val="24"/>
              </w:rPr>
            </w:pPr>
            <w:r>
              <w:rPr>
                <w:rFonts w:hint="eastAsia" w:ascii="楷体" w:hAnsi="楷体" w:eastAsia="楷体" w:cs="SimSun-Identity-H"/>
                <w:sz w:val="24"/>
                <w:szCs w:val="24"/>
              </w:rPr>
              <w:t>查到2018年11月公司</w:t>
            </w:r>
            <w:r>
              <w:rPr>
                <w:rFonts w:hint="eastAsia" w:ascii="楷体" w:hAnsi="楷体" w:eastAsia="楷体" w:cs="楷体"/>
                <w:sz w:val="24"/>
                <w:szCs w:val="24"/>
              </w:rPr>
              <w:t>查到2万吨车桥铸件及车悬挂系统生产线技改项目环境影响</w:t>
            </w:r>
            <w:r>
              <w:rPr>
                <w:rFonts w:hint="eastAsia" w:ascii="楷体" w:hAnsi="楷体" w:eastAsia="楷体" w:cs="SimSun-Identity-H"/>
                <w:sz w:val="24"/>
                <w:szCs w:val="24"/>
              </w:rPr>
              <w:t>报告书，编号国环评证乙字第2225号，编制单位福建闽科环保技术开发有限公司。查到2018年12月14日永寿县环境保护局的环评报告批复报告。</w:t>
            </w:r>
            <w:r>
              <w:rPr>
                <w:rFonts w:hint="eastAsia" w:ascii="楷体" w:hAnsi="楷体" w:eastAsia="楷体" w:cs="楷体"/>
                <w:sz w:val="24"/>
                <w:szCs w:val="24"/>
              </w:rPr>
              <w:t>查到技改项目竣工环境保护验收监测报告（大气、废水、噪声部分），和三同时验收登记表，报告日期</w:t>
            </w:r>
            <w:r>
              <w:rPr>
                <w:rFonts w:hint="eastAsia" w:ascii="楷体" w:hAnsi="楷体" w:eastAsia="楷体" w:cs="楷体"/>
                <w:sz w:val="24"/>
                <w:szCs w:val="24"/>
                <w:lang w:eastAsia="zh-CN"/>
              </w:rPr>
              <w:t>20</w:t>
            </w:r>
            <w:r>
              <w:rPr>
                <w:rFonts w:hint="eastAsia" w:ascii="楷体" w:hAnsi="楷体" w:eastAsia="楷体" w:cs="楷体"/>
                <w:sz w:val="24"/>
                <w:szCs w:val="24"/>
                <w:lang w:val="en-US" w:eastAsia="zh-CN"/>
              </w:rPr>
              <w:t>19</w:t>
            </w:r>
            <w:r>
              <w:rPr>
                <w:rFonts w:hint="eastAsia" w:ascii="楷体" w:hAnsi="楷体" w:eastAsia="楷体" w:cs="楷体"/>
                <w:sz w:val="24"/>
                <w:szCs w:val="24"/>
              </w:rPr>
              <w:t>.5月，编制单位成都中环国保科技有限公司西安分公司，结论建议通过验收。</w:t>
            </w:r>
            <w:r>
              <w:rPr>
                <w:rFonts w:hint="eastAsia" w:ascii="楷体" w:hAnsi="楷体" w:eastAsia="楷体" w:cs="SimSun-Identity-H"/>
                <w:sz w:val="24"/>
                <w:szCs w:val="24"/>
              </w:rPr>
              <w:t>查到咸阳市生态环境局永寿分局</w:t>
            </w:r>
            <w:r>
              <w:rPr>
                <w:rFonts w:hint="eastAsia" w:ascii="楷体" w:hAnsi="楷体" w:eastAsia="楷体" w:cs="SimSun-Identity-H"/>
                <w:sz w:val="24"/>
                <w:szCs w:val="24"/>
                <w:lang w:eastAsia="zh-CN"/>
              </w:rPr>
              <w:t>20</w:t>
            </w:r>
            <w:r>
              <w:rPr>
                <w:rFonts w:hint="eastAsia" w:ascii="楷体" w:hAnsi="楷体" w:eastAsia="楷体" w:cs="SimSun-Identity-H"/>
                <w:sz w:val="24"/>
                <w:szCs w:val="24"/>
                <w:lang w:val="en-US" w:eastAsia="zh-CN"/>
              </w:rPr>
              <w:t>19</w:t>
            </w:r>
            <w:r>
              <w:rPr>
                <w:rFonts w:hint="eastAsia" w:ascii="楷体" w:hAnsi="楷体" w:eastAsia="楷体" w:cs="SimSun-Identity-H"/>
                <w:sz w:val="24"/>
                <w:szCs w:val="24"/>
              </w:rPr>
              <w:t>年6月19日公司配套固废污染防治设施竣工环境保护</w:t>
            </w:r>
            <w:r>
              <w:rPr>
                <w:rFonts w:hint="eastAsia" w:ascii="楷体" w:hAnsi="楷体" w:eastAsia="楷体" w:cs="楷体"/>
                <w:sz w:val="24"/>
                <w:szCs w:val="24"/>
              </w:rPr>
              <w:t>验收的批复。公司环评已经过了验收。具体见附件。</w:t>
            </w:r>
          </w:p>
          <w:p>
            <w:pPr>
              <w:spacing w:line="360" w:lineRule="auto"/>
              <w:ind w:firstLine="480" w:firstLineChars="200"/>
              <w:rPr>
                <w:rFonts w:ascii="楷体" w:hAnsi="楷体" w:eastAsia="楷体" w:cs="楷体"/>
                <w:sz w:val="24"/>
                <w:szCs w:val="24"/>
              </w:rPr>
            </w:pPr>
            <w:r>
              <w:rPr>
                <w:rFonts w:ascii="楷体" w:hAnsi="楷体" w:eastAsia="楷体" w:cs="楷体"/>
                <w:sz w:val="24"/>
                <w:szCs w:val="24"/>
              </w:rPr>
              <w:t>公司位于</w:t>
            </w:r>
            <w:bookmarkStart w:id="0" w:name="生产地址"/>
            <w:r>
              <w:rPr>
                <w:rFonts w:ascii="楷体" w:hAnsi="楷体" w:eastAsia="楷体" w:cs="楷体"/>
                <w:sz w:val="24"/>
                <w:szCs w:val="24"/>
              </w:rPr>
              <w:t>陕西省咸阳市永寿县火车站大街</w:t>
            </w:r>
            <w:bookmarkEnd w:id="0"/>
            <w:r>
              <w:rPr>
                <w:rFonts w:ascii="楷体" w:hAnsi="楷体" w:eastAsia="楷体" w:cs="楷体"/>
                <w:sz w:val="24"/>
                <w:szCs w:val="24"/>
              </w:rPr>
              <w:t>工业区内</w:t>
            </w:r>
            <w:r>
              <w:rPr>
                <w:rFonts w:hint="eastAsia" w:ascii="楷体" w:hAnsi="楷体" w:eastAsia="楷体" w:cs="楷体"/>
                <w:sz w:val="24"/>
                <w:szCs w:val="24"/>
              </w:rPr>
              <w:t>，</w:t>
            </w:r>
            <w:r>
              <w:rPr>
                <w:rFonts w:ascii="楷体" w:hAnsi="楷体" w:eastAsia="楷体" w:cs="楷体"/>
                <w:sz w:val="24"/>
                <w:szCs w:val="24"/>
              </w:rPr>
              <w:t>周边是其他单位</w:t>
            </w:r>
            <w:r>
              <w:rPr>
                <w:rFonts w:hint="eastAsia" w:ascii="楷体" w:hAnsi="楷体" w:eastAsia="楷体" w:cs="楷体"/>
                <w:sz w:val="24"/>
                <w:szCs w:val="24"/>
              </w:rPr>
              <w:t>。根据需要建设有办公楼、车间、仓库，厂区有停车位和消防栓。</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按公司要求人走关灯，办公室内电脑要求人走后电源切断。办公室内垃圾主要包含可回收垃圾、硒鼓、废纸。公司配置了垃圾箱，办公室统一处理。</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对可回收的固体废弃物，一部分由厂家回收，厂家不回收的公司统一回收再利用或由物资回收公司处理。不可回收的废弃物由公司办公室统一处理，各部门不得单独处理。</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lang w:eastAsia="zh-CN"/>
              </w:rPr>
              <w:t>2020</w:t>
            </w:r>
            <w:r>
              <w:rPr>
                <w:rFonts w:hint="eastAsia" w:ascii="楷体" w:hAnsi="楷体" w:eastAsia="楷体" w:cs="楷体"/>
                <w:sz w:val="24"/>
                <w:szCs w:val="24"/>
              </w:rPr>
              <w:t>.</w:t>
            </w:r>
            <w:r>
              <w:rPr>
                <w:rFonts w:hint="eastAsia" w:ascii="楷体" w:hAnsi="楷体" w:eastAsia="楷体" w:cs="楷体"/>
                <w:sz w:val="24"/>
                <w:szCs w:val="24"/>
                <w:lang w:val="en-US" w:eastAsia="zh-CN"/>
              </w:rPr>
              <w:t>5</w:t>
            </w:r>
            <w:r>
              <w:rPr>
                <w:rFonts w:hint="eastAsia" w:ascii="楷体" w:hAnsi="楷体" w:eastAsia="楷体" w:cs="楷体"/>
                <w:sz w:val="24"/>
                <w:szCs w:val="24"/>
              </w:rPr>
              <w:t>.1</w:t>
            </w:r>
            <w:r>
              <w:rPr>
                <w:rFonts w:hint="eastAsia" w:ascii="楷体" w:hAnsi="楷体" w:eastAsia="楷体" w:cs="楷体"/>
                <w:sz w:val="24"/>
                <w:szCs w:val="24"/>
                <w:lang w:val="en-US" w:eastAsia="zh-CN"/>
              </w:rPr>
              <w:t>0</w:t>
            </w:r>
            <w:r>
              <w:rPr>
                <w:rFonts w:hint="eastAsia" w:ascii="楷体" w:hAnsi="楷体" w:eastAsia="楷体" w:cs="楷体"/>
                <w:sz w:val="24"/>
                <w:szCs w:val="24"/>
              </w:rPr>
              <w:t>日与陕西新天地固体废物综合处置有限公司签订了危险废物处置合同，经查处理方有处理资质。</w:t>
            </w:r>
          </w:p>
          <w:p>
            <w:pPr>
              <w:spacing w:line="360" w:lineRule="auto"/>
              <w:ind w:firstLine="480" w:firstLineChars="200"/>
              <w:rPr>
                <w:rFonts w:hint="default" w:ascii="楷体" w:hAnsi="楷体" w:eastAsia="楷体" w:cs="楷体"/>
                <w:sz w:val="24"/>
                <w:szCs w:val="24"/>
                <w:lang w:val="en-US"/>
              </w:rPr>
            </w:pPr>
            <w:r>
              <w:rPr>
                <w:rFonts w:hint="eastAsia" w:ascii="楷体" w:hAnsi="楷体" w:eastAsia="楷体" w:cs="楷体"/>
                <w:sz w:val="24"/>
                <w:szCs w:val="24"/>
                <w:lang w:val="en-US" w:eastAsia="zh-CN"/>
              </w:rPr>
              <w:t>2020年6月10日处理了一次危险废弃物，五联单如下：</w:t>
            </w:r>
          </w:p>
          <w:p>
            <w:pPr>
              <w:spacing w:line="360" w:lineRule="auto"/>
              <w:ind w:firstLine="480" w:firstLineChars="200"/>
              <w:rPr>
                <w:rFonts w:ascii="楷体" w:hAnsi="楷体" w:eastAsia="楷体" w:cs="楷体"/>
                <w:sz w:val="24"/>
                <w:szCs w:val="24"/>
              </w:rPr>
            </w:pPr>
          </w:p>
          <w:p>
            <w:pPr>
              <w:spacing w:line="360" w:lineRule="auto"/>
              <w:ind w:firstLine="480" w:firstLineChars="200"/>
              <w:rPr>
                <w:rFonts w:ascii="楷体" w:hAnsi="楷体" w:eastAsia="楷体" w:cs="楷体"/>
                <w:sz w:val="24"/>
                <w:szCs w:val="24"/>
              </w:rPr>
            </w:pPr>
          </w:p>
          <w:p>
            <w:pPr>
              <w:spacing w:line="360" w:lineRule="auto"/>
              <w:ind w:firstLine="480" w:firstLineChars="200"/>
              <w:rPr>
                <w:rFonts w:ascii="楷体" w:hAnsi="楷体" w:eastAsia="楷体" w:cs="楷体"/>
                <w:sz w:val="24"/>
                <w:szCs w:val="24"/>
              </w:rPr>
            </w:pPr>
          </w:p>
          <w:p>
            <w:pPr>
              <w:spacing w:line="360" w:lineRule="auto"/>
              <w:ind w:firstLine="480" w:firstLineChars="200"/>
              <w:rPr>
                <w:rFonts w:ascii="楷体" w:hAnsi="楷体" w:eastAsia="楷体" w:cs="楷体"/>
                <w:sz w:val="24"/>
                <w:szCs w:val="24"/>
              </w:rPr>
            </w:pPr>
          </w:p>
          <w:p>
            <w:pPr>
              <w:spacing w:line="360" w:lineRule="auto"/>
              <w:ind w:firstLine="420" w:firstLineChars="200"/>
              <w:rPr>
                <w:rFonts w:ascii="楷体" w:hAnsi="楷体" w:eastAsia="楷体" w:cs="楷体"/>
                <w:sz w:val="24"/>
                <w:szCs w:val="24"/>
              </w:rPr>
            </w:pPr>
            <w:r>
              <w:drawing>
                <wp:anchor distT="0" distB="0" distL="114300" distR="114300" simplePos="0" relativeHeight="251672576" behindDoc="0" locked="0" layoutInCell="1" allowOverlap="1">
                  <wp:simplePos x="0" y="0"/>
                  <wp:positionH relativeFrom="column">
                    <wp:posOffset>4373245</wp:posOffset>
                  </wp:positionH>
                  <wp:positionV relativeFrom="paragraph">
                    <wp:posOffset>164465</wp:posOffset>
                  </wp:positionV>
                  <wp:extent cx="1699260" cy="2468880"/>
                  <wp:effectExtent l="0" t="0" r="2540" b="7620"/>
                  <wp:wrapNone/>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7"/>
                          <a:stretch>
                            <a:fillRect/>
                          </a:stretch>
                        </pic:blipFill>
                        <pic:spPr>
                          <a:xfrm>
                            <a:off x="0" y="0"/>
                            <a:ext cx="1699260" cy="2468880"/>
                          </a:xfrm>
                          <a:prstGeom prst="rect">
                            <a:avLst/>
                          </a:prstGeom>
                          <a:noFill/>
                          <a:ln>
                            <a:noFill/>
                          </a:ln>
                        </pic:spPr>
                      </pic:pic>
                    </a:graphicData>
                  </a:graphic>
                </wp:anchor>
              </w:drawing>
            </w:r>
            <w:r>
              <w:drawing>
                <wp:anchor distT="0" distB="0" distL="114300" distR="114300" simplePos="0" relativeHeight="251671552" behindDoc="0" locked="0" layoutInCell="1" allowOverlap="1">
                  <wp:simplePos x="0" y="0"/>
                  <wp:positionH relativeFrom="column">
                    <wp:posOffset>2242185</wp:posOffset>
                  </wp:positionH>
                  <wp:positionV relativeFrom="paragraph">
                    <wp:posOffset>183515</wp:posOffset>
                  </wp:positionV>
                  <wp:extent cx="1818640" cy="2468880"/>
                  <wp:effectExtent l="0" t="0" r="10160" b="7620"/>
                  <wp:wrapNone/>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8"/>
                          <a:stretch>
                            <a:fillRect/>
                          </a:stretch>
                        </pic:blipFill>
                        <pic:spPr>
                          <a:xfrm>
                            <a:off x="0" y="0"/>
                            <a:ext cx="1818640" cy="2468880"/>
                          </a:xfrm>
                          <a:prstGeom prst="rect">
                            <a:avLst/>
                          </a:prstGeom>
                          <a:noFill/>
                          <a:ln>
                            <a:noFill/>
                          </a:ln>
                        </pic:spPr>
                      </pic:pic>
                    </a:graphicData>
                  </a:graphic>
                </wp:anchor>
              </w:drawing>
            </w:r>
            <w:r>
              <w:drawing>
                <wp:anchor distT="0" distB="0" distL="114300" distR="114300" simplePos="0" relativeHeight="251670528" behindDoc="0" locked="0" layoutInCell="1" allowOverlap="1">
                  <wp:simplePos x="0" y="0"/>
                  <wp:positionH relativeFrom="column">
                    <wp:posOffset>217170</wp:posOffset>
                  </wp:positionH>
                  <wp:positionV relativeFrom="paragraph">
                    <wp:posOffset>156845</wp:posOffset>
                  </wp:positionV>
                  <wp:extent cx="1802765" cy="2479675"/>
                  <wp:effectExtent l="0" t="0" r="635" b="9525"/>
                  <wp:wrapNone/>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9"/>
                          <a:stretch>
                            <a:fillRect/>
                          </a:stretch>
                        </pic:blipFill>
                        <pic:spPr>
                          <a:xfrm>
                            <a:off x="0" y="0"/>
                            <a:ext cx="1802765" cy="2479675"/>
                          </a:xfrm>
                          <a:prstGeom prst="rect">
                            <a:avLst/>
                          </a:prstGeom>
                          <a:noFill/>
                          <a:ln>
                            <a:noFill/>
                          </a:ln>
                        </pic:spPr>
                      </pic:pic>
                    </a:graphicData>
                  </a:graphic>
                </wp:anchor>
              </w:drawing>
            </w:r>
          </w:p>
          <w:p>
            <w:pPr>
              <w:spacing w:line="360" w:lineRule="auto"/>
              <w:ind w:firstLine="480" w:firstLineChars="200"/>
              <w:rPr>
                <w:rFonts w:ascii="楷体" w:hAnsi="楷体" w:eastAsia="楷体" w:cs="楷体"/>
                <w:sz w:val="24"/>
                <w:szCs w:val="24"/>
              </w:rPr>
            </w:pPr>
          </w:p>
          <w:p>
            <w:pPr>
              <w:spacing w:line="360" w:lineRule="auto"/>
              <w:ind w:firstLine="480" w:firstLineChars="200"/>
              <w:rPr>
                <w:rFonts w:ascii="楷体" w:hAnsi="楷体" w:eastAsia="楷体" w:cs="楷体"/>
                <w:sz w:val="24"/>
                <w:szCs w:val="24"/>
              </w:rPr>
            </w:pPr>
          </w:p>
          <w:p>
            <w:pPr>
              <w:spacing w:line="360" w:lineRule="auto"/>
              <w:ind w:firstLine="480" w:firstLineChars="200"/>
              <w:rPr>
                <w:rFonts w:ascii="楷体" w:hAnsi="楷体" w:eastAsia="楷体" w:cs="楷体"/>
                <w:sz w:val="24"/>
                <w:szCs w:val="24"/>
              </w:rPr>
            </w:pPr>
          </w:p>
          <w:p>
            <w:pPr>
              <w:spacing w:line="360" w:lineRule="auto"/>
              <w:ind w:firstLine="480" w:firstLineChars="200"/>
              <w:rPr>
                <w:rFonts w:ascii="楷体" w:hAnsi="楷体" w:eastAsia="楷体" w:cs="楷体"/>
                <w:sz w:val="24"/>
                <w:szCs w:val="24"/>
              </w:rPr>
            </w:pPr>
          </w:p>
          <w:p>
            <w:pPr>
              <w:spacing w:line="360" w:lineRule="auto"/>
              <w:ind w:firstLine="480" w:firstLineChars="200"/>
              <w:rPr>
                <w:rFonts w:ascii="楷体" w:hAnsi="楷体" w:eastAsia="楷体" w:cs="楷体"/>
                <w:sz w:val="24"/>
                <w:szCs w:val="24"/>
              </w:rPr>
            </w:pPr>
          </w:p>
          <w:p>
            <w:pPr>
              <w:spacing w:line="360" w:lineRule="auto"/>
              <w:ind w:firstLine="480" w:firstLineChars="200"/>
              <w:rPr>
                <w:rFonts w:ascii="楷体" w:hAnsi="楷体" w:eastAsia="楷体" w:cs="楷体"/>
                <w:sz w:val="24"/>
                <w:szCs w:val="24"/>
              </w:rPr>
            </w:pPr>
          </w:p>
          <w:p>
            <w:pPr>
              <w:spacing w:line="360" w:lineRule="auto"/>
              <w:ind w:firstLine="480" w:firstLineChars="200"/>
              <w:rPr>
                <w:rFonts w:ascii="楷体" w:hAnsi="楷体" w:eastAsia="楷体" w:cs="楷体"/>
                <w:sz w:val="24"/>
                <w:szCs w:val="24"/>
              </w:rPr>
            </w:pPr>
          </w:p>
          <w:p>
            <w:pPr>
              <w:spacing w:line="360" w:lineRule="auto"/>
              <w:ind w:firstLine="480" w:firstLineChars="200"/>
              <w:rPr>
                <w:rFonts w:ascii="楷体" w:hAnsi="楷体" w:eastAsia="楷体" w:cs="楷体"/>
                <w:sz w:val="24"/>
                <w:szCs w:val="24"/>
              </w:rPr>
            </w:pPr>
          </w:p>
          <w:p>
            <w:pPr>
              <w:spacing w:line="360" w:lineRule="auto"/>
              <w:ind w:firstLine="420" w:firstLineChars="200"/>
              <w:rPr>
                <w:rFonts w:ascii="楷体" w:hAnsi="楷体" w:eastAsia="楷体" w:cs="楷体"/>
                <w:sz w:val="24"/>
                <w:szCs w:val="24"/>
              </w:rPr>
            </w:pPr>
            <w:r>
              <w:drawing>
                <wp:anchor distT="0" distB="0" distL="114300" distR="114300" simplePos="0" relativeHeight="251675648" behindDoc="0" locked="0" layoutInCell="1" allowOverlap="1">
                  <wp:simplePos x="0" y="0"/>
                  <wp:positionH relativeFrom="column">
                    <wp:posOffset>4344670</wp:posOffset>
                  </wp:positionH>
                  <wp:positionV relativeFrom="paragraph">
                    <wp:posOffset>144780</wp:posOffset>
                  </wp:positionV>
                  <wp:extent cx="1828800" cy="2491105"/>
                  <wp:effectExtent l="0" t="0" r="0" b="10795"/>
                  <wp:wrapNone/>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0"/>
                          <a:stretch>
                            <a:fillRect/>
                          </a:stretch>
                        </pic:blipFill>
                        <pic:spPr>
                          <a:xfrm>
                            <a:off x="0" y="0"/>
                            <a:ext cx="1828800" cy="2491105"/>
                          </a:xfrm>
                          <a:prstGeom prst="rect">
                            <a:avLst/>
                          </a:prstGeom>
                          <a:noFill/>
                          <a:ln>
                            <a:noFill/>
                          </a:ln>
                        </pic:spPr>
                      </pic:pic>
                    </a:graphicData>
                  </a:graphic>
                </wp:anchor>
              </w:drawing>
            </w:r>
            <w:r>
              <w:drawing>
                <wp:anchor distT="0" distB="0" distL="114300" distR="114300" simplePos="0" relativeHeight="251674624" behindDoc="0" locked="0" layoutInCell="1" allowOverlap="1">
                  <wp:simplePos x="0" y="0"/>
                  <wp:positionH relativeFrom="column">
                    <wp:posOffset>2271395</wp:posOffset>
                  </wp:positionH>
                  <wp:positionV relativeFrom="paragraph">
                    <wp:posOffset>143510</wp:posOffset>
                  </wp:positionV>
                  <wp:extent cx="1775460" cy="2498725"/>
                  <wp:effectExtent l="0" t="0" r="2540" b="3175"/>
                  <wp:wrapNone/>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1"/>
                          <a:stretch>
                            <a:fillRect/>
                          </a:stretch>
                        </pic:blipFill>
                        <pic:spPr>
                          <a:xfrm>
                            <a:off x="0" y="0"/>
                            <a:ext cx="1775460" cy="2498725"/>
                          </a:xfrm>
                          <a:prstGeom prst="rect">
                            <a:avLst/>
                          </a:prstGeom>
                          <a:noFill/>
                          <a:ln>
                            <a:noFill/>
                          </a:ln>
                        </pic:spPr>
                      </pic:pic>
                    </a:graphicData>
                  </a:graphic>
                </wp:anchor>
              </w:drawing>
            </w:r>
            <w:r>
              <w:drawing>
                <wp:anchor distT="0" distB="0" distL="114300" distR="114300" simplePos="0" relativeHeight="251673600" behindDoc="0" locked="0" layoutInCell="1" allowOverlap="1">
                  <wp:simplePos x="0" y="0"/>
                  <wp:positionH relativeFrom="column">
                    <wp:posOffset>203200</wp:posOffset>
                  </wp:positionH>
                  <wp:positionV relativeFrom="paragraph">
                    <wp:posOffset>116840</wp:posOffset>
                  </wp:positionV>
                  <wp:extent cx="1875790" cy="2505075"/>
                  <wp:effectExtent l="0" t="0" r="3810" b="9525"/>
                  <wp:wrapNone/>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2"/>
                          <a:stretch>
                            <a:fillRect/>
                          </a:stretch>
                        </pic:blipFill>
                        <pic:spPr>
                          <a:xfrm>
                            <a:off x="0" y="0"/>
                            <a:ext cx="1875790" cy="2505075"/>
                          </a:xfrm>
                          <a:prstGeom prst="rect">
                            <a:avLst/>
                          </a:prstGeom>
                          <a:noFill/>
                          <a:ln>
                            <a:noFill/>
                          </a:ln>
                        </pic:spPr>
                      </pic:pic>
                    </a:graphicData>
                  </a:graphic>
                </wp:anchor>
              </w:drawing>
            </w:r>
          </w:p>
          <w:p>
            <w:pPr>
              <w:spacing w:line="360" w:lineRule="auto"/>
              <w:ind w:firstLine="480" w:firstLineChars="200"/>
              <w:rPr>
                <w:rFonts w:ascii="楷体" w:hAnsi="楷体" w:eastAsia="楷体" w:cs="楷体"/>
                <w:sz w:val="24"/>
                <w:szCs w:val="24"/>
              </w:rPr>
            </w:pPr>
          </w:p>
          <w:p>
            <w:pPr>
              <w:spacing w:line="360" w:lineRule="auto"/>
              <w:ind w:firstLine="480" w:firstLineChars="200"/>
              <w:rPr>
                <w:rFonts w:ascii="楷体" w:hAnsi="楷体" w:eastAsia="楷体" w:cs="楷体"/>
                <w:sz w:val="24"/>
                <w:szCs w:val="24"/>
              </w:rPr>
            </w:pPr>
          </w:p>
          <w:p>
            <w:pPr>
              <w:spacing w:line="360" w:lineRule="auto"/>
              <w:ind w:firstLine="480" w:firstLineChars="200"/>
              <w:rPr>
                <w:rFonts w:ascii="楷体" w:hAnsi="楷体" w:eastAsia="楷体" w:cs="楷体"/>
                <w:sz w:val="24"/>
                <w:szCs w:val="24"/>
              </w:rPr>
            </w:pPr>
          </w:p>
          <w:p>
            <w:pPr>
              <w:spacing w:line="360" w:lineRule="auto"/>
              <w:ind w:firstLine="480" w:firstLineChars="200"/>
              <w:rPr>
                <w:rFonts w:ascii="楷体" w:hAnsi="楷体" w:eastAsia="楷体" w:cs="楷体"/>
                <w:sz w:val="24"/>
                <w:szCs w:val="24"/>
              </w:rPr>
            </w:pPr>
          </w:p>
          <w:p>
            <w:pPr>
              <w:spacing w:line="360" w:lineRule="auto"/>
              <w:ind w:firstLine="480" w:firstLineChars="200"/>
              <w:rPr>
                <w:rFonts w:ascii="楷体" w:hAnsi="楷体" w:eastAsia="楷体" w:cs="楷体"/>
                <w:sz w:val="24"/>
                <w:szCs w:val="24"/>
              </w:rPr>
            </w:pPr>
          </w:p>
          <w:p>
            <w:pPr>
              <w:spacing w:line="360" w:lineRule="auto"/>
              <w:ind w:firstLine="480" w:firstLineChars="200"/>
              <w:rPr>
                <w:rFonts w:ascii="楷体" w:hAnsi="楷体" w:eastAsia="楷体" w:cs="楷体"/>
                <w:sz w:val="24"/>
                <w:szCs w:val="24"/>
              </w:rPr>
            </w:pPr>
          </w:p>
          <w:p>
            <w:pPr>
              <w:spacing w:line="360" w:lineRule="auto"/>
              <w:ind w:firstLine="480" w:firstLineChars="200"/>
              <w:rPr>
                <w:rFonts w:ascii="楷体" w:hAnsi="楷体" w:eastAsia="楷体" w:cs="楷体"/>
                <w:sz w:val="24"/>
                <w:szCs w:val="24"/>
              </w:rPr>
            </w:pPr>
          </w:p>
          <w:p>
            <w:pPr>
              <w:spacing w:line="360" w:lineRule="auto"/>
              <w:ind w:firstLine="480" w:firstLineChars="200"/>
              <w:rPr>
                <w:rFonts w:ascii="楷体" w:hAnsi="楷体" w:eastAsia="楷体" w:cs="楷体"/>
                <w:sz w:val="24"/>
                <w:szCs w:val="24"/>
              </w:rPr>
            </w:pPr>
          </w:p>
          <w:p>
            <w:pPr>
              <w:spacing w:line="360" w:lineRule="auto"/>
              <w:ind w:firstLine="480" w:firstLineChars="200"/>
              <w:rPr>
                <w:rFonts w:ascii="楷体" w:hAnsi="楷体" w:eastAsia="楷体" w:cs="Arial"/>
                <w:sz w:val="24"/>
                <w:szCs w:val="24"/>
              </w:rPr>
            </w:pPr>
            <w:r>
              <w:rPr>
                <w:rFonts w:hint="eastAsia" w:ascii="楷体" w:hAnsi="楷体" w:eastAsia="楷体" w:cs="Arial"/>
                <w:sz w:val="24"/>
                <w:szCs w:val="24"/>
              </w:rPr>
              <w:t>生活污水经化粪池简单处理后排入市政污水管网。</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办公室内主要是电的使用，电器有漏电保护器，经常对电路、电源进行检查，没有露电现象发生。现场巡视办公区域消防栓、灭火器正常，电线、电气插座完整，未见破损，空调设定在26℃。</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办公室部门运行控制基本符合规定要求。</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部门运行控制能结合产品生命周期方法，基本符合规定要求。</w:t>
            </w:r>
          </w:p>
        </w:tc>
        <w:tc>
          <w:tcPr>
            <w:tcW w:w="1585" w:type="dxa"/>
          </w:tcPr>
          <w:p>
            <w:pPr>
              <w:spacing w:line="360" w:lineRule="auto"/>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1809" w:type="dxa"/>
            <w:vAlign w:val="center"/>
          </w:tcPr>
          <w:p>
            <w:pPr>
              <w:spacing w:line="360" w:lineRule="auto"/>
              <w:rPr>
                <w:rFonts w:ascii="楷体" w:hAnsi="楷体" w:eastAsia="楷体" w:cs="楷体"/>
                <w:bCs/>
                <w:sz w:val="24"/>
                <w:szCs w:val="24"/>
              </w:rPr>
            </w:pPr>
            <w:r>
              <w:rPr>
                <w:rFonts w:hint="eastAsia" w:ascii="楷体" w:hAnsi="楷体" w:eastAsia="楷体" w:cs="Arial"/>
                <w:sz w:val="24"/>
                <w:szCs w:val="24"/>
              </w:rPr>
              <w:t>应急准备和响应</w:t>
            </w:r>
          </w:p>
          <w:p>
            <w:pPr>
              <w:spacing w:line="360" w:lineRule="auto"/>
              <w:rPr>
                <w:rFonts w:ascii="楷体" w:hAnsi="楷体" w:eastAsia="楷体"/>
                <w:sz w:val="24"/>
                <w:szCs w:val="24"/>
              </w:rPr>
            </w:pPr>
          </w:p>
        </w:tc>
        <w:tc>
          <w:tcPr>
            <w:tcW w:w="1311" w:type="dxa"/>
          </w:tcPr>
          <w:p>
            <w:pPr>
              <w:spacing w:line="360" w:lineRule="auto"/>
              <w:rPr>
                <w:rFonts w:ascii="楷体" w:hAnsi="楷体" w:eastAsia="楷体" w:cs="楷体"/>
                <w:bCs/>
                <w:sz w:val="24"/>
                <w:szCs w:val="24"/>
              </w:rPr>
            </w:pPr>
            <w:r>
              <w:rPr>
                <w:rFonts w:hint="eastAsia" w:ascii="楷体" w:hAnsi="楷体" w:eastAsia="楷体" w:cs="楷体"/>
                <w:bCs/>
                <w:sz w:val="24"/>
                <w:szCs w:val="24"/>
              </w:rPr>
              <w:t>E：</w:t>
            </w:r>
            <w:r>
              <w:rPr>
                <w:rFonts w:hint="eastAsia" w:ascii="楷体" w:hAnsi="楷体" w:eastAsia="楷体" w:cs="Arial"/>
                <w:sz w:val="24"/>
                <w:szCs w:val="24"/>
              </w:rPr>
              <w:t>8.2、</w:t>
            </w:r>
          </w:p>
          <w:p>
            <w:pPr>
              <w:spacing w:line="360" w:lineRule="auto"/>
              <w:rPr>
                <w:rFonts w:ascii="楷体" w:hAnsi="楷体" w:eastAsia="楷体" w:cs="楷体"/>
                <w:bCs/>
                <w:sz w:val="24"/>
                <w:szCs w:val="24"/>
              </w:rPr>
            </w:pPr>
          </w:p>
          <w:p>
            <w:pPr>
              <w:spacing w:line="360" w:lineRule="auto"/>
              <w:rPr>
                <w:rFonts w:ascii="楷体" w:hAnsi="楷体" w:eastAsia="楷体" w:cs="楷体"/>
                <w:bCs/>
                <w:sz w:val="24"/>
                <w:szCs w:val="24"/>
              </w:rPr>
            </w:pPr>
          </w:p>
        </w:tc>
        <w:tc>
          <w:tcPr>
            <w:tcW w:w="10004" w:type="dxa"/>
          </w:tcPr>
          <w:p>
            <w:pPr>
              <w:tabs>
                <w:tab w:val="left" w:pos="6597"/>
              </w:tabs>
              <w:spacing w:line="360" w:lineRule="auto"/>
              <w:ind w:firstLine="480" w:firstLineChars="200"/>
              <w:rPr>
                <w:rFonts w:ascii="楷体" w:hAnsi="楷体" w:eastAsia="楷体" w:cs="楷体"/>
                <w:color w:val="auto"/>
                <w:sz w:val="24"/>
                <w:szCs w:val="24"/>
              </w:rPr>
            </w:pPr>
            <w:r>
              <w:rPr>
                <w:rFonts w:hint="eastAsia" w:ascii="楷体" w:hAnsi="楷体" w:eastAsia="楷体" w:cs="楷体"/>
                <w:color w:val="auto"/>
                <w:sz w:val="24"/>
                <w:szCs w:val="24"/>
              </w:rPr>
              <w:t>提供了《应急准备和响应控制程序》、《消防应急预案》，其中包括目的、适用范围、职责、应急领导小组成员职责、程序、现场应急措施等，相关内容基本充分。</w:t>
            </w:r>
          </w:p>
          <w:p>
            <w:pPr>
              <w:tabs>
                <w:tab w:val="left" w:pos="6597"/>
              </w:tabs>
              <w:spacing w:line="360" w:lineRule="auto"/>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lang w:eastAsia="zh-CN"/>
              </w:rPr>
              <w:drawing>
                <wp:anchor distT="0" distB="0" distL="114300" distR="114300" simplePos="0" relativeHeight="251678720" behindDoc="0" locked="0" layoutInCell="1" allowOverlap="1">
                  <wp:simplePos x="0" y="0"/>
                  <wp:positionH relativeFrom="column">
                    <wp:posOffset>3451860</wp:posOffset>
                  </wp:positionH>
                  <wp:positionV relativeFrom="paragraph">
                    <wp:posOffset>1014730</wp:posOffset>
                  </wp:positionV>
                  <wp:extent cx="2759710" cy="1840230"/>
                  <wp:effectExtent l="0" t="0" r="8890" b="1270"/>
                  <wp:wrapNone/>
                  <wp:docPr id="3" name="图片 3" descr="C:/Users/郭力/AppData/Local/Temp/picturecompress_20201208122957/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郭力/AppData/Local/Temp/picturecompress_20201208122957/output_1.jpgoutput_1"/>
                          <pic:cNvPicPr>
                            <a:picLocks noChangeAspect="1"/>
                          </pic:cNvPicPr>
                        </pic:nvPicPr>
                        <pic:blipFill>
                          <a:blip r:embed="rId13"/>
                          <a:stretch>
                            <a:fillRect/>
                          </a:stretch>
                        </pic:blipFill>
                        <pic:spPr>
                          <a:xfrm>
                            <a:off x="0" y="0"/>
                            <a:ext cx="2759710" cy="1840230"/>
                          </a:xfrm>
                          <a:prstGeom prst="rect">
                            <a:avLst/>
                          </a:prstGeom>
                        </pic:spPr>
                      </pic:pic>
                    </a:graphicData>
                  </a:graphic>
                </wp:anchor>
              </w:drawing>
            </w:r>
            <w:r>
              <w:rPr>
                <w:rFonts w:hint="eastAsia" w:ascii="楷体" w:hAnsi="楷体" w:eastAsia="楷体" w:cs="楷体"/>
                <w:color w:val="auto"/>
                <w:sz w:val="24"/>
                <w:szCs w:val="24"/>
                <w:lang w:eastAsia="zh-CN"/>
              </w:rPr>
              <w:drawing>
                <wp:anchor distT="0" distB="0" distL="114300" distR="114300" simplePos="0" relativeHeight="251677696" behindDoc="0" locked="0" layoutInCell="1" allowOverlap="1">
                  <wp:simplePos x="0" y="0"/>
                  <wp:positionH relativeFrom="column">
                    <wp:posOffset>622300</wp:posOffset>
                  </wp:positionH>
                  <wp:positionV relativeFrom="paragraph">
                    <wp:posOffset>1020445</wp:posOffset>
                  </wp:positionV>
                  <wp:extent cx="2761615" cy="1841500"/>
                  <wp:effectExtent l="0" t="0" r="6985" b="0"/>
                  <wp:wrapNone/>
                  <wp:docPr id="2" name="图片 2" descr="C:/Users/郭力/AppData/Local/Temp/picturecompress_20201208122928/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郭力/AppData/Local/Temp/picturecompress_20201208122928/output_1.jpgoutput_1"/>
                          <pic:cNvPicPr>
                            <a:picLocks noChangeAspect="1"/>
                          </pic:cNvPicPr>
                        </pic:nvPicPr>
                        <pic:blipFill>
                          <a:blip r:embed="rId14"/>
                          <a:stretch>
                            <a:fillRect/>
                          </a:stretch>
                        </pic:blipFill>
                        <pic:spPr>
                          <a:xfrm>
                            <a:off x="0" y="0"/>
                            <a:ext cx="2761615" cy="1841500"/>
                          </a:xfrm>
                          <a:prstGeom prst="rect">
                            <a:avLst/>
                          </a:prstGeom>
                        </pic:spPr>
                      </pic:pic>
                    </a:graphicData>
                  </a:graphic>
                </wp:anchor>
              </w:drawing>
            </w:r>
            <w:r>
              <w:rPr>
                <w:rFonts w:hint="eastAsia" w:ascii="楷体" w:hAnsi="楷体" w:eastAsia="楷体" w:cs="楷体"/>
                <w:color w:val="auto"/>
                <w:sz w:val="24"/>
                <w:szCs w:val="24"/>
              </w:rPr>
              <w:t>查到《消防应急预案演练记录》，</w:t>
            </w:r>
            <w:r>
              <w:rPr>
                <w:rFonts w:hint="eastAsia" w:ascii="楷体" w:hAnsi="楷体" w:eastAsia="楷体" w:cs="楷体"/>
                <w:color w:val="auto"/>
                <w:sz w:val="24"/>
                <w:szCs w:val="24"/>
                <w:lang w:eastAsia="zh-CN"/>
              </w:rPr>
              <w:t>2020</w:t>
            </w:r>
            <w:r>
              <w:rPr>
                <w:rFonts w:hint="eastAsia" w:ascii="楷体" w:hAnsi="楷体" w:eastAsia="楷体" w:cs="楷体"/>
                <w:color w:val="auto"/>
                <w:sz w:val="24"/>
                <w:szCs w:val="24"/>
              </w:rPr>
              <w:t>.</w:t>
            </w:r>
            <w:r>
              <w:rPr>
                <w:rFonts w:hint="eastAsia" w:ascii="楷体" w:hAnsi="楷体" w:eastAsia="楷体" w:cs="楷体"/>
                <w:color w:val="auto"/>
                <w:sz w:val="24"/>
                <w:szCs w:val="24"/>
                <w:lang w:val="en-US" w:eastAsia="zh-CN"/>
              </w:rPr>
              <w:t>5</w:t>
            </w:r>
            <w:r>
              <w:rPr>
                <w:rFonts w:hint="eastAsia" w:ascii="楷体" w:hAnsi="楷体" w:eastAsia="楷体" w:cs="楷体"/>
                <w:color w:val="auto"/>
                <w:sz w:val="24"/>
                <w:szCs w:val="24"/>
              </w:rPr>
              <w:t>.</w:t>
            </w:r>
            <w:r>
              <w:rPr>
                <w:rFonts w:hint="eastAsia" w:ascii="楷体" w:hAnsi="楷体" w:eastAsia="楷体" w:cs="楷体"/>
                <w:color w:val="auto"/>
                <w:sz w:val="24"/>
                <w:szCs w:val="24"/>
                <w:lang w:val="en-US" w:eastAsia="zh-CN"/>
              </w:rPr>
              <w:t>25上午</w:t>
            </w:r>
            <w:r>
              <w:rPr>
                <w:rFonts w:hint="eastAsia" w:ascii="楷体" w:hAnsi="楷体" w:eastAsia="楷体" w:cs="楷体"/>
                <w:color w:val="auto"/>
                <w:sz w:val="24"/>
                <w:szCs w:val="24"/>
              </w:rPr>
              <w:t>日公司全体人员参与了集团公司组织的消防演练，记录了演练过程，对演练中的一些常规知识进行了现场讲评。演练后对应急预案的适宜性、充分性进行了评审，结论：应急准备充分，具有可操作性，应急预案不需修改，记录人董旭辉。</w:t>
            </w:r>
          </w:p>
          <w:p>
            <w:pPr>
              <w:tabs>
                <w:tab w:val="left" w:pos="6597"/>
              </w:tabs>
              <w:spacing w:line="360" w:lineRule="auto"/>
              <w:ind w:firstLine="480" w:firstLineChars="200"/>
              <w:rPr>
                <w:rFonts w:hint="eastAsia" w:ascii="楷体" w:hAnsi="楷体" w:eastAsia="楷体" w:cs="楷体"/>
                <w:color w:val="auto"/>
                <w:sz w:val="24"/>
                <w:szCs w:val="24"/>
                <w:lang w:eastAsia="zh-CN"/>
              </w:rPr>
            </w:pPr>
          </w:p>
          <w:p>
            <w:pPr>
              <w:tabs>
                <w:tab w:val="left" w:pos="6597"/>
              </w:tabs>
              <w:spacing w:line="360" w:lineRule="auto"/>
              <w:ind w:firstLine="480" w:firstLineChars="200"/>
              <w:rPr>
                <w:rFonts w:hint="eastAsia" w:ascii="楷体" w:hAnsi="楷体" w:eastAsia="楷体" w:cs="楷体"/>
                <w:color w:val="auto"/>
                <w:sz w:val="24"/>
                <w:szCs w:val="24"/>
                <w:lang w:eastAsia="zh-CN"/>
              </w:rPr>
            </w:pPr>
          </w:p>
          <w:p>
            <w:pPr>
              <w:tabs>
                <w:tab w:val="left" w:pos="6597"/>
              </w:tabs>
              <w:spacing w:line="360" w:lineRule="auto"/>
              <w:ind w:firstLine="480" w:firstLineChars="200"/>
              <w:rPr>
                <w:rFonts w:hint="eastAsia" w:ascii="楷体" w:hAnsi="楷体" w:eastAsia="楷体" w:cs="楷体"/>
                <w:color w:val="auto"/>
                <w:sz w:val="24"/>
                <w:szCs w:val="24"/>
                <w:lang w:eastAsia="zh-CN"/>
              </w:rPr>
            </w:pPr>
          </w:p>
          <w:p>
            <w:pPr>
              <w:tabs>
                <w:tab w:val="left" w:pos="6597"/>
              </w:tabs>
              <w:spacing w:line="360" w:lineRule="auto"/>
              <w:ind w:firstLine="480" w:firstLineChars="200"/>
              <w:rPr>
                <w:rFonts w:hint="eastAsia" w:ascii="楷体" w:hAnsi="楷体" w:eastAsia="楷体" w:cs="楷体"/>
                <w:color w:val="auto"/>
                <w:sz w:val="24"/>
                <w:szCs w:val="24"/>
                <w:lang w:eastAsia="zh-CN"/>
              </w:rPr>
            </w:pPr>
          </w:p>
          <w:p>
            <w:pPr>
              <w:tabs>
                <w:tab w:val="left" w:pos="6597"/>
              </w:tabs>
              <w:spacing w:line="360" w:lineRule="auto"/>
              <w:ind w:firstLine="480" w:firstLineChars="200"/>
              <w:rPr>
                <w:rFonts w:hint="eastAsia" w:ascii="楷体" w:hAnsi="楷体" w:eastAsia="楷体" w:cs="楷体"/>
                <w:color w:val="auto"/>
                <w:sz w:val="24"/>
                <w:szCs w:val="24"/>
                <w:lang w:eastAsia="zh-CN"/>
              </w:rPr>
            </w:pPr>
          </w:p>
          <w:p>
            <w:pPr>
              <w:tabs>
                <w:tab w:val="left" w:pos="6597"/>
              </w:tabs>
              <w:spacing w:line="360" w:lineRule="auto"/>
              <w:ind w:firstLine="480" w:firstLineChars="200"/>
              <w:rPr>
                <w:rFonts w:hint="eastAsia" w:ascii="楷体" w:hAnsi="楷体" w:eastAsia="楷体" w:cs="楷体"/>
                <w:color w:val="auto"/>
                <w:sz w:val="24"/>
                <w:szCs w:val="24"/>
                <w:lang w:eastAsia="zh-CN"/>
              </w:rPr>
            </w:pPr>
          </w:p>
          <w:p>
            <w:pPr>
              <w:tabs>
                <w:tab w:val="left" w:pos="6597"/>
              </w:tabs>
              <w:spacing w:line="360" w:lineRule="auto"/>
              <w:ind w:firstLine="480" w:firstLineChars="200"/>
              <w:rPr>
                <w:rFonts w:ascii="楷体" w:hAnsi="楷体" w:eastAsia="楷体" w:cs="楷体"/>
                <w:color w:val="auto"/>
                <w:sz w:val="24"/>
                <w:szCs w:val="24"/>
              </w:rPr>
            </w:pPr>
            <w:r>
              <w:rPr>
                <w:rFonts w:hint="eastAsia" w:ascii="楷体" w:hAnsi="楷体" w:eastAsia="楷体" w:cs="楷体"/>
                <w:color w:val="auto"/>
                <w:sz w:val="24"/>
                <w:szCs w:val="24"/>
              </w:rPr>
              <w:t>现场查看办公楼有消防栓和灭火器，状态正常。</w:t>
            </w:r>
          </w:p>
          <w:p>
            <w:pPr>
              <w:tabs>
                <w:tab w:val="left" w:pos="6597"/>
              </w:tabs>
              <w:spacing w:line="360" w:lineRule="auto"/>
              <w:ind w:firstLine="480" w:firstLineChars="200"/>
              <w:rPr>
                <w:rFonts w:ascii="楷体" w:hAnsi="楷体" w:eastAsia="楷体" w:cs="楷体"/>
                <w:color w:val="0000FF"/>
                <w:sz w:val="24"/>
                <w:szCs w:val="24"/>
              </w:rPr>
            </w:pPr>
          </w:p>
          <w:p>
            <w:pPr>
              <w:tabs>
                <w:tab w:val="left" w:pos="6597"/>
              </w:tabs>
              <w:spacing w:line="360" w:lineRule="auto"/>
              <w:ind w:firstLine="480" w:firstLineChars="200"/>
              <w:rPr>
                <w:rFonts w:ascii="楷体" w:hAnsi="楷体" w:eastAsia="楷体" w:cs="楷体"/>
                <w:color w:val="auto"/>
                <w:sz w:val="24"/>
                <w:szCs w:val="24"/>
              </w:rPr>
            </w:pPr>
            <w:r>
              <w:rPr>
                <w:rFonts w:hint="eastAsia" w:ascii="楷体" w:hAnsi="楷体" w:eastAsia="楷体" w:cs="楷体"/>
                <w:color w:val="auto"/>
                <w:sz w:val="24"/>
                <w:szCs w:val="24"/>
              </w:rPr>
              <w:t>提供《突发环境事件应急预案》和《突发环境事件应急预案备案表》,</w:t>
            </w:r>
            <w:r>
              <w:rPr>
                <w:rFonts w:hint="eastAsia" w:ascii="楷体" w:hAnsi="楷体" w:eastAsia="楷体" w:cs="楷体"/>
                <w:color w:val="auto"/>
                <w:sz w:val="24"/>
                <w:szCs w:val="24"/>
                <w:lang w:eastAsia="zh-CN"/>
              </w:rPr>
              <w:t>2</w:t>
            </w:r>
            <w:r>
              <w:rPr>
                <w:rFonts w:hint="eastAsia" w:ascii="楷体" w:hAnsi="楷体" w:eastAsia="楷体" w:cs="楷体"/>
                <w:color w:val="auto"/>
                <w:sz w:val="24"/>
                <w:szCs w:val="24"/>
                <w:lang w:val="en-US" w:eastAsia="zh-CN"/>
              </w:rPr>
              <w:t>019</w:t>
            </w:r>
            <w:r>
              <w:rPr>
                <w:rFonts w:hint="eastAsia" w:ascii="楷体" w:hAnsi="楷体" w:eastAsia="楷体" w:cs="楷体"/>
                <w:color w:val="auto"/>
                <w:sz w:val="24"/>
                <w:szCs w:val="24"/>
              </w:rPr>
              <w:t>.6.6备案，请陕西的环境专家对该公司的突发环境事件应急预案进行了评审。</w:t>
            </w:r>
          </w:p>
          <w:p>
            <w:pPr>
              <w:tabs>
                <w:tab w:val="left" w:pos="6597"/>
              </w:tabs>
              <w:spacing w:line="360" w:lineRule="auto"/>
              <w:ind w:firstLine="480" w:firstLineChars="200"/>
              <w:rPr>
                <w:rFonts w:ascii="楷体" w:hAnsi="楷体" w:eastAsia="楷体" w:cs="楷体"/>
                <w:color w:val="0000FF"/>
                <w:sz w:val="24"/>
                <w:szCs w:val="24"/>
              </w:rPr>
            </w:pPr>
            <w:r>
              <w:rPr>
                <w:rFonts w:hint="eastAsia" w:ascii="楷体" w:hAnsi="楷体" w:eastAsia="楷体" w:cs="楷体"/>
                <w:color w:val="auto"/>
                <w:sz w:val="24"/>
                <w:szCs w:val="24"/>
              </w:rPr>
              <w:t>自体系运行以来尚未发生紧急情况。</w:t>
            </w:r>
          </w:p>
        </w:tc>
        <w:tc>
          <w:tcPr>
            <w:tcW w:w="1585" w:type="dxa"/>
          </w:tcPr>
          <w:p>
            <w:pPr>
              <w:spacing w:line="360" w:lineRule="auto"/>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1809" w:type="dxa"/>
          </w:tcPr>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r>
              <w:rPr>
                <w:rFonts w:hint="eastAsia" w:ascii="楷体" w:hAnsi="楷体" w:eastAsia="楷体"/>
                <w:sz w:val="24"/>
                <w:szCs w:val="24"/>
              </w:rPr>
              <w:t>内部审核</w:t>
            </w:r>
          </w:p>
        </w:tc>
        <w:tc>
          <w:tcPr>
            <w:tcW w:w="1311" w:type="dxa"/>
          </w:tcPr>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r>
              <w:rPr>
                <w:rFonts w:hint="eastAsia" w:ascii="楷体" w:hAnsi="楷体" w:eastAsia="楷体"/>
                <w:sz w:val="24"/>
                <w:szCs w:val="24"/>
              </w:rPr>
              <w:t xml:space="preserve">9.2 </w:t>
            </w:r>
          </w:p>
        </w:tc>
        <w:tc>
          <w:tcPr>
            <w:tcW w:w="10004" w:type="dxa"/>
          </w:tcPr>
          <w:p>
            <w:pPr>
              <w:spacing w:line="360" w:lineRule="auto"/>
              <w:rPr>
                <w:rFonts w:ascii="楷体" w:hAnsi="楷体" w:eastAsia="楷体"/>
                <w:color w:val="auto"/>
                <w:sz w:val="24"/>
                <w:szCs w:val="24"/>
              </w:rPr>
            </w:pPr>
            <w:r>
              <w:rPr>
                <w:rFonts w:hint="eastAsia" w:ascii="楷体" w:hAnsi="楷体" w:eastAsia="楷体"/>
                <w:color w:val="auto"/>
                <w:sz w:val="24"/>
                <w:szCs w:val="24"/>
              </w:rPr>
              <w:t>由组长董旭辉组织内部审核，查年度审核计划：提供《内部审核计划》，其内容已包括了审核目的、范围、依据。</w:t>
            </w:r>
          </w:p>
          <w:p>
            <w:pPr>
              <w:spacing w:line="360" w:lineRule="auto"/>
              <w:rPr>
                <w:rFonts w:ascii="楷体" w:hAnsi="楷体" w:eastAsia="楷体"/>
                <w:color w:val="auto"/>
                <w:sz w:val="24"/>
                <w:szCs w:val="24"/>
              </w:rPr>
            </w:pPr>
            <w:r>
              <w:rPr>
                <w:rFonts w:hint="eastAsia" w:ascii="楷体" w:hAnsi="楷体" w:eastAsia="楷体"/>
                <w:color w:val="auto"/>
                <w:sz w:val="24"/>
                <w:szCs w:val="24"/>
              </w:rPr>
              <w:t>审核组构成：组长董旭辉、组员董旭辉、任亮、安韦芳、师粉荣。</w:t>
            </w:r>
          </w:p>
          <w:p>
            <w:pPr>
              <w:spacing w:line="360" w:lineRule="auto"/>
              <w:rPr>
                <w:rFonts w:ascii="楷体" w:hAnsi="楷体" w:eastAsia="楷体"/>
                <w:color w:val="auto"/>
                <w:sz w:val="24"/>
                <w:szCs w:val="24"/>
              </w:rPr>
            </w:pPr>
            <w:r>
              <w:rPr>
                <w:rFonts w:hint="eastAsia" w:ascii="楷体" w:hAnsi="楷体" w:eastAsia="楷体"/>
                <w:color w:val="auto"/>
                <w:sz w:val="24"/>
                <w:szCs w:val="24"/>
              </w:rPr>
              <w:t>1. 审核时间</w:t>
            </w:r>
            <w:r>
              <w:rPr>
                <w:rFonts w:hint="eastAsia" w:ascii="楷体" w:hAnsi="楷体" w:eastAsia="楷体"/>
                <w:color w:val="auto"/>
                <w:sz w:val="24"/>
                <w:szCs w:val="24"/>
                <w:lang w:eastAsia="zh-CN"/>
              </w:rPr>
              <w:t>2020</w:t>
            </w:r>
            <w:r>
              <w:rPr>
                <w:rFonts w:hint="eastAsia" w:ascii="楷体" w:hAnsi="楷体" w:eastAsia="楷体"/>
                <w:color w:val="auto"/>
                <w:sz w:val="24"/>
                <w:szCs w:val="24"/>
              </w:rPr>
              <w:t>年</w:t>
            </w:r>
            <w:r>
              <w:rPr>
                <w:rFonts w:hint="eastAsia" w:ascii="楷体" w:hAnsi="楷体" w:eastAsia="楷体"/>
                <w:color w:val="auto"/>
                <w:sz w:val="24"/>
                <w:szCs w:val="24"/>
                <w:lang w:val="en-US" w:eastAsia="zh-CN"/>
              </w:rPr>
              <w:t>5</w:t>
            </w:r>
            <w:r>
              <w:rPr>
                <w:rFonts w:hint="eastAsia" w:ascii="楷体" w:hAnsi="楷体" w:eastAsia="楷体"/>
                <w:color w:val="auto"/>
                <w:sz w:val="24"/>
                <w:szCs w:val="24"/>
              </w:rPr>
              <w:t>月1</w:t>
            </w:r>
            <w:r>
              <w:rPr>
                <w:rFonts w:hint="eastAsia" w:ascii="楷体" w:hAnsi="楷体" w:eastAsia="楷体"/>
                <w:color w:val="auto"/>
                <w:sz w:val="24"/>
                <w:szCs w:val="24"/>
                <w:lang w:val="en-US" w:eastAsia="zh-CN"/>
              </w:rPr>
              <w:t>6</w:t>
            </w:r>
            <w:r>
              <w:rPr>
                <w:rFonts w:hint="eastAsia" w:ascii="楷体" w:hAnsi="楷体" w:eastAsia="楷体"/>
                <w:color w:val="auto"/>
                <w:sz w:val="24"/>
                <w:szCs w:val="24"/>
              </w:rPr>
              <w:t>日，</w:t>
            </w:r>
          </w:p>
          <w:p>
            <w:pPr>
              <w:spacing w:line="360" w:lineRule="auto"/>
              <w:rPr>
                <w:rFonts w:ascii="楷体" w:hAnsi="楷体" w:eastAsia="楷体"/>
                <w:color w:val="auto"/>
                <w:sz w:val="24"/>
                <w:szCs w:val="24"/>
              </w:rPr>
            </w:pPr>
            <w:r>
              <w:rPr>
                <w:rFonts w:hint="eastAsia" w:ascii="楷体" w:hAnsi="楷体" w:eastAsia="楷体"/>
                <w:color w:val="auto"/>
                <w:sz w:val="24"/>
                <w:szCs w:val="24"/>
              </w:rPr>
              <w:t>2.审核按计划进行，抽查检查表办公室、质量部、生产部审核记录与计划相一致，内审员经内部培训合格，能力还需加强；</w:t>
            </w:r>
          </w:p>
          <w:p>
            <w:pPr>
              <w:spacing w:line="360" w:lineRule="auto"/>
              <w:rPr>
                <w:rFonts w:ascii="楷体" w:hAnsi="楷体" w:eastAsia="楷体"/>
                <w:color w:val="auto"/>
                <w:sz w:val="24"/>
                <w:szCs w:val="24"/>
              </w:rPr>
            </w:pPr>
            <w:r>
              <w:rPr>
                <w:rFonts w:hint="eastAsia" w:ascii="楷体" w:hAnsi="楷体" w:eastAsia="楷体"/>
                <w:color w:val="auto"/>
                <w:sz w:val="24"/>
                <w:szCs w:val="24"/>
              </w:rPr>
              <w:t>审核计划已考虑到互查的公正性，无审核员审核本部门的工作，计划内容涉及各部门，条款覆盖整个体系。本次内审发现</w:t>
            </w:r>
            <w:r>
              <w:rPr>
                <w:rFonts w:hint="eastAsia" w:ascii="楷体" w:hAnsi="楷体" w:eastAsia="楷体"/>
                <w:color w:val="auto"/>
                <w:sz w:val="24"/>
                <w:szCs w:val="24"/>
                <w:lang w:val="en-US" w:eastAsia="zh-CN"/>
              </w:rPr>
              <w:t>2</w:t>
            </w:r>
            <w:r>
              <w:rPr>
                <w:rFonts w:hint="eastAsia" w:ascii="楷体" w:hAnsi="楷体" w:eastAsia="楷体"/>
                <w:color w:val="auto"/>
                <w:sz w:val="24"/>
                <w:szCs w:val="24"/>
              </w:rPr>
              <w:t>个一般不符合项，针对这</w:t>
            </w:r>
            <w:r>
              <w:rPr>
                <w:rFonts w:hint="eastAsia" w:ascii="楷体" w:hAnsi="楷体" w:eastAsia="楷体"/>
                <w:color w:val="auto"/>
                <w:sz w:val="24"/>
                <w:szCs w:val="24"/>
                <w:lang w:val="en-US" w:eastAsia="zh-CN"/>
              </w:rPr>
              <w:t>2</w:t>
            </w:r>
            <w:r>
              <w:rPr>
                <w:rFonts w:hint="eastAsia" w:ascii="楷体" w:hAnsi="楷体" w:eastAsia="楷体"/>
                <w:color w:val="auto"/>
                <w:sz w:val="24"/>
                <w:szCs w:val="24"/>
              </w:rPr>
              <w:t>个不合格，责任部门已分析了原因并采取了纠正措施，按要求进行了整改，最后内审员进行了验证，纠正措施实施有效。</w:t>
            </w:r>
          </w:p>
          <w:p>
            <w:pPr>
              <w:spacing w:line="360" w:lineRule="auto"/>
              <w:rPr>
                <w:rFonts w:ascii="楷体" w:hAnsi="楷体" w:eastAsia="楷体"/>
                <w:color w:val="auto"/>
                <w:sz w:val="24"/>
                <w:szCs w:val="24"/>
              </w:rPr>
            </w:pPr>
            <w:r>
              <w:rPr>
                <w:rFonts w:hint="eastAsia" w:ascii="楷体" w:hAnsi="楷体" w:eastAsia="楷体"/>
                <w:color w:val="auto"/>
                <w:sz w:val="24"/>
                <w:szCs w:val="24"/>
              </w:rPr>
              <w:t>内部审核结论：提供了《内部审核报告》，对现场审核进行了综述，对环境管理体系进行了符合性的综合评价，最后结论为：公司的环境管理体系基本符合标准要求，运行有效。</w:t>
            </w:r>
          </w:p>
        </w:tc>
        <w:tc>
          <w:tcPr>
            <w:tcW w:w="1585" w:type="dxa"/>
          </w:tcPr>
          <w:p>
            <w:pPr>
              <w:spacing w:line="360" w:lineRule="auto"/>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1809" w:type="dxa"/>
          </w:tcPr>
          <w:p>
            <w:pPr>
              <w:spacing w:line="360" w:lineRule="auto"/>
              <w:rPr>
                <w:rFonts w:ascii="楷体" w:hAnsi="楷体" w:eastAsia="楷体"/>
                <w:sz w:val="24"/>
                <w:szCs w:val="24"/>
              </w:rPr>
            </w:pPr>
            <w:r>
              <w:rPr>
                <w:rFonts w:hint="eastAsia" w:ascii="楷体" w:hAnsi="楷体" w:eastAsia="楷体"/>
                <w:sz w:val="24"/>
                <w:szCs w:val="24"/>
              </w:rPr>
              <w:t>不合格和纠正措施</w:t>
            </w:r>
          </w:p>
        </w:tc>
        <w:tc>
          <w:tcPr>
            <w:tcW w:w="1311" w:type="dxa"/>
          </w:tcPr>
          <w:p>
            <w:pPr>
              <w:spacing w:line="360" w:lineRule="auto"/>
              <w:rPr>
                <w:rFonts w:ascii="楷体" w:hAnsi="楷体" w:eastAsia="楷体"/>
                <w:sz w:val="24"/>
                <w:szCs w:val="24"/>
              </w:rPr>
            </w:pPr>
            <w:r>
              <w:rPr>
                <w:rFonts w:hint="eastAsia" w:ascii="楷体" w:hAnsi="楷体" w:eastAsia="楷体"/>
                <w:sz w:val="24"/>
                <w:szCs w:val="24"/>
              </w:rPr>
              <w:t>10.2</w:t>
            </w:r>
          </w:p>
        </w:tc>
        <w:tc>
          <w:tcPr>
            <w:tcW w:w="10004" w:type="dxa"/>
          </w:tcPr>
          <w:p>
            <w:pPr>
              <w:spacing w:line="360" w:lineRule="auto"/>
              <w:ind w:firstLine="480" w:firstLineChars="200"/>
              <w:rPr>
                <w:rFonts w:ascii="楷体" w:hAnsi="楷体" w:eastAsia="楷体"/>
                <w:sz w:val="24"/>
                <w:szCs w:val="24"/>
              </w:rPr>
            </w:pPr>
            <w:r>
              <w:rPr>
                <w:rFonts w:hint="eastAsia" w:ascii="楷体" w:hAnsi="楷体" w:eastAsia="楷体"/>
                <w:sz w:val="24"/>
                <w:szCs w:val="24"/>
              </w:rPr>
              <w:t>管理者代表根据总经理意图组织持续改进过程的策划工作，由办公室实施持续改进过程的管理。公司体系运行的持续改进，是通过方针、目标、管理方案的制定与实施，通过内外部的审核结果，管理评审的开展，分析和评价结果、纠正预防措施的实施，促进管理体系的持续改进。并通过对各项工作的考核，不断提出改进要求，全员的环境意识有较大的提高，持续改进了管理体系的有效性。</w:t>
            </w:r>
          </w:p>
        </w:tc>
        <w:tc>
          <w:tcPr>
            <w:tcW w:w="1585" w:type="dxa"/>
          </w:tcPr>
          <w:p>
            <w:pPr>
              <w:spacing w:line="360" w:lineRule="auto"/>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1809" w:type="dxa"/>
            <w:vAlign w:val="center"/>
          </w:tcPr>
          <w:p>
            <w:pPr>
              <w:spacing w:line="360" w:lineRule="auto"/>
              <w:rPr>
                <w:rFonts w:ascii="楷体" w:hAnsi="楷体" w:eastAsia="楷体"/>
                <w:sz w:val="24"/>
                <w:szCs w:val="24"/>
              </w:rPr>
            </w:pPr>
          </w:p>
        </w:tc>
        <w:tc>
          <w:tcPr>
            <w:tcW w:w="1311" w:type="dxa"/>
          </w:tcPr>
          <w:p>
            <w:pPr>
              <w:spacing w:line="360" w:lineRule="auto"/>
              <w:rPr>
                <w:rFonts w:ascii="楷体" w:hAnsi="楷体" w:eastAsia="楷体" w:cs="Arial"/>
                <w:bCs/>
                <w:sz w:val="24"/>
                <w:szCs w:val="24"/>
              </w:rPr>
            </w:pPr>
          </w:p>
        </w:tc>
        <w:tc>
          <w:tcPr>
            <w:tcW w:w="10004" w:type="dxa"/>
          </w:tcPr>
          <w:p>
            <w:pPr>
              <w:snapToGrid w:val="0"/>
              <w:spacing w:line="360" w:lineRule="auto"/>
              <w:ind w:firstLine="480" w:firstLineChars="200"/>
              <w:rPr>
                <w:rFonts w:ascii="楷体" w:hAnsi="楷体" w:eastAsia="楷体" w:cs="Arial"/>
                <w:bCs/>
                <w:sz w:val="24"/>
                <w:szCs w:val="24"/>
              </w:rPr>
            </w:pPr>
          </w:p>
        </w:tc>
        <w:tc>
          <w:tcPr>
            <w:tcW w:w="1585" w:type="dxa"/>
          </w:tcPr>
          <w:p>
            <w:pPr>
              <w:spacing w:line="360" w:lineRule="auto"/>
              <w:rPr>
                <w:rFonts w:ascii="楷体" w:hAnsi="楷体" w:eastAsia="楷体"/>
                <w:sz w:val="24"/>
                <w:szCs w:val="24"/>
              </w:rPr>
            </w:pPr>
          </w:p>
        </w:tc>
      </w:tr>
    </w:tbl>
    <w:p>
      <w:pPr>
        <w:rPr>
          <w:rFonts w:ascii="楷体" w:hAnsi="楷体" w:eastAsia="楷体"/>
        </w:rPr>
      </w:pPr>
      <w:r>
        <w:rPr>
          <w:rFonts w:ascii="楷体" w:hAnsi="楷体" w:eastAsia="楷体"/>
        </w:rPr>
        <w:ptab w:relativeTo="margin" w:alignment="center" w:leader="none"/>
      </w:r>
    </w:p>
    <w:p>
      <w:pPr>
        <w:rPr>
          <w:rFonts w:ascii="楷体" w:hAnsi="楷体" w:eastAsia="楷体"/>
        </w:rPr>
      </w:pPr>
    </w:p>
    <w:p>
      <w:pPr>
        <w:pStyle w:val="3"/>
        <w:rPr>
          <w:rFonts w:ascii="楷体" w:hAnsi="楷体" w:eastAsia="楷体"/>
        </w:rPr>
      </w:pPr>
      <w:r>
        <w:rPr>
          <w:rFonts w:hint="eastAsia" w:ascii="楷体" w:hAnsi="楷体" w:eastAsia="楷体"/>
        </w:rPr>
        <w:t>说明：不符合标注N</w:t>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SimSun-Identity-H">
    <w:altName w:val="宋体"/>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3"/>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3</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14</w:t>
            </w:r>
            <w:r>
              <w:rPr>
                <w:b/>
                <w:sz w:val="24"/>
                <w:szCs w:val="24"/>
              </w:rPr>
              <w:fldChar w:fldCharType="end"/>
            </w:r>
          </w:p>
        </w:sdtContent>
      </w:sdt>
    </w:sdtContent>
  </w:sdt>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tabs>
        <w:tab w:val="left" w:pos="8910"/>
        <w:tab w:val="left" w:pos="9142"/>
        <w:tab w:val="clear" w:pos="4153"/>
      </w:tabs>
      <w:spacing w:line="320" w:lineRule="exact"/>
      <w:ind w:left="-86" w:leftChars="-41" w:firstLine="810" w:firstLineChars="450"/>
      <w:jc w:val="left"/>
      <w:rPr>
        <w:rStyle w:val="10"/>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0"/>
        <w:rFonts w:hint="default"/>
      </w:rPr>
      <w:t>北京国标联合认证有限公司</w:t>
    </w:r>
    <w:r>
      <w:rPr>
        <w:rStyle w:val="10"/>
        <w:rFonts w:hint="default"/>
      </w:rPr>
      <w:tab/>
    </w:r>
    <w:r>
      <w:rPr>
        <w:rStyle w:val="10"/>
        <w:rFonts w:hint="default"/>
      </w:rPr>
      <w:tab/>
    </w:r>
    <w:r>
      <w:rPr>
        <w:rStyle w:val="10"/>
        <w:rFonts w:hint="default"/>
      </w:rPr>
      <w:tab/>
    </w:r>
  </w:p>
  <w:p>
    <w:pPr>
      <w:pStyle w:val="4"/>
      <w:pBdr>
        <w:bottom w:val="none" w:color="auto" w:sz="0" w:space="1"/>
      </w:pBdr>
      <w:spacing w:line="320" w:lineRule="exact"/>
      <w:jc w:val="left"/>
    </w:pPr>
    <w:r>
      <w:pict>
        <v:shape id="文本框 1" o:spid="_x0000_s2050" o:spt="202" type="#_x0000_t202" style="position:absolute;left:0pt;margin-left:554.75pt;margin-top:2.2pt;height:20.2pt;width:172pt;z-index:251661312;mso-width-relative:page;mso-height-relative:page;" stroked="f" coordsize="21600,21600"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v:path/>
          <v:fill focussize="0,0"/>
          <v:stroke on="f" joinstyle="miter"/>
          <v:imagedata o:title=""/>
          <o:lock v:ext="edit"/>
          <v:textbox>
            <w:txbxContent>
              <w:p>
                <w:r>
                  <w:rPr>
                    <w:rFonts w:hint="eastAsia"/>
                    <w:sz w:val="18"/>
                    <w:szCs w:val="18"/>
                  </w:rPr>
                  <w:t>ISC-B-II-12 管理体系审核记录表(03版)</w:t>
                </w:r>
              </w:p>
            </w:txbxContent>
          </v:textbox>
        </v:shape>
      </w:pict>
    </w:r>
    <w:r>
      <w:rPr>
        <w:rStyle w:val="10"/>
        <w:rFonts w:hint="default"/>
      </w:rPr>
      <w:t xml:space="preserve">        </w:t>
    </w:r>
    <w:r>
      <w:rPr>
        <w:rStyle w:val="10"/>
        <w:rFonts w:hint="default"/>
        <w:w w:val="90"/>
      </w:rPr>
      <w:t>Beijing International Standard united Certification Co.,Ltd.</w:t>
    </w:r>
    <w:r>
      <w:rPr>
        <w:rStyle w:val="10"/>
        <w:rFonts w:hint="default"/>
        <w:w w:val="90"/>
        <w:szCs w:val="21"/>
      </w:rPr>
      <w:t xml:space="preserve">  </w:t>
    </w:r>
    <w:r>
      <w:rPr>
        <w:rStyle w:val="10"/>
        <w:rFonts w:hint="default"/>
        <w:w w:val="90"/>
        <w:sz w:val="20"/>
      </w:rPr>
      <w:t xml:space="preserve"> </w:t>
    </w:r>
    <w:r>
      <w:rPr>
        <w:rStyle w:val="10"/>
        <w:rFonts w:hint="default"/>
        <w:w w:val="90"/>
      </w:rPr>
      <w:t xml:space="preserve">                   </w:t>
    </w:r>
  </w:p>
  <w:p>
    <w:pPr>
      <w:pStyle w:val="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0252A"/>
    <w:rsid w:val="00004817"/>
    <w:rsid w:val="0000489C"/>
    <w:rsid w:val="00010A8E"/>
    <w:rsid w:val="00011131"/>
    <w:rsid w:val="000214B6"/>
    <w:rsid w:val="000235CA"/>
    <w:rsid w:val="0002531E"/>
    <w:rsid w:val="00030AA3"/>
    <w:rsid w:val="00032F7B"/>
    <w:rsid w:val="0003373A"/>
    <w:rsid w:val="000412F6"/>
    <w:rsid w:val="00042D65"/>
    <w:rsid w:val="0005199E"/>
    <w:rsid w:val="0005359F"/>
    <w:rsid w:val="0005697E"/>
    <w:rsid w:val="000579CF"/>
    <w:rsid w:val="00060140"/>
    <w:rsid w:val="00065492"/>
    <w:rsid w:val="0008023B"/>
    <w:rsid w:val="00082216"/>
    <w:rsid w:val="00082398"/>
    <w:rsid w:val="000849D2"/>
    <w:rsid w:val="000877AB"/>
    <w:rsid w:val="00093FDD"/>
    <w:rsid w:val="000A5E44"/>
    <w:rsid w:val="000B1394"/>
    <w:rsid w:val="000B40BD"/>
    <w:rsid w:val="000B4ACA"/>
    <w:rsid w:val="000C123B"/>
    <w:rsid w:val="000C162C"/>
    <w:rsid w:val="000C3C79"/>
    <w:rsid w:val="000C7911"/>
    <w:rsid w:val="000D32BB"/>
    <w:rsid w:val="000D5401"/>
    <w:rsid w:val="000D697A"/>
    <w:rsid w:val="000E2B69"/>
    <w:rsid w:val="000E7EF7"/>
    <w:rsid w:val="000F35F1"/>
    <w:rsid w:val="000F5F5A"/>
    <w:rsid w:val="00101BDE"/>
    <w:rsid w:val="001022F1"/>
    <w:rsid w:val="001037D5"/>
    <w:rsid w:val="001100F4"/>
    <w:rsid w:val="001149D1"/>
    <w:rsid w:val="00124A3B"/>
    <w:rsid w:val="00125F87"/>
    <w:rsid w:val="00126162"/>
    <w:rsid w:val="001345D8"/>
    <w:rsid w:val="001437F6"/>
    <w:rsid w:val="00145688"/>
    <w:rsid w:val="00151406"/>
    <w:rsid w:val="00151B98"/>
    <w:rsid w:val="00156AF7"/>
    <w:rsid w:val="001677C1"/>
    <w:rsid w:val="00176411"/>
    <w:rsid w:val="00180285"/>
    <w:rsid w:val="00181073"/>
    <w:rsid w:val="001918ED"/>
    <w:rsid w:val="00192A7F"/>
    <w:rsid w:val="00197FAD"/>
    <w:rsid w:val="001A0040"/>
    <w:rsid w:val="001A2D7F"/>
    <w:rsid w:val="001A3DF8"/>
    <w:rsid w:val="001A572D"/>
    <w:rsid w:val="001B3708"/>
    <w:rsid w:val="001B6D1E"/>
    <w:rsid w:val="001D3A47"/>
    <w:rsid w:val="001D4AD8"/>
    <w:rsid w:val="001D54FF"/>
    <w:rsid w:val="001E1974"/>
    <w:rsid w:val="001E39A8"/>
    <w:rsid w:val="001E57EA"/>
    <w:rsid w:val="001F00D7"/>
    <w:rsid w:val="001F0E74"/>
    <w:rsid w:val="001F4B9E"/>
    <w:rsid w:val="001F581C"/>
    <w:rsid w:val="00202BC2"/>
    <w:rsid w:val="00214113"/>
    <w:rsid w:val="00215081"/>
    <w:rsid w:val="002221D5"/>
    <w:rsid w:val="00222532"/>
    <w:rsid w:val="00223BE3"/>
    <w:rsid w:val="00233B02"/>
    <w:rsid w:val="00234FA5"/>
    <w:rsid w:val="00237445"/>
    <w:rsid w:val="00237878"/>
    <w:rsid w:val="00256D61"/>
    <w:rsid w:val="00260151"/>
    <w:rsid w:val="002651A6"/>
    <w:rsid w:val="00277EAD"/>
    <w:rsid w:val="0028428D"/>
    <w:rsid w:val="002973F0"/>
    <w:rsid w:val="002975C1"/>
    <w:rsid w:val="002A0E6E"/>
    <w:rsid w:val="002A33CC"/>
    <w:rsid w:val="002B1808"/>
    <w:rsid w:val="002C1ACE"/>
    <w:rsid w:val="002C3E0D"/>
    <w:rsid w:val="002D41FB"/>
    <w:rsid w:val="002E0587"/>
    <w:rsid w:val="002E0FDE"/>
    <w:rsid w:val="002E1E1D"/>
    <w:rsid w:val="002E54D2"/>
    <w:rsid w:val="002F33E7"/>
    <w:rsid w:val="00306C8C"/>
    <w:rsid w:val="003224A1"/>
    <w:rsid w:val="00326F44"/>
    <w:rsid w:val="00326FC1"/>
    <w:rsid w:val="00337922"/>
    <w:rsid w:val="00340867"/>
    <w:rsid w:val="00341502"/>
    <w:rsid w:val="00342857"/>
    <w:rsid w:val="0034579A"/>
    <w:rsid w:val="003466A4"/>
    <w:rsid w:val="00355BF0"/>
    <w:rsid w:val="003608CB"/>
    <w:rsid w:val="0036159B"/>
    <w:rsid w:val="003627B6"/>
    <w:rsid w:val="003708D5"/>
    <w:rsid w:val="00373382"/>
    <w:rsid w:val="00374458"/>
    <w:rsid w:val="003777AD"/>
    <w:rsid w:val="0038061A"/>
    <w:rsid w:val="0038063B"/>
    <w:rsid w:val="00380837"/>
    <w:rsid w:val="003812DF"/>
    <w:rsid w:val="00382EDD"/>
    <w:rsid w:val="003836CA"/>
    <w:rsid w:val="00385573"/>
    <w:rsid w:val="003861E2"/>
    <w:rsid w:val="00386A98"/>
    <w:rsid w:val="00394C7B"/>
    <w:rsid w:val="003A1E9C"/>
    <w:rsid w:val="003A7C94"/>
    <w:rsid w:val="003D0E86"/>
    <w:rsid w:val="003D60E0"/>
    <w:rsid w:val="003D6BE3"/>
    <w:rsid w:val="003E0E52"/>
    <w:rsid w:val="003F20A5"/>
    <w:rsid w:val="003F7CF2"/>
    <w:rsid w:val="00400B96"/>
    <w:rsid w:val="00402F6A"/>
    <w:rsid w:val="00405D5F"/>
    <w:rsid w:val="00410370"/>
    <w:rsid w:val="00410914"/>
    <w:rsid w:val="00415AA3"/>
    <w:rsid w:val="00415D90"/>
    <w:rsid w:val="00420C60"/>
    <w:rsid w:val="00430432"/>
    <w:rsid w:val="00433759"/>
    <w:rsid w:val="0043494E"/>
    <w:rsid w:val="004414A5"/>
    <w:rsid w:val="00452E7C"/>
    <w:rsid w:val="00456697"/>
    <w:rsid w:val="00462AA6"/>
    <w:rsid w:val="00463C32"/>
    <w:rsid w:val="004654D1"/>
    <w:rsid w:val="00465FE1"/>
    <w:rsid w:val="004727C9"/>
    <w:rsid w:val="004750FD"/>
    <w:rsid w:val="00475491"/>
    <w:rsid w:val="0048097F"/>
    <w:rsid w:val="00481002"/>
    <w:rsid w:val="004869FB"/>
    <w:rsid w:val="00491735"/>
    <w:rsid w:val="004926B3"/>
    <w:rsid w:val="00494A46"/>
    <w:rsid w:val="00494C7B"/>
    <w:rsid w:val="004962AC"/>
    <w:rsid w:val="00496372"/>
    <w:rsid w:val="004B217F"/>
    <w:rsid w:val="004B3E7F"/>
    <w:rsid w:val="004C07FE"/>
    <w:rsid w:val="004C3690"/>
    <w:rsid w:val="004C3A5F"/>
    <w:rsid w:val="004D3E4C"/>
    <w:rsid w:val="004D4458"/>
    <w:rsid w:val="004D4B22"/>
    <w:rsid w:val="004E59CF"/>
    <w:rsid w:val="004E5BD5"/>
    <w:rsid w:val="004F185D"/>
    <w:rsid w:val="00502D28"/>
    <w:rsid w:val="005056ED"/>
    <w:rsid w:val="00517E4C"/>
    <w:rsid w:val="00521CF0"/>
    <w:rsid w:val="0053208B"/>
    <w:rsid w:val="00534814"/>
    <w:rsid w:val="00534DD9"/>
    <w:rsid w:val="00536930"/>
    <w:rsid w:val="00560A2A"/>
    <w:rsid w:val="00564E53"/>
    <w:rsid w:val="00572CCA"/>
    <w:rsid w:val="005745EC"/>
    <w:rsid w:val="00583277"/>
    <w:rsid w:val="00583BED"/>
    <w:rsid w:val="00592857"/>
    <w:rsid w:val="00592C3E"/>
    <w:rsid w:val="005A000F"/>
    <w:rsid w:val="005A4C5B"/>
    <w:rsid w:val="005B173D"/>
    <w:rsid w:val="005B6888"/>
    <w:rsid w:val="005C0D1F"/>
    <w:rsid w:val="005C4CA2"/>
    <w:rsid w:val="005C5115"/>
    <w:rsid w:val="005D0D01"/>
    <w:rsid w:val="005D22A5"/>
    <w:rsid w:val="005E33D9"/>
    <w:rsid w:val="005F2334"/>
    <w:rsid w:val="005F4AF1"/>
    <w:rsid w:val="005F6C65"/>
    <w:rsid w:val="006006C4"/>
    <w:rsid w:val="00600F02"/>
    <w:rsid w:val="0060444D"/>
    <w:rsid w:val="00610C94"/>
    <w:rsid w:val="00621348"/>
    <w:rsid w:val="00621D29"/>
    <w:rsid w:val="00630A26"/>
    <w:rsid w:val="006361FB"/>
    <w:rsid w:val="00642776"/>
    <w:rsid w:val="00644FE2"/>
    <w:rsid w:val="00645FB8"/>
    <w:rsid w:val="00651986"/>
    <w:rsid w:val="00652DFC"/>
    <w:rsid w:val="006545E8"/>
    <w:rsid w:val="00656E2A"/>
    <w:rsid w:val="006627EE"/>
    <w:rsid w:val="00662FF2"/>
    <w:rsid w:val="00664736"/>
    <w:rsid w:val="00665980"/>
    <w:rsid w:val="00673E66"/>
    <w:rsid w:val="0067581B"/>
    <w:rsid w:val="0067640C"/>
    <w:rsid w:val="0068007F"/>
    <w:rsid w:val="006807B1"/>
    <w:rsid w:val="006836D9"/>
    <w:rsid w:val="00686072"/>
    <w:rsid w:val="00695256"/>
    <w:rsid w:val="00695570"/>
    <w:rsid w:val="00696AF1"/>
    <w:rsid w:val="006A0DCD"/>
    <w:rsid w:val="006A3B31"/>
    <w:rsid w:val="006A68F3"/>
    <w:rsid w:val="006B0BEB"/>
    <w:rsid w:val="006B4127"/>
    <w:rsid w:val="006B6EE2"/>
    <w:rsid w:val="006B72BE"/>
    <w:rsid w:val="006C04DD"/>
    <w:rsid w:val="006C24BF"/>
    <w:rsid w:val="006C40B9"/>
    <w:rsid w:val="006C5AA3"/>
    <w:rsid w:val="006E407E"/>
    <w:rsid w:val="006E678B"/>
    <w:rsid w:val="006F7C2F"/>
    <w:rsid w:val="0070237F"/>
    <w:rsid w:val="0070367F"/>
    <w:rsid w:val="00712F3C"/>
    <w:rsid w:val="00714173"/>
    <w:rsid w:val="00715738"/>
    <w:rsid w:val="0071649B"/>
    <w:rsid w:val="007170AA"/>
    <w:rsid w:val="00722449"/>
    <w:rsid w:val="007273CC"/>
    <w:rsid w:val="00730F43"/>
    <w:rsid w:val="00732B66"/>
    <w:rsid w:val="00734814"/>
    <w:rsid w:val="00736C7A"/>
    <w:rsid w:val="00737C8F"/>
    <w:rsid w:val="007406DE"/>
    <w:rsid w:val="00741CA3"/>
    <w:rsid w:val="00743E79"/>
    <w:rsid w:val="00744BEA"/>
    <w:rsid w:val="00751532"/>
    <w:rsid w:val="00751C37"/>
    <w:rsid w:val="0075769B"/>
    <w:rsid w:val="007664EF"/>
    <w:rsid w:val="007757F3"/>
    <w:rsid w:val="00775945"/>
    <w:rsid w:val="007815DC"/>
    <w:rsid w:val="007910AF"/>
    <w:rsid w:val="007A168A"/>
    <w:rsid w:val="007A47FB"/>
    <w:rsid w:val="007A621C"/>
    <w:rsid w:val="007A637D"/>
    <w:rsid w:val="007B106B"/>
    <w:rsid w:val="007B275D"/>
    <w:rsid w:val="007D25A2"/>
    <w:rsid w:val="007D77E6"/>
    <w:rsid w:val="007E4421"/>
    <w:rsid w:val="007E6AEB"/>
    <w:rsid w:val="007F01EC"/>
    <w:rsid w:val="007F4F96"/>
    <w:rsid w:val="007F69CE"/>
    <w:rsid w:val="007F7DF2"/>
    <w:rsid w:val="00805D85"/>
    <w:rsid w:val="008079FA"/>
    <w:rsid w:val="00810D58"/>
    <w:rsid w:val="008252FE"/>
    <w:rsid w:val="00832168"/>
    <w:rsid w:val="00832BCD"/>
    <w:rsid w:val="008353F3"/>
    <w:rsid w:val="00835B31"/>
    <w:rsid w:val="00841149"/>
    <w:rsid w:val="00843E60"/>
    <w:rsid w:val="00854CE0"/>
    <w:rsid w:val="0085565C"/>
    <w:rsid w:val="008646DE"/>
    <w:rsid w:val="0086487E"/>
    <w:rsid w:val="00864902"/>
    <w:rsid w:val="00864BE7"/>
    <w:rsid w:val="00865200"/>
    <w:rsid w:val="00871662"/>
    <w:rsid w:val="00871695"/>
    <w:rsid w:val="00886221"/>
    <w:rsid w:val="00891C25"/>
    <w:rsid w:val="008942F3"/>
    <w:rsid w:val="00895162"/>
    <w:rsid w:val="00895CD0"/>
    <w:rsid w:val="008973EE"/>
    <w:rsid w:val="008A3BE8"/>
    <w:rsid w:val="008A45D1"/>
    <w:rsid w:val="008D089D"/>
    <w:rsid w:val="008E4ACD"/>
    <w:rsid w:val="008F0B04"/>
    <w:rsid w:val="008F7C55"/>
    <w:rsid w:val="00903041"/>
    <w:rsid w:val="00912EC2"/>
    <w:rsid w:val="00925E9B"/>
    <w:rsid w:val="00927A5E"/>
    <w:rsid w:val="00930694"/>
    <w:rsid w:val="0093521F"/>
    <w:rsid w:val="0094313D"/>
    <w:rsid w:val="00945677"/>
    <w:rsid w:val="00955B84"/>
    <w:rsid w:val="00962F78"/>
    <w:rsid w:val="009635D2"/>
    <w:rsid w:val="0096609F"/>
    <w:rsid w:val="009666D5"/>
    <w:rsid w:val="00971600"/>
    <w:rsid w:val="00977143"/>
    <w:rsid w:val="00984342"/>
    <w:rsid w:val="009973B4"/>
    <w:rsid w:val="00997ED5"/>
    <w:rsid w:val="009A1F39"/>
    <w:rsid w:val="009A2CBA"/>
    <w:rsid w:val="009A7CA5"/>
    <w:rsid w:val="009B7EB8"/>
    <w:rsid w:val="009D56D9"/>
    <w:rsid w:val="009E30DA"/>
    <w:rsid w:val="009E6193"/>
    <w:rsid w:val="009E7DD1"/>
    <w:rsid w:val="009F54EA"/>
    <w:rsid w:val="009F7EED"/>
    <w:rsid w:val="00A11CE2"/>
    <w:rsid w:val="00A138EC"/>
    <w:rsid w:val="00A141BA"/>
    <w:rsid w:val="00A16BEC"/>
    <w:rsid w:val="00A207A9"/>
    <w:rsid w:val="00A213BB"/>
    <w:rsid w:val="00A242B7"/>
    <w:rsid w:val="00A30AF3"/>
    <w:rsid w:val="00A41ECE"/>
    <w:rsid w:val="00A71BDD"/>
    <w:rsid w:val="00A74274"/>
    <w:rsid w:val="00A801DE"/>
    <w:rsid w:val="00A90A22"/>
    <w:rsid w:val="00A9370D"/>
    <w:rsid w:val="00A971DB"/>
    <w:rsid w:val="00A97734"/>
    <w:rsid w:val="00AA5AAA"/>
    <w:rsid w:val="00AA7F40"/>
    <w:rsid w:val="00AB41FC"/>
    <w:rsid w:val="00AB7D2F"/>
    <w:rsid w:val="00AD1550"/>
    <w:rsid w:val="00AD1604"/>
    <w:rsid w:val="00AD59BA"/>
    <w:rsid w:val="00AD6F34"/>
    <w:rsid w:val="00AE173F"/>
    <w:rsid w:val="00AE5F74"/>
    <w:rsid w:val="00AF08A3"/>
    <w:rsid w:val="00AF0AAB"/>
    <w:rsid w:val="00AF566B"/>
    <w:rsid w:val="00AF616B"/>
    <w:rsid w:val="00B01A4E"/>
    <w:rsid w:val="00B01BD1"/>
    <w:rsid w:val="00B0458E"/>
    <w:rsid w:val="00B047A6"/>
    <w:rsid w:val="00B0685B"/>
    <w:rsid w:val="00B17BD9"/>
    <w:rsid w:val="00B23030"/>
    <w:rsid w:val="00B237B9"/>
    <w:rsid w:val="00B23CAA"/>
    <w:rsid w:val="00B31564"/>
    <w:rsid w:val="00B410EE"/>
    <w:rsid w:val="00B660B0"/>
    <w:rsid w:val="00B771B1"/>
    <w:rsid w:val="00B8202D"/>
    <w:rsid w:val="00B84EF9"/>
    <w:rsid w:val="00B929FD"/>
    <w:rsid w:val="00B94D34"/>
    <w:rsid w:val="00B95B99"/>
    <w:rsid w:val="00B95F69"/>
    <w:rsid w:val="00BA54F6"/>
    <w:rsid w:val="00BB518C"/>
    <w:rsid w:val="00BC2015"/>
    <w:rsid w:val="00BC5975"/>
    <w:rsid w:val="00BC71B0"/>
    <w:rsid w:val="00BD6B80"/>
    <w:rsid w:val="00BD6CAC"/>
    <w:rsid w:val="00BE46EF"/>
    <w:rsid w:val="00BE6BCD"/>
    <w:rsid w:val="00BF4D90"/>
    <w:rsid w:val="00BF4F01"/>
    <w:rsid w:val="00BF597E"/>
    <w:rsid w:val="00C0184C"/>
    <w:rsid w:val="00C03098"/>
    <w:rsid w:val="00C04EF2"/>
    <w:rsid w:val="00C14685"/>
    <w:rsid w:val="00C17048"/>
    <w:rsid w:val="00C31C73"/>
    <w:rsid w:val="00C3771E"/>
    <w:rsid w:val="00C40DA5"/>
    <w:rsid w:val="00C43C47"/>
    <w:rsid w:val="00C46AF9"/>
    <w:rsid w:val="00C51A36"/>
    <w:rsid w:val="00C52C62"/>
    <w:rsid w:val="00C548BE"/>
    <w:rsid w:val="00C55228"/>
    <w:rsid w:val="00C569F9"/>
    <w:rsid w:val="00C67E19"/>
    <w:rsid w:val="00C67E47"/>
    <w:rsid w:val="00C71E85"/>
    <w:rsid w:val="00C75CF5"/>
    <w:rsid w:val="00C80D44"/>
    <w:rsid w:val="00C86F9B"/>
    <w:rsid w:val="00C87FEE"/>
    <w:rsid w:val="00C920A9"/>
    <w:rsid w:val="00CA6500"/>
    <w:rsid w:val="00CB0B65"/>
    <w:rsid w:val="00CB260B"/>
    <w:rsid w:val="00CB32AC"/>
    <w:rsid w:val="00CC3579"/>
    <w:rsid w:val="00CC43C5"/>
    <w:rsid w:val="00CE2A9E"/>
    <w:rsid w:val="00CE315A"/>
    <w:rsid w:val="00CE7BE1"/>
    <w:rsid w:val="00CF147A"/>
    <w:rsid w:val="00CF1726"/>
    <w:rsid w:val="00CF5BEE"/>
    <w:rsid w:val="00CF615B"/>
    <w:rsid w:val="00CF6C5C"/>
    <w:rsid w:val="00D00082"/>
    <w:rsid w:val="00D04E08"/>
    <w:rsid w:val="00D06F59"/>
    <w:rsid w:val="00D207FD"/>
    <w:rsid w:val="00D31D43"/>
    <w:rsid w:val="00D32C89"/>
    <w:rsid w:val="00D3392D"/>
    <w:rsid w:val="00D429D7"/>
    <w:rsid w:val="00D432BA"/>
    <w:rsid w:val="00D44F57"/>
    <w:rsid w:val="00D46934"/>
    <w:rsid w:val="00D55E69"/>
    <w:rsid w:val="00D562F6"/>
    <w:rsid w:val="00D6092B"/>
    <w:rsid w:val="00D763FC"/>
    <w:rsid w:val="00D8388C"/>
    <w:rsid w:val="00D8465F"/>
    <w:rsid w:val="00D93BCF"/>
    <w:rsid w:val="00D93CE5"/>
    <w:rsid w:val="00D94A94"/>
    <w:rsid w:val="00DA0605"/>
    <w:rsid w:val="00DA0DF0"/>
    <w:rsid w:val="00DA15B3"/>
    <w:rsid w:val="00DB30A0"/>
    <w:rsid w:val="00DB3A7B"/>
    <w:rsid w:val="00DB49C7"/>
    <w:rsid w:val="00DB7048"/>
    <w:rsid w:val="00DC3DCB"/>
    <w:rsid w:val="00DC5D24"/>
    <w:rsid w:val="00DC6922"/>
    <w:rsid w:val="00DD0554"/>
    <w:rsid w:val="00DD3D68"/>
    <w:rsid w:val="00DE053D"/>
    <w:rsid w:val="00DE146D"/>
    <w:rsid w:val="00DE2D80"/>
    <w:rsid w:val="00DE6FCE"/>
    <w:rsid w:val="00DF4E02"/>
    <w:rsid w:val="00DF76DB"/>
    <w:rsid w:val="00E038E4"/>
    <w:rsid w:val="00E10958"/>
    <w:rsid w:val="00E10DB7"/>
    <w:rsid w:val="00E13D9A"/>
    <w:rsid w:val="00E15335"/>
    <w:rsid w:val="00E2412D"/>
    <w:rsid w:val="00E306F3"/>
    <w:rsid w:val="00E32D13"/>
    <w:rsid w:val="00E361FB"/>
    <w:rsid w:val="00E43822"/>
    <w:rsid w:val="00E43B4F"/>
    <w:rsid w:val="00E4616C"/>
    <w:rsid w:val="00E54035"/>
    <w:rsid w:val="00E60BC6"/>
    <w:rsid w:val="00E62996"/>
    <w:rsid w:val="00E63714"/>
    <w:rsid w:val="00E64A51"/>
    <w:rsid w:val="00E64DE9"/>
    <w:rsid w:val="00E761A3"/>
    <w:rsid w:val="00E910C0"/>
    <w:rsid w:val="00E95DCA"/>
    <w:rsid w:val="00E97424"/>
    <w:rsid w:val="00EA105E"/>
    <w:rsid w:val="00EA2B20"/>
    <w:rsid w:val="00EA55F7"/>
    <w:rsid w:val="00EB0164"/>
    <w:rsid w:val="00EB65F7"/>
    <w:rsid w:val="00EC42F5"/>
    <w:rsid w:val="00ED0F62"/>
    <w:rsid w:val="00EE31A4"/>
    <w:rsid w:val="00EE342C"/>
    <w:rsid w:val="00EE4E99"/>
    <w:rsid w:val="00EE5681"/>
    <w:rsid w:val="00EF36E7"/>
    <w:rsid w:val="00F00528"/>
    <w:rsid w:val="00F06D09"/>
    <w:rsid w:val="00F0761A"/>
    <w:rsid w:val="00F11201"/>
    <w:rsid w:val="00F120B5"/>
    <w:rsid w:val="00F120D0"/>
    <w:rsid w:val="00F14D99"/>
    <w:rsid w:val="00F218AE"/>
    <w:rsid w:val="00F2791D"/>
    <w:rsid w:val="00F32CB9"/>
    <w:rsid w:val="00F33729"/>
    <w:rsid w:val="00F35CD7"/>
    <w:rsid w:val="00F4469B"/>
    <w:rsid w:val="00F45330"/>
    <w:rsid w:val="00F47D7D"/>
    <w:rsid w:val="00F57725"/>
    <w:rsid w:val="00F606E1"/>
    <w:rsid w:val="00F614F5"/>
    <w:rsid w:val="00F6176E"/>
    <w:rsid w:val="00F6739D"/>
    <w:rsid w:val="00F83639"/>
    <w:rsid w:val="00F840C3"/>
    <w:rsid w:val="00F856F5"/>
    <w:rsid w:val="00F93F58"/>
    <w:rsid w:val="00F956F5"/>
    <w:rsid w:val="00FA0833"/>
    <w:rsid w:val="00FA2A1D"/>
    <w:rsid w:val="00FA350D"/>
    <w:rsid w:val="00FB03C3"/>
    <w:rsid w:val="00FB136A"/>
    <w:rsid w:val="00FB5A65"/>
    <w:rsid w:val="00FC4C8F"/>
    <w:rsid w:val="00FD2869"/>
    <w:rsid w:val="00FD4D2E"/>
    <w:rsid w:val="00FD56BE"/>
    <w:rsid w:val="00FD5EE5"/>
    <w:rsid w:val="00FD72A6"/>
    <w:rsid w:val="00FE09C9"/>
    <w:rsid w:val="033A7B89"/>
    <w:rsid w:val="06A27FF1"/>
    <w:rsid w:val="08A3051F"/>
    <w:rsid w:val="0944017E"/>
    <w:rsid w:val="108219C2"/>
    <w:rsid w:val="112B5A64"/>
    <w:rsid w:val="128978EF"/>
    <w:rsid w:val="1449511B"/>
    <w:rsid w:val="1BA97D8A"/>
    <w:rsid w:val="1E7F39A1"/>
    <w:rsid w:val="256F6106"/>
    <w:rsid w:val="2CD83B67"/>
    <w:rsid w:val="323A3D64"/>
    <w:rsid w:val="36E21117"/>
    <w:rsid w:val="41F550F0"/>
    <w:rsid w:val="4B8241DB"/>
    <w:rsid w:val="52F053E1"/>
    <w:rsid w:val="5AE5045E"/>
    <w:rsid w:val="5EA12B9A"/>
    <w:rsid w:val="72136786"/>
    <w:rsid w:val="722F685B"/>
    <w:rsid w:val="75BE248B"/>
    <w:rsid w:val="7B52627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semiHidden/>
    <w:unhideWhenUsed/>
    <w:qFormat/>
    <w:uiPriority w:val="99"/>
    <w:rPr>
      <w:sz w:val="18"/>
      <w:szCs w:val="18"/>
    </w:rPr>
  </w:style>
  <w:style w:type="paragraph" w:styleId="3">
    <w:name w:val="footer"/>
    <w:basedOn w:val="1"/>
    <w:link w:val="8"/>
    <w:unhideWhenUsed/>
    <w:qFormat/>
    <w:uiPriority w:val="99"/>
    <w:pPr>
      <w:tabs>
        <w:tab w:val="center" w:pos="4153"/>
        <w:tab w:val="right" w:pos="8306"/>
      </w:tabs>
      <w:snapToGrid w:val="0"/>
      <w:jc w:val="left"/>
    </w:pPr>
    <w:rPr>
      <w:sz w:val="18"/>
      <w:szCs w:val="18"/>
    </w:rPr>
  </w:style>
  <w:style w:type="paragraph" w:styleId="4">
    <w:name w:val="header"/>
    <w:basedOn w:val="1"/>
    <w:link w:val="7"/>
    <w:unhideWhenUsed/>
    <w:uiPriority w:val="0"/>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uiPriority w:val="0"/>
    <w:rPr>
      <w:rFonts w:ascii="Times New Roman" w:hAnsi="Times New Roman" w:eastAsia="宋体" w:cs="Times New Roman"/>
      <w:sz w:val="18"/>
      <w:szCs w:val="18"/>
    </w:rPr>
  </w:style>
  <w:style w:type="character" w:customStyle="1" w:styleId="8">
    <w:name w:val="页脚 Char"/>
    <w:basedOn w:val="6"/>
    <w:link w:val="3"/>
    <w:qFormat/>
    <w:uiPriority w:val="99"/>
    <w:rPr>
      <w:rFonts w:ascii="Times New Roman" w:hAnsi="Times New Roman" w:eastAsia="宋体" w:cs="Times New Roman"/>
      <w:sz w:val="18"/>
      <w:szCs w:val="18"/>
    </w:rPr>
  </w:style>
  <w:style w:type="character" w:customStyle="1" w:styleId="9">
    <w:name w:val="批注框文本 Char"/>
    <w:basedOn w:val="6"/>
    <w:link w:val="2"/>
    <w:semiHidden/>
    <w:uiPriority w:val="99"/>
    <w:rPr>
      <w:rFonts w:ascii="Times New Roman" w:hAnsi="Times New Roman" w:eastAsia="宋体" w:cs="Times New Roman"/>
      <w:sz w:val="18"/>
      <w:szCs w:val="18"/>
    </w:rPr>
  </w:style>
  <w:style w:type="character" w:customStyle="1" w:styleId="10">
    <w:name w:val="Char Char1"/>
    <w:qFormat/>
    <w:locked/>
    <w:uiPriority w:val="0"/>
    <w:rPr>
      <w:rFonts w:hint="eastAsia" w:ascii="宋体" w:hAnsi="Courier New" w:eastAsia="宋体"/>
      <w:kern w:val="2"/>
      <w:sz w:val="21"/>
      <w:lang w:val="en-US" w:eastAsia="zh-CN" w:bidi="ar-SA"/>
    </w:rPr>
  </w:style>
  <w:style w:type="character" w:customStyle="1" w:styleId="11">
    <w:name w:val="fontstyle01"/>
    <w:basedOn w:val="6"/>
    <w:qFormat/>
    <w:uiPriority w:val="0"/>
    <w:rPr>
      <w:rFonts w:hint="eastAsia" w:ascii="宋体" w:hAnsi="宋体" w:eastAsia="宋体"/>
      <w:color w:val="000000"/>
      <w:sz w:val="24"/>
      <w:szCs w:val="24"/>
    </w:rPr>
  </w:style>
  <w:style w:type="character" w:customStyle="1" w:styleId="12">
    <w:name w:val="fontstyle21"/>
    <w:basedOn w:val="6"/>
    <w:qFormat/>
    <w:uiPriority w:val="0"/>
    <w:rPr>
      <w:rFonts w:hint="default" w:ascii="Times New Roman" w:hAnsi="Times New Roman" w:cs="Times New Roman"/>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887</Words>
  <Characters>5060</Characters>
  <Lines>42</Lines>
  <Paragraphs>11</Paragraphs>
  <TotalTime>9</TotalTime>
  <ScaleCrop>false</ScaleCrop>
  <LinksUpToDate>false</LinksUpToDate>
  <CharactersWithSpaces>5936</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郭力</cp:lastModifiedBy>
  <dcterms:modified xsi:type="dcterms:W3CDTF">2020-12-09T04:45:53Z</dcterms:modified>
  <cp:revision>712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