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72"/>
        <w:gridCol w:w="1120"/>
        <w:gridCol w:w="1410"/>
        <w:gridCol w:w="5"/>
        <w:gridCol w:w="983"/>
        <w:gridCol w:w="1807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赣州丰泰农业发展有限责任公司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Q：03.06.01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F：CIV-1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Q：03.06.01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F：CIV-1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7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稻谷→验收→清理→去石→磁选→砻谷→谷壳分离→谷糙分离→碾米→磁选→碾米→磁选→抛光→磁选→白米分级→长度分级→色选→计量包装→入库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稻谷</w:t>
            </w:r>
            <w:r>
              <w:rPr>
                <w:rFonts w:hint="eastAsia"/>
                <w:b/>
                <w:sz w:val="20"/>
              </w:rPr>
              <w:t>原料验收，主要控制农残超标，也有霉菌毒素指标，如黄曲霉毒素B1；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筛选、去石、磁选、色选等环节，主要控制物理危害，如小石块等；色选环节还可以对异色米进行淘汰，必要时金探等防止产品异物。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碾米等环节，主要是控制碎米率及成品得率等指标；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抛光等环节，主要是增加成品的光泽、感官更好；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农残：六六六、滴滴涕等；稻谷通过索证控制；成品委托第三方检测；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重金属：铅、镉等稻谷通过索证控制；成品委托第三方检测；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真菌毒素：黄曲霉毒素B1，成品：主要委托第三方检测；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GB/T1354-2018 大米、GB 1350-2009 稻谷、GB 13122-2016 食品安全国家标准 谷物加工卫生规范、GB 2761-2017食品安全国家标准 食品中真菌毒素限量、GB 2762-2017食品安全国家标准 食品中污染物限量、GB 2763-2021 食品安全国家标准 食品中农药最大残留限量标准等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有型式检验要求：</w:t>
            </w:r>
            <w:r>
              <w:rPr>
                <w:rFonts w:hint="eastAsia"/>
                <w:b/>
                <w:sz w:val="20"/>
              </w:rPr>
              <w:t>碎米、加工精度、不完善粒含量、水分含量、杂质、黄粒米含量、色泽气味</w:t>
            </w:r>
            <w:r>
              <w:rPr>
                <w:rFonts w:hint="eastAsia"/>
                <w:b/>
                <w:sz w:val="20"/>
                <w:lang w:val="en-US" w:eastAsia="zh-CN"/>
              </w:rPr>
              <w:t>重金属、农残、黄曲霉毒素B1</w:t>
            </w:r>
            <w:r>
              <w:rPr>
                <w:rFonts w:hint="eastAsia"/>
                <w:b/>
                <w:sz w:val="20"/>
              </w:rPr>
              <w:t>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熟悉食品安全法等相关知识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肖新龙</w:t>
            </w:r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6AF4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2021-08-31T07:58:27Z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