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天津市唐盛金属制品有限公司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Q：17.12.03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E：17.12.03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O：17.12.03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张鹏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李君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锌线材放料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lang w:eastAsia="zh-CN"/>
              </w:rPr>
              <w:t>——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粗拔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lang w:eastAsia="zh-CN"/>
              </w:rPr>
              <w:t>——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中拔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lang w:eastAsia="zh-CN"/>
              </w:rPr>
              <w:t>——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细拔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lang w:eastAsia="zh-CN"/>
              </w:rPr>
              <w:t>——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制丝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  <w:lang w:eastAsia="zh-CN"/>
              </w:rPr>
              <w:t>——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成品打包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生产任务未按时完成，设备故障，工人操作不当，控制措施：生产和服务控制程序、设备操作规程、作业指导书；特殊过程为挤出，是否从人员、设备、工艺等方面进行了确认。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废气的排放、固体废弃物排放、噪声排放、火灾的发生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cs="宋体"/>
                <w:sz w:val="21"/>
                <w:szCs w:val="21"/>
              </w:rPr>
              <w:t>环境因素的识别与评价控制程序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环境与职业健康安全运行控制程序、应急准备和响应控制程序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潜在火灾、触电、废气伤害、机械伤害、噪声伤害、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意外伤害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/>
                <w:sz w:val="21"/>
                <w:szCs w:val="21"/>
              </w:rPr>
              <w:t>危险源辨识、风险评价控制程序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环境与职业健康安全运行控制程序、应急准备和响应控制程序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质量法、合同法、环境保护法、劳动法、消防法、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安全生产法、GB T470-2008《锌锭》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外观、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耐热性、不透水性、拉力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等，符合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GB T470-2008《锌锭》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吉洁</w:t>
      </w:r>
      <w:r>
        <w:rPr>
          <w:rFonts w:hint="eastAsia" w:ascii="宋体"/>
          <w:b/>
          <w:sz w:val="18"/>
          <w:szCs w:val="18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2020.10.25</w:t>
      </w:r>
      <w:r>
        <w:rPr>
          <w:rFonts w:hint="eastAsia"/>
          <w:b/>
          <w:sz w:val="18"/>
          <w:szCs w:val="18"/>
        </w:rPr>
        <w:t xml:space="preserve">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吉洁</w:t>
      </w:r>
      <w:r>
        <w:rPr>
          <w:rFonts w:hint="eastAsia" w:ascii="宋体"/>
          <w:b/>
          <w:sz w:val="18"/>
          <w:szCs w:val="18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2020.10.25</w:t>
      </w: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BBA63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2020-11-06T09:13:33Z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