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行政部、</w:t>
      </w:r>
      <w:r>
        <w:rPr>
          <w:rFonts w:hint="eastAsia"/>
          <w:sz w:val="24"/>
          <w:szCs w:val="24"/>
          <w:lang w:val="en-US" w:eastAsia="zh-CN"/>
        </w:rPr>
        <w:t>生产技术部、营销部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>陈丽，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杨珍全，</w:t>
      </w:r>
      <w:r>
        <w:rPr>
          <w:rFonts w:hint="eastAsia"/>
          <w:sz w:val="24"/>
          <w:szCs w:val="24"/>
        </w:rPr>
        <w:t>审核时间：2020年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</w:t>
      </w:r>
    </w:p>
    <w:tbl>
      <w:tblPr>
        <w:tblStyle w:val="8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杨珍全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组织名称"/>
            <w:r>
              <w:rPr>
                <w:color w:val="000000"/>
                <w:szCs w:val="21"/>
              </w:rPr>
              <w:t>成都精久精密制造有限公司</w:t>
            </w:r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成立于1992年，主要由工具行业中高技术专业人员组成，其中有国家级专家研究员高工一名，高级工程师三名，工程师及技师多名。主营产品：各种非标刀具（天然及人造金刚石刀具，立方氮化硼刀具、各种数控刀具及超精加工刀具），各种精密加工用工装及辅具等。现有员工24人，目前经营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生产技术部、营销</w:t>
            </w:r>
            <w:r>
              <w:rPr>
                <w:rFonts w:hint="eastAsia" w:ascii="宋体" w:hAnsi="宋体"/>
                <w:szCs w:val="21"/>
                <w:lang w:eastAsia="zh-CN"/>
              </w:rPr>
              <w:t>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eastAsia="zh-CN"/>
              </w:rPr>
              <w:t>现场审核</w:t>
            </w:r>
            <w:r>
              <w:rPr>
                <w:rFonts w:hint="eastAsia" w:ascii="宋体" w:hAnsi="宋体"/>
                <w:szCs w:val="21"/>
              </w:rPr>
              <w:t>核实：任务书场所位于</w:t>
            </w:r>
            <w:bookmarkStart w:id="1" w:name="生产地址"/>
            <w:r>
              <w:t>四川省成都市新都区宝光大道南段688号</w:t>
            </w:r>
            <w:bookmarkEnd w:id="1"/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经确认，认证范围为：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非标刀具、工装夹具、检具的加工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询问负责人，主要设备为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数显高精度平面磨床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数显万能外圆磨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双精度多用磨床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万能工具磨床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光学变频曲线磨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数控电火花线切割机床</w:t>
            </w:r>
            <w:r>
              <w:rPr>
                <w:rFonts w:hint="eastAsia" w:ascii="宋体" w:hAnsi="宋体" w:cs="宋体"/>
                <w:sz w:val="21"/>
                <w:szCs w:val="21"/>
              </w:rPr>
              <w:t>、钻床、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数显座标铣床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半导体激光刻字机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Cs w:val="21"/>
              </w:rPr>
              <w:t>电脑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color w:val="auto"/>
                <w:szCs w:val="21"/>
              </w:rPr>
              <w:t>办公设备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，关键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工序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机械加工、焊接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确认过程：焊接，也是特殊过程。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体系运行时间：20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组织实际与管理体系文件化信息描述基本一致。</w:t>
            </w:r>
            <w:r>
              <w:rPr>
                <w:rFonts w:hint="eastAsia" w:ascii="宋体" w:hAnsi="宋体"/>
                <w:color w:val="auto"/>
                <w:szCs w:val="21"/>
              </w:rPr>
              <w:t>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生产技术部、营销</w:t>
            </w:r>
            <w:r>
              <w:rPr>
                <w:rFonts w:hint="eastAsia" w:ascii="宋体" w:hAnsi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《机械加工工艺装备基本术语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instrText xml:space="preserve"> HYPERLINK "http://www.csres.com/detail/193787.html" \t "http://www.csres.com/_blank" </w:instrTex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GB/T 1008-2008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;《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机械加工定位、夹紧符号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instrText xml:space="preserve"> HYPERLINK "http://www.csres.com/detail/170694.html" \t "http://www.csres.com/_blank" </w:instrTex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JB/T 5061-2006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;《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硬质合金车刀 第1部分：代号及标志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instrText xml:space="preserve"> HYPERLINK "http://www.csres.com/detail/58154.html" \t "http://www.csres.com/_blank" </w:instrTex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GB/T 17985.1-2000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；《硬质合金车刀 第2部分：外表面车刀》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instrText xml:space="preserve"> HYPERLINK "http://www.csres.com/detail/58154.html" \t "http://www.csres.com/_blank" </w:instrTex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GB/T 17985.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-2000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；《硬质合金车刀 第3部分：内表面车刀》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instrText xml:space="preserve"> HYPERLINK "http://www.csres.com/detail/58154.html" \t "http://www.csres.com/_blank" </w:instrTex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GB/T 17985.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-2000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；《</w:t>
            </w:r>
            <w:r>
              <w:rPr>
                <w:rFonts w:hint="eastAsia" w:ascii="宋体" w:hAnsi="宋体"/>
                <w:sz w:val="21"/>
                <w:szCs w:val="21"/>
              </w:rPr>
              <w:t>机夹切断车刀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10953-2006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；《</w:t>
            </w:r>
            <w:r>
              <w:rPr>
                <w:rFonts w:hint="eastAsia" w:ascii="宋体" w:hAnsi="宋体"/>
                <w:sz w:val="21"/>
                <w:szCs w:val="21"/>
              </w:rPr>
              <w:t>机夹螺纹车刀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/T </w:t>
            </w:r>
            <w:r>
              <w:rPr>
                <w:rFonts w:hint="eastAsia" w:ascii="宋体" w:hAnsi="宋体"/>
                <w:sz w:val="21"/>
                <w:szCs w:val="21"/>
              </w:rPr>
              <w:t>10954-2006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；《</w:t>
            </w:r>
            <w:r>
              <w:rPr>
                <w:rFonts w:hint="eastAsia" w:ascii="宋体" w:hAnsi="宋体"/>
                <w:sz w:val="21"/>
                <w:szCs w:val="21"/>
              </w:rPr>
              <w:t>整体硬质合金锯片铣刀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</w:rPr>
              <w:t>GB/T 14301-2008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；《</w:t>
            </w:r>
            <w:r>
              <w:rPr>
                <w:rFonts w:hint="eastAsia" w:ascii="宋体" w:hAnsi="宋体"/>
                <w:sz w:val="21"/>
                <w:szCs w:val="21"/>
              </w:rPr>
              <w:t>一般公差 未注公差的线性和角度尺寸的公差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T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1804-2000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产品流程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bookmarkStart w:id="3" w:name="_GoBack"/>
            <w:r>
              <w:rPr>
                <w:sz w:val="20"/>
              </w:rPr>
              <w:t>工装夹具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备料----机械加工（车、铣、磨）----热处理（需求时）——检验----表面处理（需要时）----成品入库。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/>
                <w:sz w:val="20"/>
                <w:lang w:val="en-US" w:eastAsia="zh-CN"/>
              </w:rPr>
            </w:pPr>
            <w:r>
              <w:rPr>
                <w:sz w:val="20"/>
              </w:rPr>
              <w:t>非标刀具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备料——机械加工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（车、铣、磨）</w:t>
            </w:r>
            <w:r>
              <w:rPr>
                <w:rFonts w:hint="eastAsia"/>
                <w:sz w:val="20"/>
                <w:lang w:val="en-US" w:eastAsia="zh-CN"/>
              </w:rPr>
              <w:t>——焊接——检验——标识、成品入库。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检具的加工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光滑极限量规为主）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备料——机械加工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（车、铣、磨）</w:t>
            </w:r>
            <w:r>
              <w:rPr>
                <w:rFonts w:hint="eastAsia"/>
                <w:sz w:val="20"/>
                <w:lang w:val="en-US" w:eastAsia="zh-CN"/>
              </w:rPr>
              <w:t>——精磨——表面处理（需要时）——检验——成品入库。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关键工序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机械加工（车、铣、磨）、焊接、检验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焊接，也是特殊过程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外包过程：热处理、表面处理（发蓝、发黑、喷漆、电镀）。</w:t>
            </w:r>
          </w:p>
          <w:bookmarkEnd w:id="3"/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公司非标刀具、工装夹具、检具的加工依据国家成熟工艺,按国家标准的生产技术要求生产,因此标准8.3条款“产品和服务的设计和开发”要求不适用。公司确保不适用的质量管理体系的产品和服务的设计和开发要求，不影响组织确保产品和服务合格以及增强顾客满意的能力或责任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表面处理</w:t>
            </w:r>
          </w:p>
          <w:p>
            <w:pPr>
              <w:pStyle w:val="7"/>
              <w:spacing w:before="0" w:beforeAutospacing="0" w:after="0" w:afterAutospacing="0" w:line="500" w:lineRule="exact"/>
              <w:ind w:firstLine="630" w:firstLineChars="3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 w:line="500" w:lineRule="exact"/>
              <w:ind w:firstLine="630" w:firstLineChars="3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一次交验合格率≥95%；</w:t>
            </w:r>
          </w:p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 w:line="500" w:lineRule="exact"/>
              <w:ind w:left="0" w:leftChars="0" w:firstLine="630" w:firstLineChars="3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产品出厂合格率100%</w:t>
            </w:r>
          </w:p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 w:line="500" w:lineRule="exact"/>
              <w:ind w:left="0" w:leftChars="0" w:firstLine="630" w:firstLineChars="30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顾客满意度≥95%。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钢材、磨料，刀具及办公用品等。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操作人员、检验员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5"/>
              <w:rPr>
                <w:highlight w:val="none"/>
              </w:rPr>
            </w:pPr>
          </w:p>
          <w:p>
            <w:pPr>
              <w:pStyle w:val="15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数显高精度平面磨床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数显万能外圆磨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双精度多用磨床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万能工具磨床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光学变频曲线磨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数控电火花线切割机床</w:t>
            </w:r>
            <w:r>
              <w:rPr>
                <w:rFonts w:hint="eastAsia" w:ascii="宋体" w:hAnsi="宋体" w:cs="宋体"/>
                <w:sz w:val="21"/>
                <w:szCs w:val="21"/>
              </w:rPr>
              <w:t>、钻床、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数显座标铣床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半导体激光刻字机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pStyle w:val="15"/>
              <w:rPr>
                <w:highlight w:val="none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德国蔡司万能工具显微镜、手动洛氏硬度计、千分表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杠杆千分尺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千分尺、游标卡尺等。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采取外检，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提供的检测设备检定或校准证书已过期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方针：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质量第一、降本增效、精益求精、持续改进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年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月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日</w:t>
            </w:r>
          </w:p>
          <w:p>
            <w:pPr>
              <w:spacing w:line="3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内审组：审核组长：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陈丽</w:t>
            </w:r>
            <w:r>
              <w:rPr>
                <w:rFonts w:hint="eastAsia" w:ascii="宋体" w:hAnsi="宋体"/>
                <w:szCs w:val="21"/>
              </w:rPr>
              <w:t xml:space="preserve">     组员：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刘秀英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见有：《内审不符合项报告》1份 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涉及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营销部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Q8.4.1条款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2020.8.25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日查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营销部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月份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对合格供方的评审，未见相关评审的证据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于20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月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 xml:space="preserve"> 日由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陈朝晖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继续加强ISO9001:2015标准的继续学习和理解。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重点审核部门：生产技术部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C1085C"/>
    <w:multiLevelType w:val="singleLevel"/>
    <w:tmpl w:val="88C10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F44"/>
    <w:rsid w:val="004F1988"/>
    <w:rsid w:val="007D5C75"/>
    <w:rsid w:val="007E5309"/>
    <w:rsid w:val="009F018D"/>
    <w:rsid w:val="00B073E3"/>
    <w:rsid w:val="00B91F44"/>
    <w:rsid w:val="022703B7"/>
    <w:rsid w:val="03E649F5"/>
    <w:rsid w:val="09110B43"/>
    <w:rsid w:val="091B2EBB"/>
    <w:rsid w:val="0EE776D8"/>
    <w:rsid w:val="0FEE1C44"/>
    <w:rsid w:val="12A7730F"/>
    <w:rsid w:val="1682460A"/>
    <w:rsid w:val="205139E6"/>
    <w:rsid w:val="255B74B5"/>
    <w:rsid w:val="261F67D7"/>
    <w:rsid w:val="2E0D3BFE"/>
    <w:rsid w:val="2FAD2E2E"/>
    <w:rsid w:val="31EB7ABB"/>
    <w:rsid w:val="3AE03372"/>
    <w:rsid w:val="3B621302"/>
    <w:rsid w:val="3C1E62F7"/>
    <w:rsid w:val="3CE73BB1"/>
    <w:rsid w:val="3FEE30CD"/>
    <w:rsid w:val="487A519B"/>
    <w:rsid w:val="489052D1"/>
    <w:rsid w:val="49C955DE"/>
    <w:rsid w:val="4A4E0944"/>
    <w:rsid w:val="4D157E27"/>
    <w:rsid w:val="53107C3B"/>
    <w:rsid w:val="5B790DDB"/>
    <w:rsid w:val="641E01A3"/>
    <w:rsid w:val="69BA0BA6"/>
    <w:rsid w:val="6A4021D3"/>
    <w:rsid w:val="70AD313D"/>
    <w:rsid w:val="72384051"/>
    <w:rsid w:val="79CE6068"/>
    <w:rsid w:val="7AE567B0"/>
    <w:rsid w:val="7DEE51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253</Words>
  <Characters>1444</Characters>
  <Lines>12</Lines>
  <Paragraphs>3</Paragraphs>
  <TotalTime>4</TotalTime>
  <ScaleCrop>false</ScaleCrop>
  <LinksUpToDate>false</LinksUpToDate>
  <CharactersWithSpaces>1694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2020-10-24T08:16:21Z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