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93"/>
        <w:gridCol w:w="113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成都精久精密制造有限公司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17.11.01;17.11.03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17.11.01;17.11.03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原材料----检验----机械加工（车、铣、磨、焊接）----检验----表面处理（外包）----成品入库。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产品生产质量风险：材料选用不当，加工尺寸精度不合格，热处理不合格造成产品报废风险。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控制措施：制定操作指导书，人员技能培训，设备的维护保养，外包服务的控制等。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中华人民共和国合同法、中华人民共和国劳动法、中华人民共和国安全消防法、中华人民共和国产品质量法、中华人民共和国消费者权益法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；《机械加工工艺装备基本术语》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instrText xml:space="preserve"> HYPERLINK "http://www.csres.com/detail/193787.html" \t "http://www.csres.com/_blank" </w:instrTex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GB/T 1008-2008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;《机械加工定位、夹紧符号》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instrText xml:space="preserve"> HYPERLINK "http://www.csres.com/detail/170694.html" \t "http://www.csres.com/_blank" </w:instrTex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JB/T 5061-2006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;《硬质合金车刀 第1部分：代号及标志》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instrText xml:space="preserve"> HYPERLINK "http://www.csres.com/detail/58154.html" \t "http://www.csres.com/_blank" </w:instrTex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GB/T 17985.1-2000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；《硬质合金车刀 第2部分：外表面车刀》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instrText xml:space="preserve"> HYPERLINK "http://www.csres.com/detail/58154.html" \t "http://www.csres.com/_blank" </w:instrTex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GB/T 17985.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-2000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；《硬质合金车刀 第3部分：内表面车刀》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instrText xml:space="preserve"> HYPERLINK "http://www.csres.com/detail/58154.html" \t "http://www.csres.com/_blank" </w:instrTex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GB/T 17985.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-2000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；《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机夹切断车刀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10953-2006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；《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机夹螺纹车刀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/T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10954-2006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；《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整体硬质合金锯片铣刀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GB/T 14301-2008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；《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一般公差 未注公差的线性和角度尺寸的公差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1804-2000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等。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bookmarkStart w:id="5" w:name="审核范围"/>
            <w:r>
              <w:rPr>
                <w:rFonts w:hint="eastAsia" w:ascii="宋体" w:hAnsi="宋体"/>
                <w:sz w:val="21"/>
                <w:szCs w:val="21"/>
              </w:rPr>
              <w:t>非标刀具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外形尺寸、刀具角度、材质、热处理等。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工装夹具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外形尺寸、定位精度及装夹紧固度</w:t>
            </w:r>
            <w:bookmarkStart w:id="6" w:name="_GoBack"/>
            <w:bookmarkEnd w:id="6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，操作简便性等。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检具的加工</w:t>
            </w:r>
            <w:bookmarkEnd w:id="5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外形尺寸、尺寸精度、光洁度、表面硬度等。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2020.10.24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2020.10.24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045C17"/>
    <w:rsid w:val="52D67AC6"/>
    <w:rsid w:val="7BFD76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9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2020-10-23T14:51:52Z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