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重庆博鼎建筑设计有限公司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设计部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/>
                <w:sz w:val="21"/>
                <w:szCs w:val="21"/>
                <w:lang w:eastAsia="zh-CN" w:bidi="ar"/>
              </w:rPr>
              <w:t>张萍萍</w:t>
            </w:r>
            <w:r>
              <w:rPr>
                <w:rFonts w:hint="eastAsia" w:ascii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查见，设计评审资料中双桥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经开区乒乓球馆项目设计概算书设计有偏差。但审核现场未见实施该次不合格处置后保留</w:t>
            </w:r>
            <w:bookmarkStart w:id="7" w:name="_GoBack"/>
            <w:bookmarkEnd w:id="7"/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处置记录的成文信息。不符合ISO 9001:2015标准8.7条款 “组织应保留下列成文信息：a）描述不合格；b）描述所采取的措施”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E37C3B"/>
    <w:rsid w:val="51750D2D"/>
    <w:rsid w:val="58AA5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3</TotalTime>
  <ScaleCrop>false</ScaleCrop>
  <LinksUpToDate>false</LinksUpToDate>
  <CharactersWithSpaces>730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2020-10-19T11:55:36Z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