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60"/>
        <w:gridCol w:w="46"/>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rPr>
                <w:color w:val="auto"/>
              </w:rPr>
            </w:pPr>
            <w:r>
              <w:rPr>
                <w:rFonts w:hint="eastAsia" w:cs="宋体"/>
                <w:color w:val="auto"/>
              </w:rPr>
              <w:t>过程与活动、抽样计划</w:t>
            </w:r>
          </w:p>
        </w:tc>
        <w:tc>
          <w:tcPr>
            <w:tcW w:w="960" w:type="dxa"/>
            <w:vMerge w:val="restart"/>
            <w:vAlign w:val="center"/>
          </w:tcPr>
          <w:p>
            <w:pPr>
              <w:rPr>
                <w:color w:val="auto"/>
              </w:rPr>
            </w:pPr>
            <w:r>
              <w:rPr>
                <w:rFonts w:hint="eastAsia" w:cs="宋体"/>
                <w:color w:val="auto"/>
              </w:rPr>
              <w:t>涉及</w:t>
            </w:r>
          </w:p>
          <w:p>
            <w:pPr>
              <w:rPr>
                <w:color w:val="auto"/>
              </w:rPr>
            </w:pPr>
            <w:r>
              <w:rPr>
                <w:rFonts w:hint="eastAsia" w:cs="宋体"/>
                <w:color w:val="auto"/>
              </w:rPr>
              <w:t>条款</w:t>
            </w:r>
          </w:p>
        </w:tc>
        <w:tc>
          <w:tcPr>
            <w:tcW w:w="10806" w:type="dxa"/>
            <w:gridSpan w:val="2"/>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受审核部门：</w:t>
            </w:r>
            <w:r>
              <w:rPr>
                <w:rFonts w:hint="eastAsia" w:asciiTheme="minorEastAsia" w:hAnsiTheme="minorEastAsia" w:eastAsiaTheme="minorEastAsia" w:cstheme="minorEastAsia"/>
                <w:sz w:val="21"/>
                <w:szCs w:val="21"/>
                <w:lang w:val="en-US" w:eastAsia="zh-CN"/>
              </w:rPr>
              <w:t>管理层、各职能部门</w:t>
            </w:r>
            <w:r>
              <w:rPr>
                <w:rFonts w:hint="eastAsia" w:asciiTheme="minorEastAsia" w:hAnsiTheme="minorEastAsia" w:eastAsiaTheme="minorEastAsia" w:cstheme="minorEastAsia"/>
                <w:sz w:val="21"/>
                <w:szCs w:val="21"/>
              </w:rPr>
              <w:t xml:space="preserve">   </w:t>
            </w:r>
          </w:p>
          <w:p>
            <w:pPr>
              <w:rPr>
                <w:color w:val="auto"/>
                <w:sz w:val="24"/>
                <w:szCs w:val="24"/>
              </w:rPr>
            </w:pPr>
            <w:r>
              <w:rPr>
                <w:rFonts w:hint="eastAsia" w:asciiTheme="minorEastAsia" w:hAnsiTheme="minorEastAsia" w:eastAsiaTheme="minorEastAsia" w:cstheme="minorEastAsia"/>
                <w:sz w:val="21"/>
                <w:szCs w:val="21"/>
              </w:rPr>
              <w:t>管代：</w:t>
            </w:r>
            <w:r>
              <w:rPr>
                <w:rFonts w:hint="eastAsia" w:asciiTheme="minorEastAsia" w:hAnsiTheme="minorEastAsia" w:eastAsiaTheme="minorEastAsia" w:cstheme="minorEastAsia"/>
                <w:sz w:val="21"/>
                <w:szCs w:val="21"/>
                <w:lang w:val="en-US" w:eastAsia="zh-CN"/>
              </w:rPr>
              <w:t>周红萍</w:t>
            </w:r>
            <w:r>
              <w:rPr>
                <w:rFonts w:hint="eastAsia" w:asciiTheme="minorEastAsia" w:hAnsiTheme="minorEastAsia" w:eastAsiaTheme="minorEastAsia" w:cstheme="minorEastAsia"/>
                <w:sz w:val="21"/>
                <w:szCs w:val="21"/>
              </w:rPr>
              <w:t>，安全事务代表</w:t>
            </w:r>
            <w:r>
              <w:rPr>
                <w:rFonts w:hint="eastAsia" w:asciiTheme="minorEastAsia" w:hAnsiTheme="minorEastAsia" w:eastAsiaTheme="minorEastAsia" w:cstheme="minorEastAsia"/>
                <w:sz w:val="21"/>
                <w:szCs w:val="21"/>
                <w:lang w:val="en-US" w:eastAsia="zh-CN"/>
              </w:rPr>
              <w:t xml:space="preserve">吕兴发，   </w:t>
            </w:r>
            <w:r>
              <w:rPr>
                <w:rFonts w:hint="eastAsia" w:asciiTheme="minorEastAsia" w:hAnsiTheme="minorEastAsia" w:eastAsiaTheme="minorEastAsia" w:cstheme="minorEastAsia"/>
                <w:sz w:val="21"/>
                <w:szCs w:val="21"/>
              </w:rPr>
              <w:t>总经理：</w:t>
            </w:r>
            <w:r>
              <w:rPr>
                <w:rFonts w:hint="eastAsia" w:asciiTheme="minorEastAsia" w:hAnsiTheme="minorEastAsia" w:eastAsiaTheme="minorEastAsia" w:cstheme="minorEastAsia"/>
                <w:sz w:val="21"/>
                <w:szCs w:val="21"/>
                <w:lang w:eastAsia="zh-CN"/>
              </w:rPr>
              <w:t>钟旭，</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各部门负责人</w:t>
            </w:r>
            <w:r>
              <w:rPr>
                <w:rFonts w:hint="eastAsia" w:asciiTheme="minorEastAsia" w:hAnsiTheme="minorEastAsia" w:eastAsiaTheme="minorEastAsia" w:cstheme="minorEastAsia"/>
                <w:sz w:val="21"/>
                <w:szCs w:val="21"/>
              </w:rPr>
              <w:t xml:space="preserve">        陪同人员：</w:t>
            </w:r>
            <w:r>
              <w:rPr>
                <w:rFonts w:hint="eastAsia" w:asciiTheme="minorEastAsia" w:hAnsiTheme="minorEastAsia" w:eastAsiaTheme="minorEastAsia" w:cstheme="minorEastAsia"/>
                <w:sz w:val="21"/>
                <w:szCs w:val="21"/>
                <w:lang w:val="en-US" w:eastAsia="zh-CN"/>
              </w:rPr>
              <w:t>周红萍</w:t>
            </w:r>
            <w:r>
              <w:rPr>
                <w:color w:val="auto"/>
              </w:rPr>
              <w:t xml:space="preserve">    </w:t>
            </w:r>
            <w:r>
              <w:rPr>
                <w:rFonts w:hint="eastAsia"/>
                <w:color w:val="auto"/>
              </w:rPr>
              <w:t xml:space="preserve"> </w:t>
            </w:r>
          </w:p>
        </w:tc>
        <w:tc>
          <w:tcPr>
            <w:tcW w:w="783" w:type="dxa"/>
            <w:vMerge w:val="restart"/>
            <w:vAlign w:val="center"/>
          </w:tcPr>
          <w:p>
            <w:pPr>
              <w:rPr>
                <w:color w:val="auto"/>
                <w:sz w:val="24"/>
                <w:szCs w:val="24"/>
              </w:rPr>
            </w:pPr>
            <w:r>
              <w:rPr>
                <w:rFonts w:hint="eastAsia" w:cs="宋体"/>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806" w:type="dxa"/>
            <w:gridSpan w:val="2"/>
            <w:vAlign w:val="center"/>
          </w:tcPr>
          <w:p>
            <w:pPr>
              <w:spacing w:before="120"/>
              <w:rPr>
                <w:rFonts w:hint="default" w:eastAsia="宋体"/>
                <w:color w:val="auto"/>
                <w:lang w:val="en-US" w:eastAsia="zh-CN"/>
              </w:rPr>
            </w:pPr>
            <w:r>
              <w:rPr>
                <w:rFonts w:hint="eastAsia" w:cs="宋体"/>
                <w:color w:val="auto"/>
              </w:rPr>
              <w:t>审核员：</w:t>
            </w:r>
            <w:r>
              <w:rPr>
                <w:color w:val="auto"/>
              </w:rPr>
              <w:t xml:space="preserve">  </w:t>
            </w:r>
            <w:r>
              <w:rPr>
                <w:rFonts w:hint="eastAsia"/>
                <w:color w:val="auto"/>
              </w:rPr>
              <w:t>王志慧</w:t>
            </w:r>
            <w:r>
              <w:rPr>
                <w:color w:val="auto"/>
              </w:rPr>
              <w:t xml:space="preserve">    </w:t>
            </w:r>
            <w:r>
              <w:rPr>
                <w:rFonts w:hint="eastAsia" w:cs="宋体"/>
                <w:color w:val="auto"/>
              </w:rPr>
              <w:t>审核时间：</w:t>
            </w:r>
            <w:r>
              <w:rPr>
                <w:rFonts w:hint="eastAsia"/>
                <w:color w:val="auto"/>
              </w:rPr>
              <w:t>2020.</w:t>
            </w:r>
            <w:r>
              <w:rPr>
                <w:rFonts w:hint="eastAsia"/>
                <w:color w:val="auto"/>
                <w:lang w:val="en-US" w:eastAsia="zh-CN"/>
              </w:rPr>
              <w:t>10</w:t>
            </w:r>
            <w:r>
              <w:rPr>
                <w:rFonts w:hint="eastAsia"/>
                <w:color w:val="auto"/>
              </w:rPr>
              <w:t>.</w:t>
            </w:r>
            <w:r>
              <w:rPr>
                <w:color w:val="auto"/>
              </w:rPr>
              <w:t>2</w:t>
            </w:r>
            <w:r>
              <w:rPr>
                <w:rFonts w:hint="eastAsia"/>
                <w:color w:val="auto"/>
                <w:lang w:val="en-US" w:eastAsia="zh-CN"/>
              </w:rPr>
              <w:t>0-21日</w:t>
            </w:r>
          </w:p>
        </w:tc>
        <w:tc>
          <w:tcPr>
            <w:tcW w:w="783" w:type="dxa"/>
            <w:vMerge w:val="continue"/>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806" w:type="dxa"/>
            <w:gridSpan w:val="2"/>
            <w:vAlign w:val="center"/>
          </w:tcPr>
          <w:p>
            <w:pPr>
              <w:snapToGrid w:val="0"/>
              <w:spacing w:line="260" w:lineRule="exact"/>
              <w:jc w:val="left"/>
              <w:rPr>
                <w:color w:val="auto"/>
                <w:sz w:val="24"/>
                <w:szCs w:val="24"/>
              </w:rPr>
            </w:pPr>
            <w:r>
              <w:rPr>
                <w:rFonts w:hint="eastAsia" w:cs="宋体"/>
                <w:color w:val="auto"/>
              </w:rPr>
              <w:t>审核条款</w:t>
            </w:r>
            <w:r>
              <w:rPr>
                <w:bCs/>
                <w:color w:val="auto"/>
              </w:rPr>
              <w:t>；</w:t>
            </w:r>
            <w:r>
              <w:rPr>
                <w:rFonts w:hint="eastAsia"/>
                <w:color w:val="auto"/>
              </w:rPr>
              <w:t xml:space="preserve"> </w:t>
            </w:r>
            <w:r>
              <w:rPr>
                <w:rFonts w:hint="eastAsia"/>
                <w:color w:val="auto"/>
                <w:sz w:val="21"/>
                <w:szCs w:val="21"/>
                <w:lang w:val="en-US" w:eastAsia="zh-CN"/>
              </w:rPr>
              <w:t xml:space="preserve">QEO </w:t>
            </w:r>
            <w:r>
              <w:rPr>
                <w:rFonts w:hint="eastAsia"/>
                <w:color w:val="auto"/>
                <w:sz w:val="21"/>
                <w:szCs w:val="21"/>
              </w:rPr>
              <w:t>4.1/4.3/4.4/5.2/6.2/9.2/9.3/7.1</w:t>
            </w:r>
          </w:p>
        </w:tc>
        <w:tc>
          <w:tcPr>
            <w:tcW w:w="783" w:type="dxa"/>
            <w:vMerge w:val="continue"/>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28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理解组织及其环境</w:t>
            </w:r>
          </w:p>
          <w:p>
            <w:pPr>
              <w:spacing w:line="28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总要求</w:t>
            </w:r>
          </w:p>
          <w:p>
            <w:pPr>
              <w:spacing w:line="280" w:lineRule="exact"/>
              <w:rPr>
                <w:color w:val="auto"/>
              </w:rPr>
            </w:pPr>
          </w:p>
        </w:tc>
        <w:tc>
          <w:tcPr>
            <w:tcW w:w="960" w:type="dxa"/>
            <w:vAlign w:val="top"/>
          </w:tcPr>
          <w:p>
            <w:pPr>
              <w:spacing w:line="28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QE</w:t>
            </w:r>
            <w:r>
              <w:rPr>
                <w:rFonts w:hint="eastAsia" w:asciiTheme="minorEastAsia" w:hAnsiTheme="minorEastAsia" w:eastAsiaTheme="minorEastAsia" w:cstheme="minorEastAsia"/>
                <w:color w:val="auto"/>
                <w:sz w:val="21"/>
                <w:szCs w:val="21"/>
                <w:lang w:val="en-US" w:eastAsia="zh-CN"/>
              </w:rPr>
              <w:t>O</w:t>
            </w:r>
            <w:r>
              <w:rPr>
                <w:rFonts w:hint="eastAsia" w:asciiTheme="minorEastAsia" w:hAnsiTheme="minorEastAsia" w:eastAsiaTheme="minorEastAsia" w:cstheme="minorEastAsia"/>
                <w:color w:val="auto"/>
                <w:sz w:val="21"/>
                <w:szCs w:val="21"/>
              </w:rPr>
              <w:t>4.1</w:t>
            </w:r>
          </w:p>
          <w:p>
            <w:pPr>
              <w:spacing w:line="280" w:lineRule="exact"/>
              <w:rPr>
                <w:color w:val="auto"/>
              </w:rPr>
            </w:pPr>
          </w:p>
        </w:tc>
        <w:tc>
          <w:tcPr>
            <w:tcW w:w="10806" w:type="dxa"/>
            <w:gridSpan w:val="2"/>
            <w:vAlign w:val="center"/>
          </w:tcPr>
          <w:p>
            <w:pPr>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福建美尚智能家具制造有限公司</w:t>
            </w:r>
            <w:r>
              <w:rPr>
                <w:rFonts w:hint="eastAsia" w:asciiTheme="minorEastAsia" w:hAnsiTheme="minorEastAsia" w:eastAsiaTheme="minorEastAsia" w:cstheme="minorEastAsia"/>
                <w:color w:val="auto"/>
                <w:sz w:val="21"/>
                <w:szCs w:val="21"/>
              </w:rPr>
              <w:t>办公室地址位于浦城县荣华山大道31号，于20</w:t>
            </w:r>
            <w:r>
              <w:rPr>
                <w:rFonts w:hint="eastAsia" w:asciiTheme="minorEastAsia" w:hAnsiTheme="minorEastAsia" w:eastAsiaTheme="minorEastAsia" w:cstheme="minorEastAsia"/>
                <w:color w:val="auto"/>
                <w:sz w:val="21"/>
                <w:szCs w:val="21"/>
                <w:lang w:val="en-US" w:eastAsia="zh-CN"/>
              </w:rPr>
              <w:t>18</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04</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03</w:t>
            </w:r>
            <w:r>
              <w:rPr>
                <w:rFonts w:hint="eastAsia" w:asciiTheme="minorEastAsia" w:hAnsiTheme="minorEastAsia" w:eastAsiaTheme="minorEastAsia" w:cstheme="minorEastAsia"/>
                <w:color w:val="auto"/>
                <w:sz w:val="21"/>
                <w:szCs w:val="21"/>
              </w:rPr>
              <w:t>日在南平市浦城县市场监督管理局注册成立，注册资本为</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0</w:t>
            </w:r>
            <w:r>
              <w:rPr>
                <w:rFonts w:hint="eastAsia" w:asciiTheme="minorEastAsia" w:hAnsiTheme="minorEastAsia" w:eastAsiaTheme="minorEastAsia" w:cstheme="minorEastAsia"/>
                <w:color w:val="auto"/>
                <w:sz w:val="21"/>
                <w:szCs w:val="21"/>
                <w:lang w:val="en-US" w:eastAsia="zh-CN"/>
              </w:rPr>
              <w:t>00</w:t>
            </w:r>
            <w:r>
              <w:rPr>
                <w:rFonts w:hint="eastAsia" w:asciiTheme="minorEastAsia" w:hAnsiTheme="minorEastAsia" w:eastAsiaTheme="minorEastAsia" w:cstheme="minorEastAsia"/>
                <w:color w:val="auto"/>
                <w:sz w:val="21"/>
                <w:szCs w:val="21"/>
              </w:rPr>
              <w:t>万人民币，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pPr>
              <w:spacing w:line="280" w:lineRule="exact"/>
              <w:ind w:firstLine="420" w:firstLineChars="200"/>
              <w:rPr>
                <w:color w:val="auto"/>
              </w:rPr>
            </w:pPr>
            <w:r>
              <w:rPr>
                <w:rFonts w:hint="eastAsia" w:asciiTheme="minorEastAsia" w:hAnsiTheme="minorEastAsia" w:eastAsiaTheme="minorEastAsia" w:cstheme="minorEastAsia"/>
                <w:color w:val="auto"/>
                <w:sz w:val="21"/>
                <w:szCs w:val="21"/>
              </w:rPr>
              <w:t>公司每年根据由公司销售人员从市场、客户、网络等搜集到的信息并结合公司自身业务运作情况进行分析，通过分析对这些内部和外部因素的相关信息进行监视和评审以确保其充分和适宜。</w:t>
            </w:r>
          </w:p>
        </w:tc>
        <w:tc>
          <w:tcPr>
            <w:tcW w:w="783" w:type="dxa"/>
            <w:vAlign w:val="top"/>
          </w:tcPr>
          <w:p>
            <w:pPr>
              <w:rPr>
                <w:rFonts w:hint="eastAsia" w:eastAsia="宋体"/>
                <w:color w:val="auto"/>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color w:val="auto"/>
              </w:rPr>
            </w:pPr>
            <w:r>
              <w:rPr>
                <w:bCs/>
                <w:color w:val="auto"/>
              </w:rPr>
              <w:t>相关方的需求和希望</w:t>
            </w:r>
          </w:p>
        </w:tc>
        <w:tc>
          <w:tcPr>
            <w:tcW w:w="960" w:type="dxa"/>
            <w:vAlign w:val="center"/>
          </w:tcPr>
          <w:p>
            <w:pPr>
              <w:rPr>
                <w:rFonts w:hint="eastAsia"/>
                <w:color w:val="auto"/>
              </w:rPr>
            </w:pPr>
            <w:r>
              <w:rPr>
                <w:color w:val="auto"/>
              </w:rPr>
              <w:t>QE</w:t>
            </w:r>
            <w:r>
              <w:rPr>
                <w:rFonts w:hint="eastAsia"/>
                <w:color w:val="auto"/>
              </w:rPr>
              <w:t>O</w:t>
            </w:r>
          </w:p>
          <w:p>
            <w:pPr>
              <w:rPr>
                <w:color w:val="auto"/>
              </w:rPr>
            </w:pPr>
            <w:r>
              <w:rPr>
                <w:rFonts w:hint="eastAsia"/>
                <w:color w:val="auto"/>
              </w:rPr>
              <w:t>4.2</w:t>
            </w:r>
          </w:p>
        </w:tc>
        <w:tc>
          <w:tcPr>
            <w:tcW w:w="10806" w:type="dxa"/>
            <w:gridSpan w:val="2"/>
            <w:vAlign w:val="center"/>
          </w:tcPr>
          <w:p>
            <w:pPr>
              <w:spacing w:before="156" w:beforeLines="50"/>
              <w:rPr>
                <w:color w:val="auto"/>
              </w:rPr>
            </w:pPr>
            <w:r>
              <w:rPr>
                <w:rFonts w:hint="eastAsia" w:cs="宋体"/>
                <w:color w:val="auto"/>
              </w:rPr>
              <w:t>公司编制了《组织环境分析报告》，与管理体系有关的相关方；包括：包括客户、供应商、员工、审核机构及政府机关等。</w:t>
            </w:r>
          </w:p>
        </w:tc>
        <w:tc>
          <w:tcPr>
            <w:tcW w:w="783" w:type="dxa"/>
            <w:vAlign w:val="top"/>
          </w:tcPr>
          <w:p>
            <w:pPr>
              <w:rPr>
                <w:color w:val="auto"/>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确定量管理体系的范围</w:t>
            </w:r>
          </w:p>
          <w:p>
            <w:pPr>
              <w:rPr>
                <w:color w:val="auto"/>
              </w:rPr>
            </w:pPr>
            <w:r>
              <w:rPr>
                <w:rFonts w:hint="eastAsia" w:asciiTheme="minorEastAsia" w:hAnsiTheme="minorEastAsia" w:eastAsiaTheme="minorEastAsia" w:cstheme="minorEastAsia"/>
                <w:sz w:val="21"/>
                <w:szCs w:val="21"/>
              </w:rPr>
              <w:t>总要求</w:t>
            </w:r>
          </w:p>
        </w:tc>
        <w:tc>
          <w:tcPr>
            <w:tcW w:w="9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QE</w:t>
            </w:r>
            <w:r>
              <w:rPr>
                <w:rFonts w:hint="eastAsia" w:asciiTheme="minorEastAsia" w:hAnsiTheme="minorEastAsia" w:eastAsiaTheme="minorEastAsia" w:cstheme="minorEastAsia"/>
                <w:sz w:val="21"/>
                <w:szCs w:val="21"/>
                <w:lang w:val="en-US" w:eastAsia="zh-CN"/>
              </w:rPr>
              <w:t>O</w:t>
            </w:r>
            <w:r>
              <w:rPr>
                <w:rFonts w:hint="eastAsia" w:asciiTheme="minorEastAsia" w:hAnsiTheme="minorEastAsia" w:eastAsiaTheme="minorEastAsia" w:cstheme="minorEastAsia"/>
                <w:sz w:val="21"/>
                <w:szCs w:val="21"/>
              </w:rPr>
              <w:t>4.3</w:t>
            </w:r>
          </w:p>
          <w:p>
            <w:pPr>
              <w:rPr>
                <w:color w:val="auto"/>
              </w:rPr>
            </w:pPr>
          </w:p>
        </w:tc>
        <w:tc>
          <w:tcPr>
            <w:tcW w:w="10806" w:type="dxa"/>
            <w:gridSpan w:val="2"/>
            <w:vAlign w:val="center"/>
          </w:tcPr>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公司管理体系范围：</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QMS:</w:t>
            </w:r>
            <w:r>
              <w:rPr>
                <w:rFonts w:hint="eastAsia" w:asciiTheme="minorEastAsia" w:hAnsiTheme="minorEastAsia" w:eastAsiaTheme="minorEastAsia" w:cstheme="minorEastAsia"/>
                <w:bCs/>
                <w:sz w:val="21"/>
                <w:szCs w:val="21"/>
              </w:rPr>
              <w:t xml:space="preserve"> </w:t>
            </w:r>
            <w:r>
              <w:rPr>
                <w:rFonts w:hint="eastAsia" w:asciiTheme="minorEastAsia" w:hAnsiTheme="minorEastAsia" w:eastAsiaTheme="minorEastAsia" w:cstheme="minorEastAsia"/>
                <w:sz w:val="21"/>
                <w:szCs w:val="21"/>
              </w:rPr>
              <w:t>木制家具的生产</w:t>
            </w:r>
          </w:p>
          <w:p>
            <w:pPr>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EMS</w:t>
            </w:r>
            <w:r>
              <w:rPr>
                <w:rFonts w:hint="eastAsia" w:asciiTheme="minorEastAsia" w:hAnsiTheme="minorEastAsia" w:eastAsiaTheme="minorEastAsia" w:cstheme="minorEastAsia"/>
                <w:kern w:val="0"/>
                <w:sz w:val="21"/>
                <w:szCs w:val="21"/>
              </w:rPr>
              <w:t xml:space="preserve">: </w:t>
            </w:r>
            <w:r>
              <w:rPr>
                <w:rFonts w:hint="eastAsia" w:asciiTheme="minorEastAsia" w:hAnsiTheme="minorEastAsia" w:eastAsiaTheme="minorEastAsia" w:cstheme="minorEastAsia"/>
                <w:sz w:val="21"/>
                <w:szCs w:val="21"/>
              </w:rPr>
              <w:t>木制家具的生产及所涉及的相关环境管理活动</w:t>
            </w:r>
          </w:p>
          <w:p>
            <w:pPr>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OHSMS:</w:t>
            </w:r>
            <w:r>
              <w:rPr>
                <w:rFonts w:hint="eastAsia" w:asciiTheme="minorEastAsia" w:hAnsiTheme="minorEastAsia" w:eastAsiaTheme="minorEastAsia" w:cstheme="minorEastAsia"/>
                <w:bCs/>
                <w:sz w:val="21"/>
                <w:szCs w:val="21"/>
              </w:rPr>
              <w:t xml:space="preserve"> </w:t>
            </w:r>
            <w:r>
              <w:rPr>
                <w:rFonts w:hint="eastAsia" w:asciiTheme="minorEastAsia" w:hAnsiTheme="minorEastAsia" w:eastAsiaTheme="minorEastAsia" w:cstheme="minorEastAsia"/>
                <w:sz w:val="21"/>
                <w:szCs w:val="21"/>
              </w:rPr>
              <w:t>木制家具的生产及所涉及的相关职业健康安全管理活动</w:t>
            </w:r>
          </w:p>
          <w:p>
            <w:pPr>
              <w:rPr>
                <w:color w:val="auto"/>
              </w:rPr>
            </w:pPr>
            <w:r>
              <w:rPr>
                <w:rFonts w:hint="eastAsia" w:asciiTheme="minorEastAsia" w:hAnsiTheme="minorEastAsia" w:eastAsiaTheme="minorEastAsia" w:cstheme="minorEastAsia"/>
                <w:sz w:val="21"/>
                <w:szCs w:val="21"/>
              </w:rPr>
              <w:t>对于企业的外包过程也进行了充分识别，公司外包过程</w:t>
            </w:r>
            <w:r>
              <w:rPr>
                <w:rFonts w:hint="eastAsia" w:asciiTheme="minorEastAsia" w:hAnsiTheme="minorEastAsia" w:eastAsiaTheme="minorEastAsia" w:cstheme="minorEastAsia"/>
                <w:sz w:val="21"/>
                <w:szCs w:val="21"/>
                <w:lang w:val="en-US" w:eastAsia="zh-CN"/>
              </w:rPr>
              <w:t>为</w:t>
            </w:r>
            <w:r>
              <w:rPr>
                <w:rFonts w:hint="eastAsia" w:asciiTheme="minorEastAsia" w:hAnsiTheme="minorEastAsia" w:eastAsiaTheme="minorEastAsia" w:cstheme="minorEastAsia"/>
                <w:color w:val="auto"/>
                <w:sz w:val="21"/>
                <w:szCs w:val="21"/>
                <w:lang w:eastAsia="zh-CN"/>
              </w:rPr>
              <w:t>油漆</w:t>
            </w:r>
            <w:r>
              <w:rPr>
                <w:rFonts w:hint="eastAsia" w:asciiTheme="minorEastAsia" w:hAnsiTheme="minorEastAsia" w:eastAsiaTheme="minorEastAsia" w:cstheme="minorEastAsia"/>
                <w:sz w:val="21"/>
                <w:szCs w:val="21"/>
              </w:rPr>
              <w:t>。</w:t>
            </w:r>
          </w:p>
        </w:tc>
        <w:tc>
          <w:tcPr>
            <w:tcW w:w="783" w:type="dxa"/>
            <w:vAlign w:val="top"/>
          </w:tcPr>
          <w:p>
            <w:pPr>
              <w:rPr>
                <w:color w:val="auto"/>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制定管理方针</w:t>
            </w:r>
          </w:p>
          <w:p>
            <w:pPr>
              <w:rPr>
                <w:rFonts w:hint="eastAsia" w:cs="宋体"/>
                <w:color w:val="auto"/>
              </w:rPr>
            </w:pPr>
            <w:r>
              <w:rPr>
                <w:rFonts w:hint="eastAsia" w:asciiTheme="minorEastAsia" w:hAnsiTheme="minorEastAsia" w:eastAsiaTheme="minorEastAsia" w:cstheme="minorEastAsia"/>
                <w:sz w:val="21"/>
                <w:szCs w:val="21"/>
              </w:rPr>
              <w:t>沟通质量方针</w:t>
            </w:r>
          </w:p>
        </w:tc>
        <w:tc>
          <w:tcPr>
            <w:tcW w:w="9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QE</w:t>
            </w:r>
            <w:r>
              <w:rPr>
                <w:rFonts w:hint="eastAsia" w:asciiTheme="minorEastAsia" w:hAnsiTheme="minorEastAsia" w:eastAsiaTheme="minorEastAsia" w:cstheme="minorEastAsia"/>
                <w:sz w:val="21"/>
                <w:szCs w:val="21"/>
                <w:lang w:val="en-US" w:eastAsia="zh-CN"/>
              </w:rPr>
              <w:t>O</w:t>
            </w:r>
            <w:r>
              <w:rPr>
                <w:rFonts w:hint="eastAsia" w:asciiTheme="minorEastAsia" w:hAnsiTheme="minorEastAsia" w:eastAsiaTheme="minorEastAsia" w:cstheme="minorEastAsia"/>
                <w:sz w:val="21"/>
                <w:szCs w:val="21"/>
              </w:rPr>
              <w:t>5.2</w:t>
            </w:r>
          </w:p>
          <w:p>
            <w:pPr>
              <w:rPr>
                <w:rFonts w:hint="eastAsia"/>
                <w:color w:val="auto"/>
              </w:rPr>
            </w:pPr>
          </w:p>
        </w:tc>
        <w:tc>
          <w:tcPr>
            <w:tcW w:w="10806" w:type="dxa"/>
            <w:gridSpan w:val="2"/>
            <w:vAlign w:val="center"/>
          </w:tcPr>
          <w:p>
            <w:pPr>
              <w:pStyle w:val="5"/>
              <w:spacing w:line="410" w:lineRule="exact"/>
              <w:ind w:firstLine="420" w:firstLineChars="200"/>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sz w:val="21"/>
                <w:szCs w:val="21"/>
              </w:rPr>
              <w:t>公司的</w:t>
            </w:r>
            <w:r>
              <w:rPr>
                <w:rFonts w:hint="eastAsia" w:asciiTheme="minorEastAsia" w:hAnsiTheme="minorEastAsia" w:eastAsiaTheme="minorEastAsia" w:cstheme="minorEastAsia"/>
                <w:sz w:val="21"/>
                <w:szCs w:val="21"/>
                <w:lang w:val="en-US" w:eastAsia="zh-CN"/>
              </w:rPr>
              <w:t>一体化</w:t>
            </w:r>
            <w:r>
              <w:rPr>
                <w:rFonts w:hint="eastAsia" w:asciiTheme="minorEastAsia" w:hAnsiTheme="minorEastAsia" w:eastAsiaTheme="minorEastAsia" w:cstheme="minorEastAsia"/>
                <w:sz w:val="21"/>
                <w:szCs w:val="21"/>
              </w:rPr>
              <w:t>方针是：</w:t>
            </w:r>
            <w:r>
              <w:rPr>
                <w:rFonts w:hint="eastAsia" w:asciiTheme="minorEastAsia" w:hAnsiTheme="minorEastAsia" w:eastAsiaTheme="minorEastAsia" w:cstheme="minorEastAsia"/>
                <w:b w:val="0"/>
                <w:bCs/>
                <w:color w:val="auto"/>
                <w:sz w:val="21"/>
                <w:szCs w:val="21"/>
              </w:rPr>
              <w:t>1.</w:t>
            </w:r>
            <w:r>
              <w:rPr>
                <w:rFonts w:hint="eastAsia" w:asciiTheme="minorEastAsia" w:hAnsiTheme="minorEastAsia" w:eastAsiaTheme="minorEastAsia" w:cstheme="minorEastAsia"/>
                <w:b w:val="0"/>
                <w:bCs/>
                <w:color w:val="auto"/>
                <w:sz w:val="21"/>
                <w:szCs w:val="21"/>
                <w:lang w:eastAsia="zh-CN"/>
              </w:rPr>
              <w:t>质量第一</w:t>
            </w:r>
            <w:r>
              <w:rPr>
                <w:rFonts w:hint="eastAsia" w:asciiTheme="minorEastAsia" w:hAnsiTheme="minorEastAsia" w:eastAsiaTheme="minorEastAsia" w:cstheme="minorEastAsia"/>
                <w:b w:val="0"/>
                <w:bCs/>
                <w:color w:val="auto"/>
                <w:sz w:val="21"/>
                <w:szCs w:val="21"/>
              </w:rPr>
              <w:t>，</w:t>
            </w:r>
            <w:r>
              <w:rPr>
                <w:rFonts w:hint="eastAsia" w:asciiTheme="minorEastAsia" w:hAnsiTheme="minorEastAsia" w:eastAsiaTheme="minorEastAsia" w:cstheme="minorEastAsia"/>
                <w:b w:val="0"/>
                <w:bCs/>
                <w:color w:val="auto"/>
                <w:sz w:val="21"/>
                <w:szCs w:val="21"/>
                <w:lang w:eastAsia="zh-CN"/>
              </w:rPr>
              <w:t>顾客至上</w:t>
            </w:r>
            <w:r>
              <w:rPr>
                <w:rFonts w:hint="eastAsia" w:asciiTheme="minorEastAsia" w:hAnsiTheme="minorEastAsia" w:eastAsiaTheme="minorEastAsia" w:cstheme="minorEastAsia"/>
                <w:b w:val="0"/>
                <w:bCs/>
                <w:color w:val="auto"/>
                <w:sz w:val="21"/>
                <w:szCs w:val="21"/>
              </w:rPr>
              <w:t>;</w:t>
            </w:r>
          </w:p>
          <w:p>
            <w:pPr>
              <w:pStyle w:val="5"/>
              <w:spacing w:line="410" w:lineRule="exact"/>
              <w:ind w:firstLine="2310" w:firstLineChars="1100"/>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2.</w:t>
            </w:r>
            <w:r>
              <w:rPr>
                <w:rFonts w:hint="eastAsia" w:asciiTheme="minorEastAsia" w:hAnsiTheme="minorEastAsia" w:eastAsiaTheme="minorEastAsia" w:cstheme="minorEastAsia"/>
                <w:b w:val="0"/>
                <w:bCs/>
                <w:color w:val="auto"/>
                <w:sz w:val="21"/>
                <w:szCs w:val="21"/>
                <w:lang w:eastAsia="zh-CN"/>
              </w:rPr>
              <w:t>合法经营</w:t>
            </w:r>
            <w:r>
              <w:rPr>
                <w:rFonts w:hint="eastAsia" w:asciiTheme="minorEastAsia" w:hAnsiTheme="minorEastAsia" w:eastAsiaTheme="minorEastAsia" w:cstheme="minorEastAsia"/>
                <w:b w:val="0"/>
                <w:bCs/>
                <w:color w:val="auto"/>
                <w:sz w:val="21"/>
                <w:szCs w:val="21"/>
              </w:rPr>
              <w:t>，</w:t>
            </w:r>
            <w:r>
              <w:rPr>
                <w:rFonts w:hint="eastAsia" w:asciiTheme="minorEastAsia" w:hAnsiTheme="minorEastAsia" w:eastAsiaTheme="minorEastAsia" w:cstheme="minorEastAsia"/>
                <w:b w:val="0"/>
                <w:bCs/>
                <w:color w:val="auto"/>
                <w:sz w:val="21"/>
                <w:szCs w:val="21"/>
                <w:lang w:eastAsia="zh-CN"/>
              </w:rPr>
              <w:t>安全环保</w:t>
            </w:r>
            <w:r>
              <w:rPr>
                <w:rFonts w:hint="eastAsia" w:asciiTheme="minorEastAsia" w:hAnsiTheme="minorEastAsia" w:eastAsiaTheme="minorEastAsia" w:cstheme="minorEastAsia"/>
                <w:b w:val="0"/>
                <w:bCs/>
                <w:color w:val="auto"/>
                <w:sz w:val="21"/>
                <w:szCs w:val="21"/>
              </w:rPr>
              <w:t>;</w:t>
            </w:r>
          </w:p>
          <w:p>
            <w:pPr>
              <w:tabs>
                <w:tab w:val="left" w:pos="720"/>
              </w:tabs>
              <w:spacing w:line="480" w:lineRule="exact"/>
              <w:ind w:firstLine="2310" w:firstLineChars="11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color w:val="auto"/>
                <w:sz w:val="21"/>
                <w:szCs w:val="21"/>
              </w:rPr>
              <w:t>3.</w:t>
            </w:r>
            <w:r>
              <w:rPr>
                <w:rFonts w:hint="eastAsia" w:asciiTheme="minorEastAsia" w:hAnsiTheme="minorEastAsia" w:eastAsiaTheme="minorEastAsia" w:cstheme="minorEastAsia"/>
                <w:b w:val="0"/>
                <w:bCs/>
                <w:color w:val="auto"/>
                <w:sz w:val="21"/>
                <w:szCs w:val="21"/>
                <w:lang w:eastAsia="zh-CN"/>
              </w:rPr>
              <w:t>持续改进</w:t>
            </w:r>
            <w:r>
              <w:rPr>
                <w:rFonts w:hint="eastAsia" w:asciiTheme="minorEastAsia" w:hAnsiTheme="minorEastAsia" w:eastAsiaTheme="minorEastAsia" w:cstheme="minorEastAsia"/>
                <w:b w:val="0"/>
                <w:bCs/>
                <w:color w:val="auto"/>
                <w:sz w:val="21"/>
                <w:szCs w:val="21"/>
              </w:rPr>
              <w:t>，</w:t>
            </w:r>
            <w:r>
              <w:rPr>
                <w:rFonts w:hint="eastAsia" w:asciiTheme="minorEastAsia" w:hAnsiTheme="minorEastAsia" w:eastAsiaTheme="minorEastAsia" w:cstheme="minorEastAsia"/>
                <w:b w:val="0"/>
                <w:bCs/>
                <w:color w:val="auto"/>
                <w:sz w:val="21"/>
                <w:szCs w:val="21"/>
                <w:lang w:eastAsia="zh-CN"/>
              </w:rPr>
              <w:t>永攀高峰</w:t>
            </w:r>
            <w:r>
              <w:rPr>
                <w:rFonts w:hint="eastAsia" w:asciiTheme="minorEastAsia" w:hAnsiTheme="minorEastAsia" w:eastAsiaTheme="minorEastAsia" w:cstheme="minorEastAsia"/>
                <w:b w:val="0"/>
                <w:bCs/>
                <w:color w:val="auto"/>
                <w:sz w:val="21"/>
                <w:szCs w:val="21"/>
              </w:rPr>
              <w:t>。</w:t>
            </w:r>
          </w:p>
          <w:p>
            <w:pPr>
              <w:ind w:firstLine="315" w:firstLineChars="1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pPr>
              <w:ind w:firstLine="420" w:firstLineChars="200"/>
              <w:rPr>
                <w:rFonts w:hint="eastAsia" w:cs="宋体"/>
                <w:color w:val="auto"/>
              </w:rPr>
            </w:pPr>
            <w:r>
              <w:rPr>
                <w:rFonts w:hint="eastAsia" w:asciiTheme="minorEastAsia" w:hAnsiTheme="minorEastAsia" w:eastAsiaTheme="minorEastAsia" w:cstheme="minorEastAsia"/>
                <w:sz w:val="21"/>
                <w:szCs w:val="21"/>
              </w:rPr>
              <w:t>经查，质量、环境、职业健康安全管理方针没有变化。</w:t>
            </w:r>
          </w:p>
        </w:tc>
        <w:tc>
          <w:tcPr>
            <w:tcW w:w="783" w:type="dxa"/>
            <w:vAlign w:val="top"/>
          </w:tcPr>
          <w:p>
            <w:pPr>
              <w:rPr>
                <w:color w:val="auto"/>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160" w:type="dxa"/>
            <w:vAlign w:val="center"/>
          </w:tcPr>
          <w:p>
            <w:pPr>
              <w:rPr>
                <w:rFonts w:hint="eastAsia" w:cs="宋体"/>
                <w:color w:val="auto"/>
              </w:rPr>
            </w:pPr>
            <w:r>
              <w:rPr>
                <w:rFonts w:hint="eastAsia" w:asciiTheme="minorEastAsia" w:hAnsiTheme="minorEastAsia" w:eastAsiaTheme="minorEastAsia" w:cstheme="minorEastAsia"/>
                <w:sz w:val="21"/>
                <w:szCs w:val="21"/>
              </w:rPr>
              <w:t>管理目标及其实现的策划</w:t>
            </w:r>
          </w:p>
        </w:tc>
        <w:tc>
          <w:tcPr>
            <w:tcW w:w="9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QE</w:t>
            </w:r>
            <w:r>
              <w:rPr>
                <w:rFonts w:hint="eastAsia" w:asciiTheme="minorEastAsia" w:hAnsiTheme="minorEastAsia" w:eastAsiaTheme="minorEastAsia" w:cstheme="minorEastAsia"/>
                <w:sz w:val="21"/>
                <w:szCs w:val="21"/>
                <w:lang w:val="en-US" w:eastAsia="zh-CN"/>
              </w:rPr>
              <w:t>O</w:t>
            </w:r>
            <w:r>
              <w:rPr>
                <w:rFonts w:hint="eastAsia" w:asciiTheme="minorEastAsia" w:hAnsiTheme="minorEastAsia" w:eastAsiaTheme="minorEastAsia" w:cstheme="minorEastAsia"/>
                <w:sz w:val="21"/>
                <w:szCs w:val="21"/>
              </w:rPr>
              <w:t>6.2</w:t>
            </w:r>
          </w:p>
          <w:p>
            <w:pPr>
              <w:rPr>
                <w:rFonts w:hint="eastAsia"/>
                <w:color w:val="auto"/>
              </w:rPr>
            </w:pPr>
          </w:p>
        </w:tc>
        <w:tc>
          <w:tcPr>
            <w:tcW w:w="10806" w:type="dxa"/>
            <w:gridSpan w:val="2"/>
            <w:vAlign w:val="center"/>
          </w:tcPr>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总经理负责组织制定公司的管理目标，并在公司各部门进行分解，制定时考虑了公司的质量过程及其风险和机遇。</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公司质量目标：  </w:t>
            </w:r>
          </w:p>
          <w:p>
            <w:pPr>
              <w:overflowPunct w:val="0"/>
              <w:autoSpaceDE w:val="0"/>
              <w:autoSpaceDN w:val="0"/>
              <w:adjustRightInd w:val="0"/>
              <w:spacing w:line="36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一、</w:t>
            </w:r>
            <w:r>
              <w:rPr>
                <w:rFonts w:hint="eastAsia" w:asciiTheme="minorEastAsia" w:hAnsiTheme="minorEastAsia" w:eastAsiaTheme="minorEastAsia" w:cstheme="minorEastAsia"/>
                <w:sz w:val="21"/>
                <w:szCs w:val="21"/>
              </w:rPr>
              <w:t>质量目标</w:t>
            </w:r>
          </w:p>
          <w:p>
            <w:pPr>
              <w:overflowPunct w:val="0"/>
              <w:autoSpaceDE w:val="0"/>
              <w:autoSpaceDN w:val="0"/>
              <w:adjustRightIn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公司质量目标是：                                     </w:t>
            </w:r>
          </w:p>
          <w:p>
            <w:pPr>
              <w:numPr>
                <w:ilvl w:val="0"/>
                <w:numId w:val="1"/>
              </w:numPr>
              <w:spacing w:line="41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产品</w:t>
            </w:r>
            <w:r>
              <w:rPr>
                <w:rFonts w:hint="eastAsia" w:asciiTheme="minorEastAsia" w:hAnsiTheme="minorEastAsia" w:eastAsiaTheme="minorEastAsia" w:cstheme="minorEastAsia"/>
                <w:bCs/>
                <w:sz w:val="21"/>
                <w:szCs w:val="21"/>
              </w:rPr>
              <w:t>质量目标：</w:t>
            </w:r>
            <w:r>
              <w:rPr>
                <w:rFonts w:hint="eastAsia" w:asciiTheme="minorEastAsia" w:hAnsiTheme="minorEastAsia" w:eastAsiaTheme="minorEastAsia" w:cstheme="minorEastAsia"/>
                <w:color w:val="auto"/>
                <w:sz w:val="21"/>
                <w:szCs w:val="21"/>
              </w:rPr>
              <w:t>顾客满意度≥</w:t>
            </w:r>
            <w:r>
              <w:rPr>
                <w:rFonts w:hint="eastAsia" w:asciiTheme="minorEastAsia" w:hAnsiTheme="minorEastAsia" w:eastAsiaTheme="minorEastAsia" w:cstheme="minorEastAsia"/>
                <w:color w:val="auto"/>
                <w:sz w:val="21"/>
                <w:szCs w:val="21"/>
                <w:lang w:val="en-US" w:eastAsia="zh-CN"/>
              </w:rPr>
              <w:t>85</w:t>
            </w:r>
            <w:r>
              <w:rPr>
                <w:rFonts w:hint="eastAsia" w:asciiTheme="minorEastAsia" w:hAnsiTheme="minorEastAsia" w:eastAsiaTheme="minorEastAsia" w:cstheme="minorEastAsia"/>
                <w:color w:val="auto"/>
                <w:sz w:val="21"/>
                <w:szCs w:val="21"/>
              </w:rPr>
              <w:t>分；</w:t>
            </w:r>
          </w:p>
          <w:p>
            <w:pPr>
              <w:numPr>
                <w:ilvl w:val="0"/>
                <w:numId w:val="1"/>
              </w:numPr>
              <w:spacing w:line="41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产品一次交检合格率≥</w:t>
            </w:r>
            <w:r>
              <w:rPr>
                <w:rFonts w:hint="eastAsia" w:asciiTheme="minorEastAsia" w:hAnsiTheme="minorEastAsia" w:eastAsiaTheme="minorEastAsia" w:cstheme="minorEastAsia"/>
                <w:color w:val="auto"/>
                <w:sz w:val="21"/>
                <w:szCs w:val="21"/>
                <w:lang w:val="en-US" w:eastAsia="zh-CN"/>
              </w:rPr>
              <w:t>95%</w:t>
            </w:r>
          </w:p>
          <w:p>
            <w:pPr>
              <w:numPr>
                <w:ilvl w:val="0"/>
                <w:numId w:val="1"/>
              </w:numPr>
              <w:spacing w:line="41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生产计划达成率≥98%</w:t>
            </w:r>
          </w:p>
          <w:p>
            <w:pPr>
              <w:spacing w:line="41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sz w:val="21"/>
                <w:szCs w:val="21"/>
              </w:rPr>
              <w:t>环境目标：</w:t>
            </w:r>
            <w:r>
              <w:rPr>
                <w:rFonts w:hint="eastAsia" w:asciiTheme="minorEastAsia" w:hAnsiTheme="minorEastAsia" w:eastAsiaTheme="minorEastAsia" w:cstheme="minorEastAsia"/>
                <w:color w:val="auto"/>
                <w:sz w:val="21"/>
                <w:szCs w:val="21"/>
              </w:rPr>
              <w:t>1.固体废弃物分类管理，处置率100%；</w:t>
            </w:r>
          </w:p>
          <w:p>
            <w:pPr>
              <w:spacing w:line="410" w:lineRule="exact"/>
              <w:ind w:firstLine="1050" w:firstLineChars="5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2.杜绝火灾事故。</w:t>
            </w:r>
          </w:p>
          <w:p>
            <w:pPr>
              <w:spacing w:line="41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职业健康安全目标:</w:t>
            </w:r>
            <w:r>
              <w:rPr>
                <w:rFonts w:hint="eastAsia" w:asciiTheme="minorEastAsia" w:hAnsiTheme="minorEastAsia" w:eastAsiaTheme="minorEastAsia" w:cstheme="minorEastAsia"/>
                <w:sz w:val="21"/>
                <w:szCs w:val="21"/>
              </w:rPr>
              <w:t>1、火灾发生次数为0次/每年</w:t>
            </w:r>
          </w:p>
          <w:p>
            <w:pPr>
              <w:spacing w:line="410" w:lineRule="exact"/>
              <w:ind w:firstLine="1890" w:firstLineChars="9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2、操作工人意外损伤控制在0次/每年</w:t>
            </w:r>
          </w:p>
          <w:p>
            <w:pPr>
              <w:spacing w:line="410" w:lineRule="exact"/>
              <w:ind w:firstLine="1890" w:firstLineChars="9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3、触电发生次数为0次/每年</w:t>
            </w:r>
          </w:p>
          <w:p>
            <w:pPr>
              <w:tabs>
                <w:tab w:val="left" w:pos="840"/>
              </w:tabs>
              <w:spacing w:line="480" w:lineRule="exact"/>
              <w:rPr>
                <w:rFonts w:hint="eastAsia" w:asciiTheme="minorEastAsia" w:hAnsiTheme="minorEastAsia" w:eastAsiaTheme="minorEastAsia" w:cstheme="minorEastAsia"/>
                <w:bCs/>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提供《目标指标和管理方案》《目标指标和管理方案考核表》</w:t>
            </w:r>
          </w:p>
          <w:p>
            <w:pPr>
              <w:rPr>
                <w:rFonts w:hint="eastAsia" w:cs="宋体"/>
                <w:color w:val="auto"/>
              </w:rPr>
            </w:pPr>
            <w:r>
              <w:rPr>
                <w:rFonts w:hint="eastAsia" w:asciiTheme="minorEastAsia" w:hAnsiTheme="minorEastAsia" w:eastAsiaTheme="minorEastAsia" w:cstheme="minorEastAsia"/>
                <w:sz w:val="21"/>
                <w:szCs w:val="21"/>
              </w:rPr>
              <w:t>以上目标指标均已完成，管理方案规定了措施方法、完成时间表、责任人、资金等情况。详见各部门记录。</w:t>
            </w:r>
          </w:p>
        </w:tc>
        <w:tc>
          <w:tcPr>
            <w:tcW w:w="783" w:type="dxa"/>
            <w:vAlign w:val="top"/>
          </w:tcPr>
          <w:p>
            <w:pPr>
              <w:rPr>
                <w:color w:val="auto"/>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Cs/>
                <w:color w:val="auto"/>
              </w:rPr>
            </w:pPr>
            <w:r>
              <w:rPr>
                <w:rFonts w:hint="eastAsia" w:asciiTheme="minorEastAsia" w:hAnsiTheme="minorEastAsia" w:eastAsiaTheme="minorEastAsia" w:cstheme="minorEastAsia"/>
                <w:sz w:val="21"/>
                <w:szCs w:val="21"/>
              </w:rPr>
              <w:t>资源-总则</w:t>
            </w:r>
          </w:p>
        </w:tc>
        <w:tc>
          <w:tcPr>
            <w:tcW w:w="960" w:type="dxa"/>
            <w:vAlign w:val="center"/>
          </w:tcPr>
          <w:p>
            <w:pPr>
              <w:rPr>
                <w:rFonts w:hint="eastAsia" w:asciiTheme="minorEastAsia" w:hAnsiTheme="minorEastAsia" w:eastAsiaTheme="minorEastAsia" w:cstheme="minorEastAsia"/>
                <w:sz w:val="21"/>
                <w:szCs w:val="21"/>
              </w:rPr>
            </w:pPr>
          </w:p>
          <w:p>
            <w:pPr>
              <w:rPr>
                <w:color w:val="auto"/>
              </w:rPr>
            </w:pPr>
            <w:r>
              <w:rPr>
                <w:rFonts w:hint="eastAsia" w:asciiTheme="minorEastAsia" w:hAnsiTheme="minorEastAsia" w:eastAsiaTheme="minorEastAsia" w:cstheme="minorEastAsia"/>
                <w:sz w:val="21"/>
                <w:szCs w:val="21"/>
                <w:lang w:val="en-US" w:eastAsia="zh-CN"/>
              </w:rPr>
              <w:t>QEO</w:t>
            </w:r>
            <w:r>
              <w:rPr>
                <w:rFonts w:hint="eastAsia" w:asciiTheme="minorEastAsia" w:hAnsiTheme="minorEastAsia" w:eastAsiaTheme="minorEastAsia" w:cstheme="minorEastAsia"/>
                <w:sz w:val="21"/>
                <w:szCs w:val="21"/>
              </w:rPr>
              <w:t>:7.1</w:t>
            </w:r>
          </w:p>
        </w:tc>
        <w:tc>
          <w:tcPr>
            <w:tcW w:w="10806" w:type="dxa"/>
            <w:gridSpan w:val="2"/>
            <w:vAlign w:val="center"/>
          </w:tcPr>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公司根据经生产营运行需要，配备了各岗位所需人员、经营用房屋、生产设备、监视测量设备、办公设备（电脑、打印机等）、消防器材、劳动防护用品、</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经营运行资金等资源，体系建立至今，未发生资源不足影响满足客户要求的现象.</w:t>
            </w:r>
          </w:p>
          <w:p>
            <w:pPr>
              <w:ind w:firstLine="420" w:firstLineChars="200"/>
              <w:rPr>
                <w:rFonts w:hint="eastAsia"/>
                <w:color w:val="auto"/>
              </w:rPr>
            </w:pPr>
            <w:r>
              <w:rPr>
                <w:rFonts w:hint="eastAsia" w:asciiTheme="minorEastAsia" w:hAnsiTheme="minorEastAsia" w:eastAsiaTheme="minorEastAsia" w:cstheme="minorEastAsia"/>
                <w:color w:val="auto"/>
                <w:sz w:val="21"/>
                <w:szCs w:val="21"/>
              </w:rPr>
              <w:t>整个生厂区</w:t>
            </w:r>
            <w:r>
              <w:rPr>
                <w:rFonts w:hint="eastAsia" w:asciiTheme="minorEastAsia" w:hAnsiTheme="minorEastAsia" w:eastAsiaTheme="minorEastAsia" w:cstheme="minorEastAsia"/>
                <w:color w:val="auto"/>
                <w:sz w:val="21"/>
                <w:szCs w:val="21"/>
                <w:lang w:val="en-US" w:eastAsia="zh-CN"/>
              </w:rPr>
              <w:t>4100</w:t>
            </w:r>
            <w:r>
              <w:rPr>
                <w:rFonts w:hint="eastAsia" w:asciiTheme="minorEastAsia" w:hAnsiTheme="minorEastAsia" w:eastAsiaTheme="minorEastAsia" w:cstheme="minorEastAsia"/>
                <w:color w:val="auto"/>
                <w:sz w:val="21"/>
                <w:szCs w:val="21"/>
              </w:rPr>
              <w:t>平米</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办公室面积500平米，</w:t>
            </w:r>
            <w:r>
              <w:rPr>
                <w:rFonts w:hint="eastAsia" w:asciiTheme="minorEastAsia" w:hAnsiTheme="minorEastAsia" w:eastAsiaTheme="minorEastAsia" w:cstheme="minorEastAsia"/>
                <w:sz w:val="21"/>
                <w:szCs w:val="21"/>
              </w:rPr>
              <w:t>打印机、电脑、复印件、生产用设备等配备齐全。</w:t>
            </w:r>
          </w:p>
        </w:tc>
        <w:tc>
          <w:tcPr>
            <w:tcW w:w="783" w:type="dxa"/>
            <w:vAlign w:val="top"/>
          </w:tcPr>
          <w:p>
            <w:pPr>
              <w:rPr>
                <w:color w:val="auto"/>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Align w:val="center"/>
          </w:tcPr>
          <w:p>
            <w:pPr>
              <w:rPr>
                <w:rFonts w:hint="eastAsia" w:cs="宋体"/>
                <w:color w:val="FF0000"/>
              </w:rPr>
            </w:pPr>
            <w:r>
              <w:rPr>
                <w:rFonts w:hint="eastAsia" w:asciiTheme="minorEastAsia" w:hAnsiTheme="minorEastAsia" w:eastAsiaTheme="minorEastAsia" w:cstheme="minorEastAsia"/>
                <w:sz w:val="21"/>
                <w:szCs w:val="21"/>
              </w:rPr>
              <w:t>组织的知识、文件化信息</w:t>
            </w:r>
          </w:p>
        </w:tc>
        <w:tc>
          <w:tcPr>
            <w:tcW w:w="9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Q7.1.6</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QE</w:t>
            </w:r>
            <w:r>
              <w:rPr>
                <w:rFonts w:hint="eastAsia" w:asciiTheme="minorEastAsia" w:hAnsiTheme="minorEastAsia" w:eastAsiaTheme="minorEastAsia" w:cstheme="minorEastAsia"/>
                <w:sz w:val="21"/>
                <w:szCs w:val="21"/>
                <w:lang w:val="en-US" w:eastAsia="zh-CN"/>
              </w:rPr>
              <w:t>O</w:t>
            </w:r>
            <w:r>
              <w:rPr>
                <w:rFonts w:hint="eastAsia" w:asciiTheme="minorEastAsia" w:hAnsiTheme="minorEastAsia" w:eastAsiaTheme="minorEastAsia" w:cstheme="minorEastAsia"/>
                <w:sz w:val="21"/>
                <w:szCs w:val="21"/>
              </w:rPr>
              <w:t>7.5</w:t>
            </w:r>
          </w:p>
          <w:p>
            <w:pPr>
              <w:rPr>
                <w:rFonts w:hint="eastAsia" w:asciiTheme="minorEastAsia" w:hAnsiTheme="minorEastAsia" w:eastAsiaTheme="minorEastAsia" w:cstheme="minorEastAsia"/>
                <w:sz w:val="21"/>
                <w:szCs w:val="21"/>
              </w:rPr>
            </w:pPr>
          </w:p>
          <w:p>
            <w:pPr>
              <w:pStyle w:val="2"/>
              <w:rPr>
                <w:color w:val="FF0000"/>
              </w:rPr>
            </w:pPr>
          </w:p>
        </w:tc>
        <w:tc>
          <w:tcPr>
            <w:tcW w:w="10806" w:type="dxa"/>
            <w:gridSpan w:val="2"/>
            <w:vAlign w:val="center"/>
          </w:tcPr>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受审核方建立的管理体系文件包括：</w:t>
            </w:r>
          </w:p>
          <w:p>
            <w:pPr>
              <w:numPr>
                <w:ilvl w:val="0"/>
                <w:numId w:val="2"/>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管理手册</w:t>
            </w:r>
            <w:r>
              <w:rPr>
                <w:rFonts w:hint="eastAsia" w:asciiTheme="minorEastAsia" w:hAnsiTheme="minorEastAsia" w:eastAsiaTheme="minorEastAsia" w:cstheme="minorEastAsia"/>
                <w:b w:val="0"/>
                <w:bCs/>
                <w:color w:val="auto"/>
                <w:sz w:val="21"/>
                <w:szCs w:val="21"/>
                <w:lang w:eastAsia="zh-CN"/>
              </w:rPr>
              <w:t>MS</w:t>
            </w:r>
            <w:r>
              <w:rPr>
                <w:rFonts w:hint="eastAsia" w:asciiTheme="minorEastAsia" w:hAnsiTheme="minorEastAsia" w:eastAsiaTheme="minorEastAsia" w:cstheme="minorEastAsia"/>
                <w:b w:val="0"/>
                <w:bCs/>
                <w:color w:val="auto"/>
                <w:sz w:val="21"/>
                <w:szCs w:val="21"/>
              </w:rPr>
              <w:t>-QESM-2019</w:t>
            </w:r>
            <w:r>
              <w:rPr>
                <w:rFonts w:hint="eastAsia" w:asciiTheme="minorEastAsia" w:hAnsiTheme="minorEastAsia" w:eastAsiaTheme="minorEastAsia" w:cstheme="minorEastAsia"/>
                <w:b w:val="0"/>
                <w:bCs/>
                <w:color w:val="auto"/>
                <w:sz w:val="21"/>
                <w:szCs w:val="21"/>
                <w:lang w:val="en-US" w:eastAsia="zh-CN"/>
              </w:rPr>
              <w:t>A０</w:t>
            </w:r>
            <w:r>
              <w:rPr>
                <w:rFonts w:hint="eastAsia" w:asciiTheme="minorEastAsia" w:hAnsiTheme="minorEastAsia" w:eastAsiaTheme="minorEastAsia" w:cstheme="minorEastAsia"/>
                <w:bCs/>
                <w:sz w:val="21"/>
                <w:szCs w:val="21"/>
              </w:rPr>
              <w:t xml:space="preserve"> 版</w:t>
            </w:r>
            <w:r>
              <w:rPr>
                <w:rFonts w:hint="eastAsia" w:asciiTheme="minorEastAsia" w:hAnsiTheme="minorEastAsia" w:eastAsiaTheme="minorEastAsia" w:cstheme="minorEastAsia"/>
                <w:sz w:val="21"/>
                <w:szCs w:val="21"/>
              </w:rPr>
              <w:t>，发布时间：20</w:t>
            </w:r>
            <w:r>
              <w:rPr>
                <w:rFonts w:hint="eastAsia" w:asciiTheme="minorEastAsia" w:hAnsiTheme="minorEastAsia" w:eastAsiaTheme="minorEastAsia" w:cstheme="minorEastAsia"/>
                <w:sz w:val="21"/>
                <w:szCs w:val="21"/>
                <w:lang w:val="en-US" w:eastAsia="zh-CN"/>
              </w:rPr>
              <w:t>20</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.5         实施时间：20</w:t>
            </w:r>
            <w:r>
              <w:rPr>
                <w:rFonts w:hint="eastAsia" w:asciiTheme="minorEastAsia" w:hAnsiTheme="minorEastAsia" w:eastAsiaTheme="minorEastAsia" w:cstheme="minorEastAsia"/>
                <w:sz w:val="21"/>
                <w:szCs w:val="21"/>
                <w:lang w:val="en-US" w:eastAsia="zh-CN"/>
              </w:rPr>
              <w:t>20</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 xml:space="preserve">.5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2.程序文件，含</w:t>
            </w:r>
            <w:r>
              <w:rPr>
                <w:rFonts w:hint="eastAsia" w:asciiTheme="minorEastAsia" w:hAnsiTheme="minorEastAsia" w:eastAsiaTheme="minorEastAsia" w:cstheme="minorEastAsia"/>
                <w:sz w:val="21"/>
                <w:szCs w:val="21"/>
                <w:lang w:val="en-US" w:eastAsia="zh-CN"/>
              </w:rPr>
              <w:t>30</w:t>
            </w:r>
            <w:r>
              <w:rPr>
                <w:rFonts w:hint="eastAsia" w:asciiTheme="minorEastAsia" w:hAnsiTheme="minorEastAsia" w:eastAsiaTheme="minorEastAsia" w:cstheme="minorEastAsia"/>
                <w:sz w:val="21"/>
                <w:szCs w:val="21"/>
              </w:rPr>
              <w:t>个文件，包括标准要求的形成文件的信息。</w:t>
            </w:r>
          </w:p>
          <w:p>
            <w:pPr>
              <w:pStyle w:val="3"/>
              <w:tabs>
                <w:tab w:val="left" w:pos="3300"/>
                <w:tab w:val="left" w:pos="3585"/>
                <w:tab w:val="center" w:pos="4410"/>
                <w:tab w:val="left" w:pos="4620"/>
                <w:tab w:val="left" w:pos="4830"/>
                <w:tab w:val="left" w:pos="5160"/>
              </w:tabs>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3.管理制度汇编</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包括管理制度、合同管理制定、作业指导书等。</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4.体系运行所需要的文件和记录</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编制了《文件和记录控制程序》，用于对管理体系文件，符合标准要求。</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查行政部管理手册、管理制度等文件均保管良好，为有效版本，有受控标识。</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行政部负责收集有关产品的国家标准、行业标准的最新版本，分发到相关部门使用；收回旧标准。</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查见《适用的法律法规及其他要求清单》，内容包括：序号、文件名称、编号、版本等，收集基本全面，基本符合。</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以上外来文件保管良好，均为有效版本。</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查见《记录清单》，内容包括：序号、记录名称、编号、保存期、使用部门等。</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共登记有不符合项报告、顾客满意程度调查表、文件发放回收记录、外来文件清单、培训记录表、环境因素清单等。</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保存期限分别为三年和长期。</w:t>
            </w:r>
          </w:p>
          <w:p>
            <w:pPr>
              <w:ind w:firstLine="420" w:firstLineChars="200"/>
              <w:rPr>
                <w:rFonts w:hint="eastAsia"/>
                <w:color w:val="FF0000"/>
              </w:rPr>
            </w:pPr>
            <w:r>
              <w:rPr>
                <w:rFonts w:hint="eastAsia" w:asciiTheme="minorEastAsia" w:hAnsiTheme="minorEastAsia" w:eastAsiaTheme="minorEastAsia" w:cstheme="minorEastAsia"/>
                <w:sz w:val="21"/>
                <w:szCs w:val="21"/>
              </w:rPr>
              <w:t>抽查行政部文件发放登记表、培训记录表、受控文件清单，固体废弃物处置记录，填写及保管符合要求。</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 xml:space="preserve">    各部门保存各记录，按时间整理，放置在文件柜中，以便检索，综合办定期对其进行检查，目前保存完好。名称，编号构成记录的唯一性标识。</w:t>
            </w:r>
          </w:p>
        </w:tc>
        <w:tc>
          <w:tcPr>
            <w:tcW w:w="783" w:type="dxa"/>
            <w:vAlign w:val="top"/>
          </w:tcPr>
          <w:p>
            <w:pPr>
              <w:rPr>
                <w:color w:val="auto"/>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cs="宋体"/>
                <w:color w:val="auto"/>
              </w:rPr>
            </w:pPr>
            <w:r>
              <w:rPr>
                <w:rFonts w:hint="eastAsia" w:asciiTheme="minorEastAsia" w:hAnsiTheme="minorEastAsia" w:eastAsiaTheme="minorEastAsia" w:cstheme="minorEastAsia"/>
                <w:sz w:val="21"/>
                <w:szCs w:val="21"/>
              </w:rPr>
              <w:t>风险和机遇应对措施及策划</w:t>
            </w:r>
          </w:p>
        </w:tc>
        <w:tc>
          <w:tcPr>
            <w:tcW w:w="9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w:t>
            </w:r>
            <w:r>
              <w:rPr>
                <w:rFonts w:hint="eastAsia" w:asciiTheme="minorEastAsia" w:hAnsiTheme="minorEastAsia" w:eastAsiaTheme="minorEastAsia" w:cstheme="minorEastAsia"/>
                <w:sz w:val="21"/>
                <w:szCs w:val="21"/>
                <w:lang w:val="en-US" w:eastAsia="zh-CN"/>
              </w:rPr>
              <w:t>EO</w:t>
            </w:r>
            <w:r>
              <w:rPr>
                <w:rFonts w:hint="eastAsia" w:asciiTheme="minorEastAsia" w:hAnsiTheme="minorEastAsia" w:eastAsiaTheme="minorEastAsia" w:cstheme="minorEastAsia"/>
                <w:sz w:val="21"/>
                <w:szCs w:val="21"/>
              </w:rPr>
              <w:t>6.1</w:t>
            </w:r>
          </w:p>
          <w:p>
            <w:pPr>
              <w:rPr>
                <w:rFonts w:hint="eastAsia"/>
                <w:color w:val="auto"/>
              </w:rPr>
            </w:pPr>
          </w:p>
        </w:tc>
        <w:tc>
          <w:tcPr>
            <w:tcW w:w="10806" w:type="dxa"/>
            <w:gridSpan w:val="2"/>
            <w:vAlign w:val="center"/>
          </w:tcPr>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公司制定管理手册中，明确风险和机遇事件的识别方法/途径、风险和机遇事件的评估方式、制定主要风险和机遇事件的应对措施的要求、评价这些措施有效性的方法。</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制定了《风险和机遇分析、评价和应对措施的确定程序》，提供“风险与机遇评价与应对策划表”，按照销售服务、采购、支持过程/部门对风险和机遇进行了评价识别，并制定应对措施。</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如合同、协议内容评审不及时、不全面，合同签署后不能如期按照要求履约、客户公司不及时回款、盖章合同未及时收回、市场需求量减少，经济不景气，同时加上竞争对手的扩大发展，对公司产品的竞争力和价格都产生比较大的压力，市场风险比较大、力资源管理过程、文件化信息管理过程、分析、评价与改进过程等。应急管理过程人员管理过程中出现的岗位人员突然离岗多人；员工能力、不能满足岗位需求；员工思想波动，工作不安心等风险共识别多项内容。</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采取措施是：制定并严格执行合同会签制度，各部门主管负责人及总经理审阅同意后才能签署盖章</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每月按照合同、协议对账时间及时对账，催款，回款，降低资金风险。</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定期汇总分析市场情况，包括行业发展情况，相关企业产品分析，竞品分析，行业政策跟踪，以保证随时掌握行业及竞争企业的发展动态，为研发及业务拓展提供决策依据；</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要提前制定好采购计划和拓展采购的渠道，保证供应。</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如环境保护要求日益严格，对水、气、声、渣需严格控制，确保达标排放。</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取措施是：粉尘经集尘罩收集通过管道抽到中央吸尘系统的末端再经高效旋风脉冲除尘器处理，收集的目屑粉由厂家回收利用；喷漆及凉干工序废气由水帘吸收喷漆时产生的漆雾，喷漆房设置强制排风管道，管道末端设置活性碳吸附装置，处理的废气经20米高排气筒达标排放；生产废水经过清捞、沉淀、过滤后排入园内污水管网统一处理；生活废水经过隔油池处理后与办公楼、厕所产生的废水一起经化粪池处理后排入园内污水管网统一处理。</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噪声采取对设备减振、厂房隔音等措施达标排放</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固体废弃物为废木屑、废木料、除尘灰、废胶水桶、废油漆桶、废活性碳，工业固废分类收集，合理处置，办公生活垃圾纳入工业区城市环卫系统管理。</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公司提供财务支持，对主要供应商的优质产品保持价格优势，促进有序采购；</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及时获取顾客要求，对供货商进行严格资质评定，有环保要求的产品要求提供检测报告或材质单应急准备与响应控制程序、应急预案/制定目标等。</w:t>
            </w:r>
          </w:p>
          <w:p>
            <w:pPr>
              <w:ind w:firstLine="420" w:firstLineChars="200"/>
              <w:rPr>
                <w:rFonts w:hint="eastAsia"/>
                <w:color w:val="auto"/>
              </w:rPr>
            </w:pPr>
            <w:r>
              <w:rPr>
                <w:rFonts w:hint="eastAsia" w:asciiTheme="minorEastAsia" w:hAnsiTheme="minorEastAsia" w:eastAsiaTheme="minorEastAsia" w:cstheme="minorEastAsia"/>
                <w:sz w:val="21"/>
                <w:szCs w:val="21"/>
              </w:rPr>
              <w:t>风险机遇识别基本充分，应对风险和机遇的措施基本适宜。</w:t>
            </w:r>
          </w:p>
        </w:tc>
        <w:tc>
          <w:tcPr>
            <w:tcW w:w="783" w:type="dxa"/>
            <w:vAlign w:val="top"/>
          </w:tcPr>
          <w:p>
            <w:pPr>
              <w:pStyle w:val="2"/>
              <w:rPr>
                <w:color w:val="auto"/>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tabs>
                <w:tab w:val="left" w:pos="9720"/>
                <w:tab w:val="left" w:pos="9900"/>
              </w:tabs>
              <w:spacing w:beforeLines="20" w:afterLines="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法律法规和其他要求</w:t>
            </w:r>
          </w:p>
          <w:p>
            <w:pPr>
              <w:spacing w:line="280" w:lineRule="exact"/>
              <w:rPr>
                <w:rFonts w:hint="eastAsia" w:asciiTheme="minorEastAsia" w:hAnsiTheme="minorEastAsia" w:eastAsiaTheme="minorEastAsia" w:cstheme="minorEastAsia"/>
                <w:color w:val="auto"/>
                <w:sz w:val="21"/>
                <w:szCs w:val="21"/>
              </w:rPr>
            </w:pPr>
          </w:p>
          <w:p>
            <w:pPr>
              <w:tabs>
                <w:tab w:val="left" w:pos="9720"/>
                <w:tab w:val="left" w:pos="9900"/>
              </w:tabs>
              <w:spacing w:beforeLines="20" w:afterLines="20"/>
              <w:rPr>
                <w:rFonts w:hint="eastAsia" w:ascii="宋体" w:hAnsi="宋体" w:eastAsia="宋体" w:cs="宋体"/>
                <w:color w:val="FF0000"/>
                <w:sz w:val="21"/>
                <w:szCs w:val="21"/>
              </w:rPr>
            </w:pPr>
            <w:r>
              <w:rPr>
                <w:rFonts w:hint="eastAsia" w:asciiTheme="minorEastAsia" w:hAnsiTheme="minorEastAsia" w:eastAsiaTheme="minorEastAsia" w:cstheme="minorEastAsia"/>
                <w:color w:val="auto"/>
                <w:sz w:val="21"/>
                <w:szCs w:val="21"/>
              </w:rPr>
              <w:t>合规义务，合规性评价</w:t>
            </w:r>
          </w:p>
        </w:tc>
        <w:tc>
          <w:tcPr>
            <w:tcW w:w="960" w:type="dxa"/>
            <w:vAlign w:val="top"/>
          </w:tcPr>
          <w:p>
            <w:pPr>
              <w:spacing w:line="360" w:lineRule="auto"/>
              <w:ind w:left="310" w:hanging="310" w:hangingChars="147"/>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lang w:val="en-US" w:eastAsia="zh-CN"/>
              </w:rPr>
              <w:t>E</w:t>
            </w:r>
            <w:r>
              <w:rPr>
                <w:rFonts w:hint="eastAsia" w:asciiTheme="minorEastAsia" w:hAnsiTheme="minorEastAsia" w:eastAsiaTheme="minorEastAsia" w:cstheme="minorEastAsia"/>
                <w:b/>
                <w:bCs/>
                <w:color w:val="auto"/>
                <w:sz w:val="21"/>
                <w:szCs w:val="21"/>
                <w:lang w:eastAsia="zh-CN"/>
              </w:rPr>
              <w:t>O</w:t>
            </w:r>
            <w:r>
              <w:rPr>
                <w:rFonts w:hint="eastAsia" w:asciiTheme="minorEastAsia" w:hAnsiTheme="minorEastAsia" w:eastAsiaTheme="minorEastAsia" w:cstheme="minorEastAsia"/>
                <w:b/>
                <w:bCs/>
                <w:color w:val="auto"/>
                <w:sz w:val="21"/>
                <w:szCs w:val="21"/>
              </w:rPr>
              <w:t>6.1.3</w:t>
            </w:r>
          </w:p>
          <w:p>
            <w:pPr>
              <w:spacing w:line="360" w:lineRule="auto"/>
              <w:ind w:left="310" w:hanging="310" w:hangingChars="147"/>
              <w:rPr>
                <w:rFonts w:hint="eastAsia" w:asciiTheme="minorEastAsia" w:hAnsiTheme="minorEastAsia" w:eastAsiaTheme="minorEastAsia" w:cstheme="minorEastAsia"/>
                <w:b/>
                <w:bCs/>
                <w:color w:val="auto"/>
                <w:sz w:val="21"/>
                <w:szCs w:val="21"/>
              </w:rPr>
            </w:pPr>
          </w:p>
          <w:p>
            <w:pPr>
              <w:spacing w:line="360" w:lineRule="auto"/>
              <w:ind w:left="310" w:hanging="310" w:hangingChars="147"/>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lang w:val="en-US" w:eastAsia="zh-CN"/>
              </w:rPr>
              <w:t>E</w:t>
            </w:r>
            <w:r>
              <w:rPr>
                <w:rFonts w:hint="eastAsia" w:asciiTheme="minorEastAsia" w:hAnsiTheme="minorEastAsia" w:eastAsiaTheme="minorEastAsia" w:cstheme="minorEastAsia"/>
                <w:b/>
                <w:bCs/>
                <w:color w:val="auto"/>
                <w:sz w:val="21"/>
                <w:szCs w:val="21"/>
                <w:lang w:eastAsia="zh-CN"/>
              </w:rPr>
              <w:t>O</w:t>
            </w:r>
            <w:r>
              <w:rPr>
                <w:rFonts w:hint="eastAsia" w:asciiTheme="minorEastAsia" w:hAnsiTheme="minorEastAsia" w:eastAsiaTheme="minorEastAsia" w:cstheme="minorEastAsia"/>
                <w:b/>
                <w:bCs/>
                <w:color w:val="auto"/>
                <w:sz w:val="21"/>
                <w:szCs w:val="21"/>
              </w:rPr>
              <w:t>9.1.2</w:t>
            </w:r>
          </w:p>
          <w:p>
            <w:pPr>
              <w:spacing w:line="360" w:lineRule="auto"/>
              <w:ind w:left="310" w:hanging="310" w:hangingChars="147"/>
              <w:rPr>
                <w:rFonts w:hint="eastAsia" w:asciiTheme="minorEastAsia" w:hAnsiTheme="minorEastAsia" w:eastAsiaTheme="minorEastAsia" w:cstheme="minorEastAsia"/>
                <w:b/>
                <w:bCs/>
                <w:color w:val="auto"/>
                <w:sz w:val="21"/>
                <w:szCs w:val="21"/>
              </w:rPr>
            </w:pPr>
          </w:p>
          <w:p>
            <w:pPr>
              <w:spacing w:line="360" w:lineRule="auto"/>
              <w:ind w:left="310" w:hanging="310" w:hangingChars="147"/>
              <w:rPr>
                <w:rFonts w:hint="eastAsia" w:asciiTheme="minorEastAsia" w:hAnsiTheme="minorEastAsia" w:eastAsiaTheme="minorEastAsia" w:cstheme="minorEastAsia"/>
                <w:b/>
                <w:bCs/>
                <w:color w:val="auto"/>
                <w:sz w:val="21"/>
                <w:szCs w:val="21"/>
              </w:rPr>
            </w:pPr>
          </w:p>
          <w:p>
            <w:pPr>
              <w:pStyle w:val="2"/>
              <w:rPr>
                <w:rFonts w:hint="eastAsia" w:ascii="宋体" w:hAnsi="宋体" w:eastAsia="宋体" w:cs="宋体"/>
                <w:color w:val="FF0000"/>
                <w:sz w:val="21"/>
                <w:szCs w:val="21"/>
              </w:rPr>
            </w:pPr>
          </w:p>
        </w:tc>
        <w:tc>
          <w:tcPr>
            <w:tcW w:w="10806" w:type="dxa"/>
            <w:gridSpan w:val="2"/>
            <w:vAlign w:val="center"/>
          </w:tcPr>
          <w:p>
            <w:pPr>
              <w:spacing w:line="400" w:lineRule="exact"/>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司主要通过互联网查询和下载、图书馆查阅、书店购买、定期与主管部门联系等方式来识别和获取适用的环境和职业健康安全方面的法律法规等相关合规义务要求，现在已经将清单发放给各个部门。公司以培训、工作检查活动的形式将法律法规要求传达到相关人员。</w:t>
            </w:r>
          </w:p>
          <w:p>
            <w:pPr>
              <w:spacing w:line="400" w:lineRule="exact"/>
              <w:ind w:firstLine="420" w:firstLineChars="20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查到《法律法规要求清单（职业健康安全）》，</w:t>
            </w:r>
            <w:r>
              <w:rPr>
                <w:rFonts w:hint="eastAsia" w:asciiTheme="minorEastAsia" w:hAnsiTheme="minorEastAsia" w:eastAsiaTheme="minorEastAsia" w:cstheme="minorEastAsia"/>
                <w:color w:val="auto"/>
                <w:sz w:val="21"/>
                <w:szCs w:val="21"/>
                <w:lang w:eastAsia="zh-CN"/>
              </w:rPr>
              <w:t>查到包括</w:t>
            </w:r>
            <w:r>
              <w:rPr>
                <w:rFonts w:hint="eastAsia" w:asciiTheme="minorEastAsia" w:hAnsiTheme="minorEastAsia" w:eastAsiaTheme="minorEastAsia" w:cstheme="minorEastAsia"/>
                <w:color w:val="auto"/>
                <w:sz w:val="21"/>
                <w:szCs w:val="21"/>
              </w:rPr>
              <w:t>中华人民共和国劳动合同法</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中华人民共和国安全生产法</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中华人民共和国职业病防治法</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中华人民共和国国境卫生检疫法</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中华人民共和国特种设备安全法</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中华人民共和国传染病防治法</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中华人民共和国消防法</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中华人民共和国电力法</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中华人民共和国环境保护法</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中华人民共和国水污染防治法</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中华人民共和国大气污染防治法</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中华人民共和国环境噪声污染防治法</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中华人民共和国土壤污染防治法</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中华人民共和国环境影响评价法</w:t>
            </w:r>
            <w:r>
              <w:rPr>
                <w:rFonts w:hint="eastAsia" w:asciiTheme="minorEastAsia" w:hAnsiTheme="minorEastAsia" w:eastAsiaTheme="minorEastAsia" w:cstheme="minorEastAsia"/>
                <w:color w:val="auto"/>
                <w:sz w:val="21"/>
                <w:szCs w:val="21"/>
                <w:lang w:eastAsia="zh-CN"/>
              </w:rPr>
              <w:t>、福建省</w:t>
            </w:r>
            <w:r>
              <w:rPr>
                <w:rFonts w:hint="eastAsia" w:asciiTheme="minorEastAsia" w:hAnsiTheme="minorEastAsia" w:eastAsiaTheme="minorEastAsia" w:cstheme="minorEastAsia"/>
                <w:color w:val="auto"/>
                <w:sz w:val="21"/>
                <w:szCs w:val="21"/>
              </w:rPr>
              <w:t xml:space="preserve">固体废物污染环境防治条例 </w:t>
            </w:r>
            <w:r>
              <w:rPr>
                <w:rFonts w:hint="eastAsia" w:asciiTheme="minorEastAsia" w:hAnsiTheme="minorEastAsia" w:eastAsiaTheme="minorEastAsia" w:cstheme="minorEastAsia"/>
                <w:color w:val="auto"/>
                <w:sz w:val="21"/>
                <w:szCs w:val="21"/>
                <w:lang w:eastAsia="zh-CN"/>
              </w:rPr>
              <w:t>、福建省</w:t>
            </w:r>
            <w:r>
              <w:rPr>
                <w:rFonts w:hint="eastAsia" w:asciiTheme="minorEastAsia" w:hAnsiTheme="minorEastAsia" w:eastAsiaTheme="minorEastAsia" w:cstheme="minorEastAsia"/>
                <w:color w:val="auto"/>
                <w:sz w:val="21"/>
                <w:szCs w:val="21"/>
              </w:rPr>
              <w:t xml:space="preserve">节约能源条例 </w:t>
            </w:r>
            <w:r>
              <w:rPr>
                <w:rFonts w:hint="eastAsia" w:asciiTheme="minorEastAsia" w:hAnsiTheme="minorEastAsia" w:eastAsiaTheme="minorEastAsia" w:cstheme="minorEastAsia"/>
                <w:color w:val="auto"/>
                <w:sz w:val="21"/>
                <w:szCs w:val="21"/>
                <w:lang w:eastAsia="zh-CN"/>
              </w:rPr>
              <w:t>、福建省</w:t>
            </w:r>
            <w:r>
              <w:rPr>
                <w:rFonts w:hint="eastAsia" w:asciiTheme="minorEastAsia" w:hAnsiTheme="minorEastAsia" w:eastAsiaTheme="minorEastAsia" w:cstheme="minorEastAsia"/>
                <w:color w:val="auto"/>
                <w:sz w:val="21"/>
                <w:szCs w:val="21"/>
              </w:rPr>
              <w:t>水土保持条例</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lang w:eastAsia="zh-CN"/>
              </w:rPr>
              <w:t>福建省</w:t>
            </w:r>
            <w:r>
              <w:rPr>
                <w:rFonts w:hint="eastAsia" w:asciiTheme="minorEastAsia" w:hAnsiTheme="minorEastAsia" w:eastAsiaTheme="minorEastAsia" w:cstheme="minorEastAsia"/>
                <w:color w:val="auto"/>
                <w:sz w:val="21"/>
                <w:szCs w:val="21"/>
              </w:rPr>
              <w:t>地下水条例</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 xml:space="preserve">中华人民共和国环境噪声污染防治法 </w:t>
            </w:r>
            <w:r>
              <w:rPr>
                <w:rFonts w:hint="eastAsia" w:asciiTheme="minorEastAsia" w:hAnsiTheme="minorEastAsia" w:eastAsiaTheme="minorEastAsia" w:cstheme="minorEastAsia"/>
                <w:color w:val="auto"/>
                <w:sz w:val="21"/>
                <w:szCs w:val="21"/>
                <w:lang w:eastAsia="zh-CN"/>
              </w:rPr>
              <w:t>等，</w:t>
            </w:r>
            <w:r>
              <w:rPr>
                <w:rFonts w:hint="eastAsia" w:asciiTheme="minorEastAsia" w:hAnsiTheme="minorEastAsia" w:eastAsiaTheme="minorEastAsia" w:cstheme="minorEastAsia"/>
                <w:color w:val="auto"/>
                <w:sz w:val="21"/>
                <w:szCs w:val="21"/>
                <w:lang w:val="en-US" w:eastAsia="zh-CN"/>
              </w:rPr>
              <w:t>编制：易嗣友、</w:t>
            </w:r>
            <w:r>
              <w:rPr>
                <w:rFonts w:hint="eastAsia" w:asciiTheme="minorEastAsia" w:hAnsiTheme="minorEastAsia" w:eastAsiaTheme="minorEastAsia" w:cstheme="minorEastAsia"/>
                <w:color w:val="auto"/>
                <w:sz w:val="21"/>
                <w:szCs w:val="21"/>
              </w:rPr>
              <w:t>各部门负责人</w:t>
            </w:r>
            <w:r>
              <w:rPr>
                <w:rFonts w:hint="eastAsia" w:asciiTheme="minorEastAsia" w:hAnsiTheme="minorEastAsia" w:eastAsiaTheme="minorEastAsia" w:cstheme="minorEastAsia"/>
                <w:color w:val="auto"/>
                <w:sz w:val="21"/>
                <w:szCs w:val="21"/>
                <w:lang w:val="en-US" w:eastAsia="zh-CN"/>
              </w:rPr>
              <w:t xml:space="preserve">     审批：钟旭    </w:t>
            </w:r>
          </w:p>
          <w:p>
            <w:pPr>
              <w:spacing w:line="400" w:lineRule="exact"/>
              <w:ind w:firstLine="420" w:firstLineChars="200"/>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查到《法律法规遵循情况评价表 》参加人员</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 xml:space="preserve">总经理 </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 xml:space="preserve"> 各部门负责人 审批：</w:t>
            </w:r>
            <w:r>
              <w:rPr>
                <w:rFonts w:hint="eastAsia" w:asciiTheme="minorEastAsia" w:hAnsiTheme="minorEastAsia" w:eastAsiaTheme="minorEastAsia" w:cstheme="minorEastAsia"/>
                <w:bCs/>
                <w:color w:val="auto"/>
                <w:sz w:val="21"/>
                <w:szCs w:val="21"/>
                <w:lang w:eastAsia="zh-CN"/>
              </w:rPr>
              <w:t>钟旭。</w:t>
            </w:r>
          </w:p>
          <w:p>
            <w:pPr>
              <w:pStyle w:val="2"/>
              <w:ind w:firstLine="460" w:firstLineChars="200"/>
              <w:rPr>
                <w:rFonts w:hint="eastAsia" w:asciiTheme="minorEastAsia" w:hAnsiTheme="minorEastAsia" w:eastAsiaTheme="minorEastAsia" w:cstheme="minorEastAsia"/>
                <w:bCs/>
                <w:color w:val="auto"/>
                <w:spacing w:val="10"/>
                <w:sz w:val="21"/>
                <w:szCs w:val="21"/>
              </w:rPr>
            </w:pPr>
            <w:r>
              <w:rPr>
                <w:rFonts w:hint="eastAsia" w:asciiTheme="minorEastAsia" w:hAnsiTheme="minorEastAsia" w:eastAsiaTheme="minorEastAsia" w:cstheme="minorEastAsia"/>
                <w:color w:val="auto"/>
                <w:sz w:val="21"/>
                <w:szCs w:val="21"/>
              </w:rPr>
              <w:t>评价结果：</w:t>
            </w:r>
            <w:r>
              <w:rPr>
                <w:rFonts w:hint="eastAsia" w:asciiTheme="minorEastAsia" w:hAnsiTheme="minorEastAsia" w:eastAsiaTheme="minorEastAsia" w:cstheme="minorEastAsia"/>
                <w:bCs/>
                <w:color w:val="auto"/>
                <w:spacing w:val="10"/>
                <w:sz w:val="21"/>
                <w:szCs w:val="21"/>
              </w:rPr>
              <w:t>通过建立环境、职业健康安全管理体系，对环境、危险源进行了识别和控制，公司的环境、职业健康安全绩效有了较大的提高，具备了实现环境、职业健康安全目标、指标的能力。</w:t>
            </w:r>
          </w:p>
          <w:p>
            <w:pPr>
              <w:pStyle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pacing w:val="10"/>
                <w:sz w:val="21"/>
                <w:szCs w:val="21"/>
              </w:rPr>
              <w:t>公司能够遵守相关的环境、职业健康安全法律、法规。</w:t>
            </w:r>
          </w:p>
          <w:p>
            <w:pPr>
              <w:spacing w:line="400" w:lineRule="exact"/>
              <w:ind w:firstLine="480" w:firstLineChars="0"/>
              <w:rPr>
                <w:rFonts w:hint="eastAsia" w:ascii="宋体" w:hAnsi="宋体" w:eastAsia="宋体" w:cs="宋体"/>
                <w:b w:val="0"/>
                <w:bCs w:val="0"/>
                <w:color w:val="FF0000"/>
                <w:sz w:val="21"/>
                <w:szCs w:val="21"/>
              </w:rPr>
            </w:pPr>
            <w:r>
              <w:rPr>
                <w:rFonts w:hint="eastAsia" w:asciiTheme="minorEastAsia" w:hAnsiTheme="minorEastAsia" w:eastAsiaTheme="minorEastAsia" w:cstheme="minorEastAsia"/>
                <w:color w:val="auto"/>
                <w:sz w:val="21"/>
                <w:szCs w:val="21"/>
              </w:rPr>
              <w:t>通过培训、开会、发文件等形式将法律法规要求传达给了员工和相关方。合规性评价的实施基本有效。经了解，《</w:t>
            </w:r>
            <w:r>
              <w:rPr>
                <w:rFonts w:hint="eastAsia" w:asciiTheme="minorEastAsia" w:hAnsiTheme="minorEastAsia" w:eastAsiaTheme="minorEastAsia" w:cstheme="minorEastAsia"/>
                <w:color w:val="auto"/>
                <w:sz w:val="21"/>
                <w:szCs w:val="21"/>
                <w:lang w:val="en-US" w:eastAsia="zh-CN"/>
              </w:rPr>
              <w:t>2020</w:t>
            </w:r>
            <w:r>
              <w:rPr>
                <w:rFonts w:hint="eastAsia" w:asciiTheme="minorEastAsia" w:hAnsiTheme="minorEastAsia" w:eastAsiaTheme="minorEastAsia" w:cstheme="minorEastAsia"/>
                <w:color w:val="auto"/>
                <w:sz w:val="21"/>
                <w:szCs w:val="21"/>
              </w:rPr>
              <w:t>年度合规性评价报告》已经输入本年度的管理评审，</w:t>
            </w:r>
            <w:r>
              <w:rPr>
                <w:rFonts w:hint="eastAsia" w:asciiTheme="minorEastAsia" w:hAnsiTheme="minorEastAsia" w:eastAsiaTheme="minorEastAsia" w:cstheme="minorEastAsia"/>
                <w:color w:val="auto"/>
                <w:sz w:val="21"/>
                <w:szCs w:val="21"/>
                <w:lang w:eastAsia="zh-CN"/>
              </w:rPr>
              <w:t>基本</w:t>
            </w:r>
            <w:r>
              <w:rPr>
                <w:rFonts w:hint="eastAsia" w:asciiTheme="minorEastAsia" w:hAnsiTheme="minorEastAsia" w:eastAsiaTheme="minorEastAsia" w:cstheme="minorEastAsia"/>
                <w:color w:val="auto"/>
                <w:sz w:val="21"/>
                <w:szCs w:val="21"/>
              </w:rPr>
              <w:t>符合。</w:t>
            </w:r>
          </w:p>
        </w:tc>
        <w:tc>
          <w:tcPr>
            <w:tcW w:w="783" w:type="dxa"/>
            <w:vAlign w:val="top"/>
          </w:tcPr>
          <w:p>
            <w:pPr>
              <w:pStyle w:val="2"/>
              <w:rPr>
                <w:color w:val="auto"/>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cs="宋体"/>
                <w:color w:val="auto"/>
              </w:rPr>
            </w:pPr>
            <w:r>
              <w:rPr>
                <w:rFonts w:hint="eastAsia" w:asciiTheme="minorEastAsia" w:hAnsiTheme="minorEastAsia" w:eastAsiaTheme="minorEastAsia" w:cstheme="minorEastAsia"/>
                <w:sz w:val="21"/>
                <w:szCs w:val="21"/>
              </w:rPr>
              <w:t>内部审核</w:t>
            </w:r>
          </w:p>
        </w:tc>
        <w:tc>
          <w:tcPr>
            <w:tcW w:w="9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QE</w:t>
            </w:r>
            <w:r>
              <w:rPr>
                <w:rFonts w:hint="eastAsia" w:asciiTheme="minorEastAsia" w:hAnsiTheme="minorEastAsia" w:eastAsiaTheme="minorEastAsia" w:cstheme="minorEastAsia"/>
                <w:sz w:val="21"/>
                <w:szCs w:val="21"/>
                <w:lang w:val="en-US" w:eastAsia="zh-CN"/>
              </w:rPr>
              <w:t>O</w:t>
            </w:r>
            <w:r>
              <w:rPr>
                <w:rFonts w:hint="eastAsia" w:asciiTheme="minorEastAsia" w:hAnsiTheme="minorEastAsia" w:eastAsiaTheme="minorEastAsia" w:cstheme="minorEastAsia"/>
                <w:sz w:val="21"/>
                <w:szCs w:val="21"/>
              </w:rPr>
              <w:t>9.2</w:t>
            </w:r>
          </w:p>
          <w:p>
            <w:pPr>
              <w:rPr>
                <w:rFonts w:hint="eastAsia" w:asciiTheme="minorEastAsia" w:hAnsiTheme="minorEastAsia" w:eastAsiaTheme="minorEastAsia" w:cstheme="minorEastAsia"/>
                <w:sz w:val="21"/>
                <w:szCs w:val="21"/>
              </w:rPr>
            </w:pPr>
          </w:p>
          <w:p>
            <w:pPr>
              <w:rPr>
                <w:rFonts w:hint="eastAsia"/>
                <w:color w:val="auto"/>
              </w:rPr>
            </w:pPr>
          </w:p>
        </w:tc>
        <w:tc>
          <w:tcPr>
            <w:tcW w:w="10806" w:type="dxa"/>
            <w:gridSpan w:val="2"/>
            <w:vAlign w:val="center"/>
          </w:tcPr>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公司制定《内部审核控制程序》，对内部审核方案策划规定：</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1.频次：内审每年进行一次，两次内部审核的时间间隔不超过12个月。</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2.方法：按部门/过程审核。</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3.职责：体系负责人组织内部审核活动。</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4.策划要求：范围、准则、工作分配等。</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5.报告：体系负责人在内部审核结束及纠正措施完成后应向总经理报告审核结果。</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6.提供了《20</w:t>
            </w:r>
            <w:r>
              <w:rPr>
                <w:rFonts w:hint="eastAsia" w:asciiTheme="minorEastAsia" w:hAnsiTheme="minorEastAsia" w:eastAsiaTheme="minorEastAsia" w:cstheme="minorEastAsia"/>
                <w:sz w:val="21"/>
                <w:szCs w:val="21"/>
                <w:lang w:val="en-US" w:eastAsia="zh-CN"/>
              </w:rPr>
              <w:t>20</w:t>
            </w:r>
            <w:r>
              <w:rPr>
                <w:rFonts w:hint="eastAsia" w:asciiTheme="minorEastAsia" w:hAnsiTheme="minorEastAsia" w:eastAsiaTheme="minorEastAsia" w:cstheme="minorEastAsia"/>
                <w:sz w:val="21"/>
                <w:szCs w:val="21"/>
              </w:rPr>
              <w:t>年内部审核实施计划》，发布了内部管理体系审核通知，计划内容有：目的、范围、审核准则、审核时间</w:t>
            </w:r>
            <w:r>
              <w:rPr>
                <w:rFonts w:hint="eastAsia" w:asciiTheme="minorEastAsia" w:hAnsiTheme="minorEastAsia" w:eastAsiaTheme="minorEastAsia" w:cstheme="minorEastAsia"/>
                <w:color w:val="auto"/>
                <w:sz w:val="21"/>
                <w:szCs w:val="21"/>
              </w:rPr>
              <w:t>20</w:t>
            </w:r>
            <w:r>
              <w:rPr>
                <w:rFonts w:hint="eastAsia" w:asciiTheme="minorEastAsia" w:hAnsiTheme="minorEastAsia" w:eastAsiaTheme="minorEastAsia" w:cstheme="minorEastAsia"/>
                <w:color w:val="auto"/>
                <w:sz w:val="21"/>
                <w:szCs w:val="21"/>
                <w:lang w:val="en-US" w:eastAsia="zh-CN"/>
              </w:rPr>
              <w:t>20</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10</w:t>
            </w:r>
            <w:r>
              <w:rPr>
                <w:rFonts w:hint="eastAsia" w:asciiTheme="minorEastAsia" w:hAnsiTheme="minorEastAsia" w:eastAsiaTheme="minorEastAsia" w:cstheme="minorEastAsia"/>
                <w:color w:val="auto"/>
                <w:sz w:val="21"/>
                <w:szCs w:val="21"/>
              </w:rPr>
              <w:t>日。编制：行政部，日期：20</w:t>
            </w:r>
            <w:r>
              <w:rPr>
                <w:rFonts w:hint="eastAsia" w:asciiTheme="minorEastAsia" w:hAnsiTheme="minorEastAsia" w:eastAsiaTheme="minorEastAsia" w:cstheme="minorEastAsia"/>
                <w:color w:val="auto"/>
                <w:sz w:val="21"/>
                <w:szCs w:val="21"/>
                <w:lang w:val="en-US" w:eastAsia="zh-CN"/>
              </w:rPr>
              <w:t>20</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日</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查阅2019年度内部审核有关记录</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提供了审核组名单： 审核组长：</w:t>
            </w:r>
            <w:r>
              <w:rPr>
                <w:rFonts w:hint="eastAsia" w:asciiTheme="minorEastAsia" w:hAnsiTheme="minorEastAsia" w:eastAsiaTheme="minorEastAsia" w:cstheme="minorEastAsia"/>
                <w:color w:val="0D0D0D"/>
                <w:sz w:val="21"/>
                <w:szCs w:val="21"/>
                <w:lang w:val="en-US" w:eastAsia="zh-CN"/>
              </w:rPr>
              <w:t>周红萍</w:t>
            </w:r>
            <w:r>
              <w:rPr>
                <w:rFonts w:hint="eastAsia" w:asciiTheme="minorEastAsia" w:hAnsiTheme="minorEastAsia" w:eastAsiaTheme="minorEastAsia" w:cstheme="minorEastAsia"/>
                <w:color w:val="0D0D0D"/>
                <w:sz w:val="21"/>
                <w:szCs w:val="21"/>
              </w:rPr>
              <w:t>(A)</w:t>
            </w:r>
            <w:r>
              <w:rPr>
                <w:rFonts w:hint="eastAsia" w:asciiTheme="minorEastAsia" w:hAnsiTheme="minorEastAsia" w:eastAsiaTheme="minorEastAsia" w:cstheme="minorEastAsia"/>
                <w:sz w:val="21"/>
                <w:szCs w:val="21"/>
              </w:rPr>
              <w:t>)， 审核组成员：</w:t>
            </w:r>
            <w:r>
              <w:rPr>
                <w:rFonts w:hint="eastAsia" w:asciiTheme="minorEastAsia" w:hAnsiTheme="minorEastAsia" w:eastAsiaTheme="minorEastAsia" w:cstheme="minorEastAsia"/>
                <w:sz w:val="21"/>
                <w:szCs w:val="21"/>
                <w:lang w:eastAsia="zh-CN"/>
              </w:rPr>
              <w:t>易嗣友</w:t>
            </w:r>
            <w:r>
              <w:rPr>
                <w:rFonts w:hint="eastAsia" w:asciiTheme="minorEastAsia" w:hAnsiTheme="minorEastAsia" w:eastAsiaTheme="minorEastAsia" w:cstheme="minorEastAsia"/>
                <w:color w:val="0D0D0D"/>
                <w:sz w:val="21"/>
                <w:szCs w:val="21"/>
              </w:rPr>
              <w:t>(B)</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审核范围：公司领导层、各部门。查全条款覆盖。</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3.审核准则：ISO9001:2015《质量管理体系 要求》、ISO14001：2015《环境管理体系 要求及使用指南》、GB/T</w:t>
            </w:r>
            <w:r>
              <w:rPr>
                <w:rFonts w:hint="eastAsia" w:asciiTheme="minorEastAsia" w:hAnsiTheme="minorEastAsia" w:eastAsiaTheme="minorEastAsia" w:cstheme="minorEastAsia"/>
                <w:sz w:val="21"/>
                <w:szCs w:val="21"/>
                <w:lang w:val="en-US" w:eastAsia="zh-CN"/>
              </w:rPr>
              <w:t>45001-2020</w:t>
            </w:r>
            <w:r>
              <w:rPr>
                <w:rFonts w:hint="eastAsia" w:asciiTheme="minorEastAsia" w:hAnsiTheme="minorEastAsia" w:eastAsiaTheme="minorEastAsia" w:cstheme="minorEastAsia"/>
                <w:sz w:val="21"/>
                <w:szCs w:val="21"/>
              </w:rPr>
              <w:t>《职业健康安全管理体系 要求》、公司管理体系文件、适用的法律法规、产品标准等。</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4.提供了《内审首次会议签到表》，参加人有各部门负责人等。</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5.提供了《内审检查表》，经查阅对照，受审核部门涉及条款与公司管理体系职责分配相一致。审核记录基本满足要求。</w:t>
            </w:r>
          </w:p>
          <w:p>
            <w:pPr>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6.提供了《内审不合格报告》</w:t>
            </w:r>
          </w:p>
          <w:p>
            <w:pPr>
              <w:spacing w:line="360" w:lineRule="auto"/>
              <w:jc w:val="left"/>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不符合事实描述：生产车间生产现场一堆半成品未有任何标识,类似问题还有数处。不符合标准条款：不符合ISO 19001标准条款：</w:t>
            </w:r>
            <w:r>
              <w:rPr>
                <w:rFonts w:hint="eastAsia" w:asciiTheme="minorEastAsia" w:hAnsiTheme="minorEastAsia" w:eastAsiaTheme="minorEastAsia" w:cstheme="minorEastAsia"/>
                <w:sz w:val="21"/>
                <w:szCs w:val="21"/>
                <w:u w:val="single"/>
                <w:lang w:val="en-US" w:eastAsia="zh-CN"/>
              </w:rPr>
              <w:t>7.1.5</w:t>
            </w:r>
            <w:r>
              <w:rPr>
                <w:rFonts w:hint="eastAsia" w:asciiTheme="minorEastAsia" w:hAnsiTheme="minorEastAsia" w:eastAsiaTheme="minorEastAsia" w:cstheme="minorEastAsia"/>
                <w:sz w:val="21"/>
                <w:szCs w:val="21"/>
                <w:u w:val="single"/>
              </w:rPr>
              <w:t>（Q）也</w:t>
            </w:r>
            <w:r>
              <w:rPr>
                <w:rFonts w:hint="eastAsia" w:asciiTheme="minorEastAsia" w:hAnsiTheme="minorEastAsia" w:eastAsiaTheme="minorEastAsia" w:cstheme="minorEastAsia"/>
                <w:sz w:val="21"/>
                <w:szCs w:val="21"/>
              </w:rPr>
              <w:t>不符合本公司程序文件</w:t>
            </w:r>
            <w:r>
              <w:rPr>
                <w:rFonts w:hint="eastAsia" w:asciiTheme="minorEastAsia" w:hAnsiTheme="minorEastAsia" w:eastAsiaTheme="minorEastAsia" w:cstheme="minorEastAsia"/>
                <w:kern w:val="0"/>
                <w:sz w:val="21"/>
                <w:szCs w:val="21"/>
                <w:u w:val="single"/>
              </w:rPr>
              <w:t>的要求</w:t>
            </w:r>
            <w:r>
              <w:rPr>
                <w:rFonts w:hint="eastAsia" w:asciiTheme="minorEastAsia" w:hAnsiTheme="minorEastAsia" w:eastAsiaTheme="minorEastAsia" w:cstheme="minorEastAsia"/>
                <w:sz w:val="21"/>
                <w:szCs w:val="21"/>
              </w:rPr>
              <w:t>。对于涉及不符合项的部门，进行了原因分析并制定纠正措施计划，经过审核组验证，纠正措施有效。</w:t>
            </w:r>
          </w:p>
          <w:p>
            <w:pPr>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提供《审核报告》审核报告中包括审核目的、审核范围、审核依据、审核内容摘要、审核结论等内容，对审核过程进行了综述，对公司管理体系的符合性进行了评价，针对不足部门提出了建议改进即：对于所有审核中发现的不合格，部门应分析不合格原因，提出纠正和纠正措施计划，组织相关部门人员进行质理体系标准条款学习，进行不符合项整改，要求在30日内整改完毕，由管代组织相关内审员对整改后的情况进行跟踪验证，确认纠正及纠正措施有效，体系的建立、运行符合质量管理体系要求。</w:t>
            </w:r>
          </w:p>
          <w:p>
            <w:pPr>
              <w:spacing w:line="360" w:lineRule="auto"/>
              <w:ind w:firstLine="48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审核结论：</w:t>
            </w:r>
            <w:r>
              <w:rPr>
                <w:rFonts w:hint="eastAsia" w:asciiTheme="minorEastAsia" w:hAnsiTheme="minorEastAsia" w:eastAsiaTheme="minorEastAsia" w:cstheme="minorEastAsia"/>
                <w:color w:val="000000"/>
                <w:sz w:val="21"/>
                <w:szCs w:val="21"/>
              </w:rPr>
              <w:t>本公司管理体系是符合</w:t>
            </w:r>
            <w:r>
              <w:rPr>
                <w:rFonts w:hint="eastAsia" w:asciiTheme="minorEastAsia" w:hAnsiTheme="minorEastAsia" w:eastAsiaTheme="minorEastAsia" w:cstheme="minorEastAsia"/>
                <w:sz w:val="21"/>
                <w:szCs w:val="21"/>
              </w:rPr>
              <w:t>GB/T19001-2016/ISO 9001：2015《质量管理体系  要求》、</w:t>
            </w:r>
            <w:r>
              <w:rPr>
                <w:rFonts w:hint="eastAsia" w:asciiTheme="minorEastAsia" w:hAnsiTheme="minorEastAsia" w:eastAsiaTheme="minorEastAsia" w:cstheme="minorEastAsia"/>
                <w:color w:val="000000"/>
                <w:sz w:val="21"/>
                <w:szCs w:val="21"/>
              </w:rPr>
              <w:t>GB／T</w:t>
            </w:r>
            <w:r>
              <w:rPr>
                <w:rFonts w:hint="eastAsia" w:asciiTheme="minorEastAsia" w:hAnsiTheme="minorEastAsia" w:eastAsiaTheme="minorEastAsia" w:cstheme="minorEastAsia"/>
                <w:color w:val="000000"/>
                <w:sz w:val="21"/>
                <w:szCs w:val="21"/>
                <w:lang w:val="en-US" w:eastAsia="zh-CN"/>
              </w:rPr>
              <w:t>45</w:t>
            </w:r>
            <w:r>
              <w:rPr>
                <w:rFonts w:hint="eastAsia" w:asciiTheme="minorEastAsia" w:hAnsiTheme="minorEastAsia" w:eastAsiaTheme="minorEastAsia" w:cstheme="minorEastAsia"/>
                <w:color w:val="000000"/>
                <w:sz w:val="21"/>
                <w:szCs w:val="21"/>
              </w:rPr>
              <w:t>001-2011《职业健康安全管理体系——要求》和GB/T24001-2016/ISO 14001：2015《环境管理体系——要求及使用指南》三个标准要求的，也是符合相关法律、法规要求的。在管理体系运行的过程中，本公司认为是较适宜的、充分的，其运行是有较的。本公司的管理方针得到了广泛的宣传和贯彻，并成为广大员工的自觉行为，各职能部门能按公司管理体系文件的要求执行，但某些部门或车间在执行管理体系文件的过程中仍存在着问题，还有待于持续改进。</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编制：行政部 批准：</w:t>
            </w:r>
            <w:r>
              <w:rPr>
                <w:rFonts w:hint="eastAsia" w:asciiTheme="minorEastAsia" w:hAnsiTheme="minorEastAsia" w:eastAsiaTheme="minorEastAsia" w:cstheme="minorEastAsia"/>
                <w:sz w:val="21"/>
                <w:szCs w:val="21"/>
                <w:lang w:val="en-US" w:eastAsia="zh-CN"/>
              </w:rPr>
              <w:t>钟旭</w:t>
            </w:r>
            <w:r>
              <w:rPr>
                <w:rFonts w:hint="eastAsia" w:asciiTheme="minorEastAsia" w:hAnsiTheme="minorEastAsia" w:eastAsiaTheme="minorEastAsia" w:cstheme="minorEastAsia"/>
                <w:sz w:val="21"/>
                <w:szCs w:val="21"/>
              </w:rPr>
              <w:t>，时间：</w:t>
            </w:r>
            <w:r>
              <w:rPr>
                <w:rFonts w:hint="eastAsia" w:asciiTheme="minorEastAsia" w:hAnsiTheme="minorEastAsia" w:eastAsiaTheme="minorEastAsia" w:cstheme="minorEastAsia"/>
                <w:color w:val="auto"/>
                <w:sz w:val="21"/>
                <w:szCs w:val="21"/>
                <w:lang w:val="en-US" w:eastAsia="zh-CN"/>
              </w:rPr>
              <w:t>2020.9.10</w:t>
            </w:r>
          </w:p>
          <w:p>
            <w:pPr>
              <w:ind w:firstLine="420" w:firstLineChars="200"/>
              <w:rPr>
                <w:rFonts w:hint="eastAsia" w:cs="宋体"/>
                <w:color w:val="auto"/>
              </w:rPr>
            </w:pPr>
            <w:r>
              <w:rPr>
                <w:rFonts w:hint="eastAsia" w:asciiTheme="minorEastAsia" w:hAnsiTheme="minorEastAsia" w:eastAsiaTheme="minorEastAsia" w:cstheme="minorEastAsia"/>
                <w:sz w:val="21"/>
                <w:szCs w:val="21"/>
              </w:rPr>
              <w:t>提供了内审员培训记录，审核员没有审核自己部门工作，具有独立性。</w:t>
            </w:r>
          </w:p>
        </w:tc>
        <w:tc>
          <w:tcPr>
            <w:tcW w:w="783" w:type="dxa"/>
            <w:vAlign w:val="top"/>
          </w:tcPr>
          <w:p>
            <w:pPr>
              <w:pStyle w:val="2"/>
              <w:rPr>
                <w:color w:val="auto"/>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cs="宋体"/>
                <w:color w:val="auto"/>
              </w:rPr>
            </w:pPr>
            <w:r>
              <w:rPr>
                <w:rFonts w:hint="eastAsia" w:asciiTheme="minorEastAsia" w:hAnsiTheme="minorEastAsia" w:eastAsiaTheme="minorEastAsia" w:cstheme="minorEastAsia"/>
                <w:sz w:val="21"/>
                <w:szCs w:val="21"/>
              </w:rPr>
              <w:t>管理评审</w:t>
            </w:r>
          </w:p>
        </w:tc>
        <w:tc>
          <w:tcPr>
            <w:tcW w:w="960"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QE</w:t>
            </w:r>
            <w:r>
              <w:rPr>
                <w:rFonts w:hint="eastAsia" w:asciiTheme="minorEastAsia" w:hAnsiTheme="minorEastAsia" w:eastAsiaTheme="minorEastAsia" w:cstheme="minorEastAsia"/>
                <w:sz w:val="21"/>
                <w:szCs w:val="21"/>
                <w:lang w:val="en-US" w:eastAsia="zh-CN"/>
              </w:rPr>
              <w:t>O</w:t>
            </w:r>
            <w:r>
              <w:rPr>
                <w:rFonts w:hint="eastAsia" w:asciiTheme="minorEastAsia" w:hAnsiTheme="minorEastAsia" w:eastAsiaTheme="minorEastAsia" w:cstheme="minorEastAsia"/>
                <w:sz w:val="21"/>
                <w:szCs w:val="21"/>
              </w:rPr>
              <w:t>9.3</w:t>
            </w:r>
          </w:p>
          <w:p>
            <w:pPr>
              <w:rPr>
                <w:rFonts w:hint="eastAsia"/>
                <w:color w:val="auto"/>
              </w:rPr>
            </w:pPr>
          </w:p>
        </w:tc>
        <w:tc>
          <w:tcPr>
            <w:tcW w:w="10806" w:type="dxa"/>
            <w:gridSpan w:val="2"/>
            <w:vAlign w:val="center"/>
          </w:tcPr>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公司依据：GB/T19001-2016\GB/T24001-2016\GB/T</w:t>
            </w:r>
            <w:r>
              <w:rPr>
                <w:rFonts w:hint="eastAsia" w:asciiTheme="minorEastAsia" w:hAnsiTheme="minorEastAsia" w:eastAsiaTheme="minorEastAsia" w:cstheme="minorEastAsia"/>
                <w:sz w:val="21"/>
                <w:szCs w:val="21"/>
                <w:lang w:val="en-US" w:eastAsia="zh-CN"/>
              </w:rPr>
              <w:t>45</w:t>
            </w:r>
            <w:r>
              <w:rPr>
                <w:rFonts w:hint="eastAsia" w:asciiTheme="minorEastAsia" w:hAnsiTheme="minorEastAsia" w:eastAsiaTheme="minorEastAsia" w:cstheme="minorEastAsia"/>
                <w:sz w:val="21"/>
                <w:szCs w:val="21"/>
              </w:rPr>
              <w:t>001-20</w:t>
            </w:r>
            <w:r>
              <w:rPr>
                <w:rFonts w:hint="eastAsia" w:asciiTheme="minorEastAsia" w:hAnsiTheme="minorEastAsia" w:eastAsiaTheme="minorEastAsia" w:cstheme="minorEastAsia"/>
                <w:sz w:val="21"/>
                <w:szCs w:val="21"/>
                <w:lang w:val="en-US" w:eastAsia="zh-CN"/>
              </w:rPr>
              <w:t>20</w:t>
            </w:r>
            <w:r>
              <w:rPr>
                <w:rFonts w:hint="eastAsia" w:asciiTheme="minorEastAsia" w:hAnsiTheme="minorEastAsia" w:eastAsiaTheme="minorEastAsia" w:cstheme="minorEastAsia"/>
                <w:sz w:val="21"/>
                <w:szCs w:val="21"/>
              </w:rPr>
              <w:t>标准进行管理评审。</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目前按标准要求平稳运行，至今暂无变更情况发生。</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查阅公司管理评审资料：</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一、管理评审计划，由</w:t>
            </w:r>
            <w:r>
              <w:rPr>
                <w:rFonts w:hint="eastAsia" w:asciiTheme="minorEastAsia" w:hAnsiTheme="minorEastAsia" w:eastAsiaTheme="minorEastAsia" w:cstheme="minorEastAsia"/>
                <w:sz w:val="21"/>
                <w:szCs w:val="21"/>
                <w:lang w:val="en-US" w:eastAsia="zh-CN"/>
              </w:rPr>
              <w:t>行政</w:t>
            </w:r>
            <w:r>
              <w:rPr>
                <w:rFonts w:hint="eastAsia" w:asciiTheme="minorEastAsia" w:hAnsiTheme="minorEastAsia" w:eastAsiaTheme="minorEastAsia" w:cstheme="minorEastAsia"/>
                <w:sz w:val="21"/>
                <w:szCs w:val="21"/>
              </w:rPr>
              <w:t>部</w:t>
            </w:r>
            <w:r>
              <w:rPr>
                <w:rFonts w:hint="eastAsia" w:asciiTheme="minorEastAsia" w:hAnsiTheme="minorEastAsia" w:eastAsiaTheme="minorEastAsia" w:cstheme="minorEastAsia"/>
                <w:color w:val="auto"/>
                <w:sz w:val="21"/>
                <w:szCs w:val="21"/>
              </w:rPr>
              <w:t>20</w:t>
            </w:r>
            <w:r>
              <w:rPr>
                <w:rFonts w:hint="eastAsia" w:asciiTheme="minorEastAsia" w:hAnsiTheme="minorEastAsia" w:eastAsiaTheme="minorEastAsia" w:cstheme="minorEastAsia"/>
                <w:color w:val="auto"/>
                <w:sz w:val="21"/>
                <w:szCs w:val="21"/>
                <w:lang w:val="en-US" w:eastAsia="zh-CN"/>
              </w:rPr>
              <w:t>20</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5日提出，评审时间：20</w:t>
            </w:r>
            <w:r>
              <w:rPr>
                <w:rFonts w:hint="eastAsia" w:asciiTheme="minorEastAsia" w:hAnsiTheme="minorEastAsia" w:eastAsiaTheme="minorEastAsia" w:cstheme="minorEastAsia"/>
                <w:color w:val="auto"/>
                <w:sz w:val="21"/>
                <w:szCs w:val="21"/>
                <w:lang w:val="en-US" w:eastAsia="zh-CN"/>
              </w:rPr>
              <w:t>20</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21</w:t>
            </w:r>
            <w:r>
              <w:rPr>
                <w:rFonts w:hint="eastAsia" w:asciiTheme="minorEastAsia" w:hAnsiTheme="minorEastAsia" w:eastAsiaTheme="minorEastAsia" w:cstheme="minorEastAsia"/>
                <w:color w:val="auto"/>
                <w:sz w:val="21"/>
                <w:szCs w:val="21"/>
              </w:rPr>
              <w:t>日,</w:t>
            </w:r>
            <w:r>
              <w:rPr>
                <w:rFonts w:hint="eastAsia" w:asciiTheme="minorEastAsia" w:hAnsiTheme="minorEastAsia" w:eastAsiaTheme="minorEastAsia" w:cstheme="minorEastAsia"/>
                <w:sz w:val="21"/>
                <w:szCs w:val="21"/>
              </w:rPr>
              <w:t>评审方式：会议评审</w:t>
            </w:r>
          </w:p>
          <w:p>
            <w:pPr>
              <w:tabs>
                <w:tab w:val="right" w:leader="dot" w:pos="8190"/>
              </w:tabs>
              <w:adjustRightInd w:val="0"/>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参加人员：总经理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管理者代表</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安全事务代表</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行政部</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采购部主任</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生产部主任</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业务</w:t>
            </w:r>
            <w:r>
              <w:rPr>
                <w:rFonts w:hint="eastAsia" w:asciiTheme="minorEastAsia" w:hAnsiTheme="minorEastAsia" w:eastAsiaTheme="minorEastAsia" w:cstheme="minorEastAsia"/>
                <w:sz w:val="21"/>
                <w:szCs w:val="21"/>
              </w:rPr>
              <w:t>部主任</w:t>
            </w:r>
            <w:r>
              <w:rPr>
                <w:rFonts w:hint="eastAsia" w:asciiTheme="minorEastAsia" w:hAnsiTheme="minorEastAsia" w:eastAsiaTheme="minorEastAsia" w:cstheme="minorEastAsia"/>
                <w:sz w:val="21"/>
                <w:szCs w:val="21"/>
                <w:lang w:eastAsia="zh-CN"/>
              </w:rPr>
              <w:t>，</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二、管理评审输入：</w:t>
            </w:r>
          </w:p>
          <w:p>
            <w:pPr>
              <w:spacing w:line="360" w:lineRule="auto"/>
              <w:ind w:left="48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组织环境、相关方需求、风险和机遇、公司的管理方针、管理目标、指标的执行和完成情况；产品质量和顾客满意情况；</w:t>
            </w:r>
          </w:p>
          <w:p>
            <w:pPr>
              <w:spacing w:line="360" w:lineRule="auto"/>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资源的配备；纠正和预防措施情况；</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以上内容通过会上工作总结、汇报等形式体现。</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三、查看“管理评审报告”，报告中对本次管理评审做了总结，评价了公司建立、运行管理体系的效果。</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四、管理评审输出/评审结论：</w:t>
            </w:r>
          </w:p>
          <w:p>
            <w:pPr>
              <w:spacing w:line="40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自体系建立以来，公司的质量管理体系运行全面展开，通过新版的运行，收到良好的效果，经评审认为本公司的质量管理体系的建立和运行是充分的、适宜的、有效的。已具备了认证审核的条件。</w:t>
            </w:r>
          </w:p>
          <w:p>
            <w:pPr>
              <w:autoSpaceDE w:val="0"/>
              <w:autoSpaceDN w:val="0"/>
              <w:adjustRightInd w:val="0"/>
              <w:spacing w:line="360" w:lineRule="auto"/>
              <w:jc w:val="left"/>
              <w:rPr>
                <w:rFonts w:hint="eastAsia" w:cs="宋体"/>
                <w:color w:val="auto"/>
              </w:rPr>
            </w:pPr>
          </w:p>
        </w:tc>
        <w:tc>
          <w:tcPr>
            <w:tcW w:w="783" w:type="dxa"/>
            <w:vAlign w:val="top"/>
          </w:tcPr>
          <w:p>
            <w:pPr>
              <w:pStyle w:val="2"/>
              <w:rPr>
                <w:color w:val="auto"/>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2160" w:type="dxa"/>
            <w:vAlign w:val="center"/>
          </w:tcPr>
          <w:p>
            <w:pPr>
              <w:rPr>
                <w:color w:val="auto"/>
                <w:sz w:val="21"/>
                <w:szCs w:val="21"/>
              </w:rPr>
            </w:pPr>
            <w:r>
              <w:rPr>
                <w:rFonts w:hint="eastAsia" w:asciiTheme="minorEastAsia" w:hAnsiTheme="minorEastAsia" w:eastAsiaTheme="minorEastAsia" w:cstheme="minorEastAsia"/>
                <w:sz w:val="21"/>
                <w:szCs w:val="21"/>
              </w:rPr>
              <w:t>基础设施</w:t>
            </w:r>
          </w:p>
        </w:tc>
        <w:tc>
          <w:tcPr>
            <w:tcW w:w="960" w:type="dxa"/>
            <w:vAlign w:val="center"/>
          </w:tcPr>
          <w:p>
            <w:pPr>
              <w:rPr>
                <w:rFonts w:hint="default" w:eastAsia="宋体"/>
                <w:color w:val="auto"/>
                <w:sz w:val="21"/>
                <w:szCs w:val="21"/>
                <w:lang w:val="en-US" w:eastAsia="zh-CN"/>
              </w:rPr>
            </w:pPr>
            <w:r>
              <w:rPr>
                <w:rFonts w:hint="eastAsia" w:asciiTheme="minorEastAsia" w:hAnsiTheme="minorEastAsia" w:eastAsiaTheme="minorEastAsia" w:cstheme="minorEastAsia"/>
                <w:sz w:val="21"/>
                <w:szCs w:val="21"/>
              </w:rPr>
              <w:t>Q7.1.3</w:t>
            </w:r>
          </w:p>
        </w:tc>
        <w:tc>
          <w:tcPr>
            <w:tcW w:w="10760" w:type="dxa"/>
            <w:vAlign w:val="center"/>
          </w:tcPr>
          <w:p>
            <w:pPr>
              <w:pStyle w:val="2"/>
              <w:rPr>
                <w:rFonts w:hint="eastAsia"/>
                <w:szCs w:val="22"/>
                <w:lang w:val="en-US" w:eastAsia="zh-CN"/>
              </w:rPr>
            </w:pPr>
            <w:r>
              <w:rPr>
                <w:rFonts w:hint="eastAsia"/>
              </w:rPr>
              <w:t>查《生产设备台帐》，主要生产设备有</w:t>
            </w:r>
            <w:r>
              <w:rPr>
                <w:rFonts w:hint="eastAsia"/>
                <w:lang w:val="en-US" w:eastAsia="zh-CN"/>
              </w:rPr>
              <w:t>电子开料锯、雕刻机、推台锯封边机、排孔机、铰链排孔机、立式双轴木工铣床、立式单轴木工铣床、立带窜动式磨光机、变频液压式冷压机、液压机、45°封边机、缝纫机、超大型吸尘器等。</w:t>
            </w:r>
          </w:p>
          <w:p>
            <w:pPr>
              <w:pStyle w:val="2"/>
              <w:rPr>
                <w:rFonts w:hint="default"/>
                <w:szCs w:val="22"/>
                <w:lang w:val="en-US" w:eastAsia="zh-CN"/>
              </w:rPr>
            </w:pPr>
            <w:r>
              <w:rPr>
                <w:rFonts w:hint="eastAsia"/>
                <w:szCs w:val="22"/>
                <w:lang w:val="en-US" w:eastAsia="zh-CN"/>
              </w:rPr>
              <w:t>特种设备： 龙工叉车一台，二阶段详细查询。</w:t>
            </w:r>
          </w:p>
          <w:p>
            <w:pPr>
              <w:rPr>
                <w:rFonts w:hint="default" w:eastAsia="宋体"/>
                <w:color w:val="auto"/>
                <w:sz w:val="21"/>
                <w:szCs w:val="21"/>
                <w:lang w:val="en-US" w:eastAsia="zh-CN"/>
              </w:rPr>
            </w:pPr>
            <w:r>
              <w:rPr>
                <w:rFonts w:hint="eastAsia"/>
                <w:lang w:val="en-US" w:eastAsia="zh-CN"/>
              </w:rPr>
              <w:t>环保设备：螺杆式空气压缩机、冷冻式空气干燥机、中央除尘系统、灭火器等，</w:t>
            </w:r>
          </w:p>
        </w:tc>
        <w:tc>
          <w:tcPr>
            <w:tcW w:w="829" w:type="dxa"/>
            <w:gridSpan w:val="2"/>
          </w:tcPr>
          <w:p>
            <w:pPr>
              <w:pStyle w:val="2"/>
              <w:rPr>
                <w:color w:val="auto"/>
                <w:sz w:val="21"/>
                <w:szCs w:val="21"/>
              </w:rPr>
            </w:pPr>
          </w:p>
          <w:p>
            <w:pPr>
              <w:pStyle w:val="2"/>
              <w:rPr>
                <w:rFonts w:hint="default" w:eastAsia="宋体"/>
                <w:color w:val="auto"/>
                <w:sz w:val="21"/>
                <w:szCs w:val="21"/>
                <w:lang w:val="en-US" w:eastAsia="zh-CN"/>
              </w:rPr>
            </w:pPr>
            <w:r>
              <w:rPr>
                <w:rFonts w:hint="eastAsia"/>
                <w:color w:val="auto"/>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spacing w:line="240" w:lineRule="auto"/>
              <w:rPr>
                <w:rFonts w:hint="eastAsia"/>
                <w:color w:val="auto"/>
              </w:rPr>
            </w:pPr>
            <w:r>
              <w:rPr>
                <w:rFonts w:hint="eastAsia" w:asciiTheme="minorEastAsia" w:hAnsiTheme="minorEastAsia" w:eastAsiaTheme="minorEastAsia" w:cstheme="minorEastAsia"/>
                <w:sz w:val="21"/>
                <w:szCs w:val="21"/>
              </w:rPr>
              <w:t>监视和测量资源</w:t>
            </w:r>
          </w:p>
        </w:tc>
        <w:tc>
          <w:tcPr>
            <w:tcW w:w="960" w:type="dxa"/>
            <w:vAlign w:val="center"/>
          </w:tcPr>
          <w:p>
            <w:pPr>
              <w:spacing w:line="24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Q</w:t>
            </w:r>
            <w:r>
              <w:rPr>
                <w:rFonts w:hint="eastAsia" w:asciiTheme="minorEastAsia" w:hAnsiTheme="minorEastAsia" w:eastAsiaTheme="minorEastAsia" w:cstheme="minorEastAsia"/>
                <w:color w:val="auto"/>
                <w:sz w:val="21"/>
                <w:szCs w:val="21"/>
                <w:lang w:val="en-US" w:eastAsia="zh-CN"/>
              </w:rPr>
              <w:t>7.1.5</w:t>
            </w:r>
          </w:p>
          <w:p>
            <w:pPr>
              <w:spacing w:line="240" w:lineRule="auto"/>
              <w:rPr>
                <w:rFonts w:hint="eastAsia"/>
                <w:color w:val="auto"/>
                <w:sz w:val="21"/>
                <w:szCs w:val="21"/>
                <w:lang w:val="en-US" w:eastAsia="zh-CN"/>
              </w:rPr>
            </w:pPr>
          </w:p>
        </w:tc>
        <w:tc>
          <w:tcPr>
            <w:tcW w:w="10760" w:type="dxa"/>
            <w:vAlign w:val="center"/>
          </w:tcPr>
          <w:p>
            <w:pPr>
              <w:spacing w:line="240" w:lineRule="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提供了《监视和测量设备登记及送检计划》内容包括监视设备名称、规格、检定周期等。</w:t>
            </w:r>
          </w:p>
          <w:p>
            <w:pPr>
              <w:spacing w:line="24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eastAsia="zh-CN"/>
              </w:rPr>
              <w:t>检测设备：</w:t>
            </w:r>
            <w:r>
              <w:rPr>
                <w:rFonts w:hint="eastAsia" w:asciiTheme="minorEastAsia" w:hAnsiTheme="minorEastAsia" w:eastAsiaTheme="minorEastAsia" w:cstheme="minorEastAsia"/>
                <w:color w:val="auto"/>
                <w:sz w:val="21"/>
                <w:szCs w:val="21"/>
                <w:lang w:val="en-US" w:eastAsia="zh-CN"/>
              </w:rPr>
              <w:t>游标卡尺、钢卷尺等，提供有效期内的游标卡尺、钢卷尺等检定/校准证书。</w:t>
            </w:r>
          </w:p>
          <w:p>
            <w:pPr>
              <w:pStyle w:val="2"/>
              <w:rPr>
                <w:rFonts w:hint="eastAsia" w:eastAsia="宋体"/>
                <w:lang w:val="en-US" w:eastAsia="zh-CN"/>
              </w:rPr>
            </w:pPr>
            <w:r>
              <w:drawing>
                <wp:inline distT="0" distB="0" distL="114300" distR="114300">
                  <wp:extent cx="2352675" cy="1567815"/>
                  <wp:effectExtent l="0" t="0" r="9525" b="133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2352675" cy="1567815"/>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2246630" cy="1596390"/>
                  <wp:effectExtent l="0" t="0" r="127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stretch>
                            <a:fillRect/>
                          </a:stretch>
                        </pic:blipFill>
                        <pic:spPr>
                          <a:xfrm rot="10800000">
                            <a:off x="0" y="0"/>
                            <a:ext cx="2246630" cy="1596390"/>
                          </a:xfrm>
                          <a:prstGeom prst="rect">
                            <a:avLst/>
                          </a:prstGeom>
                          <a:noFill/>
                          <a:ln>
                            <a:noFill/>
                          </a:ln>
                        </pic:spPr>
                      </pic:pic>
                    </a:graphicData>
                  </a:graphic>
                </wp:inline>
              </w:drawing>
            </w:r>
          </w:p>
          <w:p>
            <w:pPr>
              <w:spacing w:line="240" w:lineRule="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目前尚没有计算机软件用于规定要求的监视和测量情况。</w:t>
            </w:r>
          </w:p>
          <w:p>
            <w:pPr>
              <w:spacing w:line="240" w:lineRule="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经询问，没有自校检测设备，未发生在用的监视和测量设备</w:t>
            </w:r>
            <w:r>
              <w:rPr>
                <w:rFonts w:hint="eastAsia" w:asciiTheme="minorEastAsia" w:hAnsiTheme="minorEastAsia" w:eastAsiaTheme="minorEastAsia" w:cstheme="minorEastAsia"/>
                <w:color w:val="auto"/>
                <w:sz w:val="21"/>
                <w:szCs w:val="21"/>
                <w:lang w:eastAsia="zh-CN"/>
              </w:rPr>
              <w:t>有</w:t>
            </w:r>
            <w:r>
              <w:rPr>
                <w:rFonts w:hint="eastAsia" w:asciiTheme="minorEastAsia" w:hAnsiTheme="minorEastAsia" w:eastAsiaTheme="minorEastAsia" w:cstheme="minorEastAsia"/>
                <w:color w:val="auto"/>
                <w:sz w:val="21"/>
                <w:szCs w:val="21"/>
              </w:rPr>
              <w:t>异常现象</w:t>
            </w:r>
          </w:p>
        </w:tc>
        <w:tc>
          <w:tcPr>
            <w:tcW w:w="829" w:type="dxa"/>
            <w:gridSpan w:val="2"/>
          </w:tcPr>
          <w:p>
            <w:pPr>
              <w:pStyle w:val="2"/>
              <w:rPr>
                <w:rFonts w:hint="eastAsia"/>
                <w:color w:val="auto"/>
                <w:sz w:val="21"/>
                <w:szCs w:val="21"/>
                <w:lang w:val="en-US" w:eastAsia="zh-CN"/>
              </w:rPr>
            </w:pPr>
          </w:p>
          <w:p>
            <w:pPr>
              <w:pStyle w:val="2"/>
              <w:ind w:firstLine="230" w:firstLineChars="100"/>
              <w:rPr>
                <w:rFonts w:hint="default"/>
                <w:color w:val="auto"/>
                <w:sz w:val="21"/>
                <w:szCs w:val="21"/>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color w:val="auto"/>
              </w:rPr>
            </w:pPr>
            <w:r>
              <w:rPr>
                <w:rFonts w:hint="eastAsia" w:asciiTheme="minorEastAsia" w:hAnsiTheme="minorEastAsia" w:eastAsiaTheme="minorEastAsia" w:cstheme="minorEastAsia"/>
                <w:sz w:val="21"/>
                <w:szCs w:val="21"/>
                <w:lang w:val="en-US" w:eastAsia="zh-CN"/>
              </w:rPr>
              <w:t>运行的策划和控制</w:t>
            </w:r>
          </w:p>
        </w:tc>
        <w:tc>
          <w:tcPr>
            <w:tcW w:w="9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w:t>
            </w:r>
          </w:p>
          <w:p>
            <w:pPr>
              <w:rPr>
                <w:rFonts w:hint="eastAsia"/>
                <w:color w:val="auto"/>
                <w:sz w:val="21"/>
                <w:szCs w:val="21"/>
                <w:lang w:val="en-US" w:eastAsia="zh-CN"/>
              </w:rPr>
            </w:pPr>
            <w:r>
              <w:rPr>
                <w:rFonts w:hint="eastAsia" w:asciiTheme="minorEastAsia" w:hAnsiTheme="minorEastAsia" w:eastAsiaTheme="minorEastAsia" w:cstheme="minorEastAsia"/>
                <w:sz w:val="21"/>
                <w:szCs w:val="21"/>
                <w:lang w:val="en-US" w:eastAsia="zh-CN"/>
              </w:rPr>
              <w:t>8.1</w:t>
            </w:r>
          </w:p>
        </w:tc>
        <w:tc>
          <w:tcPr>
            <w:tcW w:w="10760"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公司对产品质量目标、产品实现过程；产品所要求的验证、确认、监视、检验和试验活动以及产品接收准则进行了策划，并规定了所需的记录。</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编制《生产与服务提供控制程序》，对生产过程进行控制。</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本公司的产品为：办公家具</w:t>
            </w:r>
          </w:p>
          <w:p>
            <w:pPr>
              <w:numPr>
                <w:ilvl w:val="0"/>
                <w:numId w:val="3"/>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工艺流程：</w:t>
            </w:r>
          </w:p>
          <w:p>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原材料检验</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 xml:space="preserve">雕刻机排孔切割 </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自动化封边机封边</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红外线激光排孔</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产品组装</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产品检测</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产品包装</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产品入库或外售</w:t>
            </w:r>
          </w:p>
          <w:p>
            <w:pPr>
              <w:pStyle w:val="2"/>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特殊过程：封边</w:t>
            </w:r>
            <w:r>
              <w:rPr>
                <w:rFonts w:hint="eastAsia" w:asciiTheme="minorEastAsia" w:hAnsiTheme="minorEastAsia" w:eastAsiaTheme="minorEastAsia" w:cstheme="minorEastAsia"/>
                <w:sz w:val="21"/>
                <w:szCs w:val="21"/>
                <w:lang w:val="en-US" w:eastAsia="zh-CN"/>
              </w:rPr>
              <w:t xml:space="preserve">    管控措施：见特殊过程确认记录，见生产工艺文件</w:t>
            </w:r>
          </w:p>
          <w:p>
            <w:pPr>
              <w:pStyle w:val="2"/>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关键过程：封边</w:t>
            </w:r>
            <w:r>
              <w:rPr>
                <w:rFonts w:hint="eastAsia" w:asciiTheme="minorEastAsia" w:hAnsiTheme="minorEastAsia" w:eastAsiaTheme="minorEastAsia" w:cstheme="minorEastAsia"/>
                <w:sz w:val="21"/>
                <w:szCs w:val="21"/>
                <w:lang w:val="en-US" w:eastAsia="zh-CN"/>
              </w:rPr>
              <w:t xml:space="preserve">         管控措施：见木制家具生产工艺文件</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3、生产设备基本满足要求。</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4、检测仪器：钢直尺、游标卡尺、钢卷尺等，基本满足检测要求。</w:t>
            </w:r>
          </w:p>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z w:val="21"/>
                <w:szCs w:val="21"/>
                <w:lang w:val="en-US" w:eastAsia="zh-CN"/>
              </w:rPr>
              <w:t>5、编制了</w:t>
            </w:r>
            <w:r>
              <w:rPr>
                <w:rFonts w:hint="eastAsia" w:asciiTheme="minorEastAsia" w:hAnsiTheme="minorEastAsia" w:eastAsiaTheme="minorEastAsia" w:cstheme="minorEastAsia"/>
                <w:color w:val="auto"/>
                <w:sz w:val="21"/>
                <w:szCs w:val="21"/>
                <w:lang w:val="en-US" w:eastAsia="zh-CN"/>
              </w:rPr>
              <w:t>检验规范》、设备管理制度、安全支持性文件、环境支持性文件、消防作业指导书、</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lang w:val="en-US" w:eastAsia="zh-CN"/>
              </w:rPr>
              <w:t>WI-RS-01规章制度、WI-RS-02岗位任职要求、WI-RS-03进货和出货流程、WI-RS-04供应商的选择与评价标准、WI-RS-05仓库管理规定、</w:t>
            </w:r>
            <w:r>
              <w:rPr>
                <w:rFonts w:hint="eastAsia" w:asciiTheme="minorEastAsia" w:hAnsiTheme="minorEastAsia" w:eastAsiaTheme="minorEastAsia" w:cstheme="minorEastAsia"/>
                <w:sz w:val="21"/>
                <w:szCs w:val="21"/>
                <w:lang w:val="en-US" w:eastAsia="zh-CN"/>
              </w:rPr>
              <w:t>相关法律法规要求《安全生产法》、《产品质量法》、《合同法》、《计量法》等</w:t>
            </w:r>
          </w:p>
          <w:p>
            <w:pP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z w:val="21"/>
                <w:szCs w:val="21"/>
                <w:lang w:val="en-US" w:eastAsia="zh-CN"/>
              </w:rPr>
              <w:t>7、产品执行标准：</w:t>
            </w:r>
            <w:r>
              <w:rPr>
                <w:rFonts w:hint="eastAsia" w:asciiTheme="minorEastAsia" w:hAnsiTheme="minorEastAsia" w:eastAsiaTheme="minorEastAsia" w:cstheme="minorEastAsia"/>
                <w:sz w:val="21"/>
                <w:szCs w:val="21"/>
                <w:lang w:eastAsia="zh-CN"/>
              </w:rPr>
              <w:t>GB/T 3324-2017《木家具通用技术条件》、</w:t>
            </w:r>
            <w:r>
              <w:rPr>
                <w:rFonts w:hint="eastAsia" w:asciiTheme="minorEastAsia" w:hAnsiTheme="minorEastAsia" w:eastAsiaTheme="minorEastAsia" w:cstheme="minorEastAsia"/>
                <w:sz w:val="21"/>
                <w:szCs w:val="21"/>
                <w:lang w:val="en-US" w:eastAsia="zh-CN"/>
              </w:rPr>
              <w:t>客户图纸、合同要求等；</w:t>
            </w:r>
          </w:p>
        </w:tc>
        <w:tc>
          <w:tcPr>
            <w:tcW w:w="829" w:type="dxa"/>
            <w:gridSpan w:val="2"/>
          </w:tcPr>
          <w:p>
            <w:pPr>
              <w:pStyle w:val="2"/>
              <w:rPr>
                <w:rFonts w:hint="eastAsia"/>
                <w:color w:val="auto"/>
                <w:sz w:val="21"/>
                <w:szCs w:val="21"/>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lang w:val="en-US" w:eastAsia="zh-CN"/>
              </w:rPr>
              <w:t>业务部</w:t>
            </w:r>
          </w:p>
        </w:tc>
        <w:tc>
          <w:tcPr>
            <w:tcW w:w="960"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rPr>
              <w:t>Q8.2</w:t>
            </w:r>
          </w:p>
        </w:tc>
        <w:tc>
          <w:tcPr>
            <w:tcW w:w="10760" w:type="dxa"/>
            <w:vAlign w:val="center"/>
          </w:tcPr>
          <w:p>
            <w:pPr>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1）公司首先在合同中明确了顾客对技术服务的质量要求及技术标准、价格、交货方式、验收方式、货款结算方式等明示要求。</w:t>
            </w:r>
          </w:p>
          <w:p>
            <w:pPr>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2）确定了技术服务的法律法规要求（技术服务标准等要求）、售后服务等。</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3）该公司与产品有关要求主要在合同中体现，在合同签订之前，由总经理组织各相关部门以会议或会签的方式进行评审。</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见合同台帐</w:t>
            </w:r>
            <w:r>
              <w:rPr>
                <w:rFonts w:hint="eastAsia" w:asciiTheme="minorEastAsia" w:hAnsiTheme="minorEastAsia" w:eastAsiaTheme="minorEastAsia" w:cstheme="minorEastAsia"/>
                <w:sz w:val="21"/>
                <w:szCs w:val="21"/>
                <w:lang w:val="en-US" w:eastAsia="zh-CN"/>
              </w:rPr>
              <w:t>和合同评审表，</w:t>
            </w:r>
            <w:r>
              <w:rPr>
                <w:rFonts w:hint="eastAsia" w:asciiTheme="minorEastAsia" w:hAnsiTheme="minorEastAsia" w:eastAsiaTheme="minorEastAsia" w:cstheme="minorEastAsia"/>
                <w:sz w:val="21"/>
                <w:szCs w:val="21"/>
              </w:rPr>
              <w:t>内容包括：序号、顾客名称、合同编号、项目名称、规格型号、评审日期、签定日期、履行情况。</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抽查销售合同</w:t>
            </w:r>
            <w:r>
              <w:rPr>
                <w:rFonts w:hint="eastAsia" w:asciiTheme="minorEastAsia" w:hAnsiTheme="minorEastAsia" w:eastAsiaTheme="minorEastAsia" w:cstheme="minorEastAsia"/>
                <w:sz w:val="21"/>
                <w:szCs w:val="21"/>
                <w:lang w:val="en-US" w:eastAsia="zh-CN"/>
              </w:rPr>
              <w:t>及合同评审</w:t>
            </w:r>
            <w:r>
              <w:rPr>
                <w:rFonts w:hint="eastAsia" w:asciiTheme="minorEastAsia" w:hAnsiTheme="minorEastAsia" w:eastAsiaTheme="minorEastAsia" w:cstheme="minorEastAsia"/>
                <w:sz w:val="21"/>
                <w:szCs w:val="21"/>
              </w:rPr>
              <w:t>情况</w:t>
            </w:r>
            <w:r>
              <w:rPr>
                <w:rFonts w:hint="eastAsia" w:asciiTheme="minorEastAsia" w:hAnsiTheme="minorEastAsia" w:eastAsiaTheme="minorEastAsia" w:cstheme="minorEastAsia"/>
                <w:sz w:val="21"/>
                <w:szCs w:val="21"/>
                <w:lang w:eastAsia="zh-CN"/>
              </w:rPr>
              <w:t>：</w:t>
            </w:r>
          </w:p>
          <w:p>
            <w:pPr>
              <w:spacing w:line="36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抽1：</w:t>
            </w:r>
            <w:r>
              <w:rPr>
                <w:rFonts w:hint="eastAsia" w:asciiTheme="minorEastAsia" w:hAnsiTheme="minorEastAsia" w:eastAsiaTheme="minorEastAsia" w:cstheme="minorEastAsia"/>
                <w:sz w:val="21"/>
                <w:szCs w:val="21"/>
                <w:lang w:eastAsia="zh-CN"/>
              </w:rPr>
              <w:t>木制家具</w:t>
            </w:r>
            <w:r>
              <w:rPr>
                <w:rFonts w:hint="eastAsia" w:asciiTheme="minorEastAsia" w:hAnsiTheme="minorEastAsia" w:eastAsiaTheme="minorEastAsia" w:cstheme="minorEastAsia"/>
                <w:sz w:val="21"/>
                <w:szCs w:val="21"/>
              </w:rPr>
              <w:t>销售合同</w:t>
            </w:r>
          </w:p>
          <w:p>
            <w:pPr>
              <w:spacing w:line="36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z w:val="21"/>
                <w:szCs w:val="21"/>
              </w:rPr>
              <w:t>客户：</w:t>
            </w:r>
            <w:r>
              <w:rPr>
                <w:rFonts w:hint="eastAsia" w:asciiTheme="minorEastAsia" w:hAnsiTheme="minorEastAsia" w:eastAsiaTheme="minorEastAsia" w:cstheme="minorEastAsia"/>
                <w:sz w:val="21"/>
                <w:szCs w:val="21"/>
                <w:lang w:eastAsia="zh-CN"/>
              </w:rPr>
              <w:t>浦城县优佳家</w:t>
            </w:r>
            <w:r>
              <w:rPr>
                <w:rFonts w:hint="eastAsia" w:asciiTheme="minorEastAsia" w:hAnsiTheme="minorEastAsia" w:eastAsiaTheme="minorEastAsia" w:cstheme="minorEastAsia"/>
                <w:color w:val="auto"/>
                <w:sz w:val="21"/>
                <w:szCs w:val="21"/>
                <w:lang w:eastAsia="zh-CN"/>
              </w:rPr>
              <w:t>具安装经营部</w:t>
            </w:r>
            <w:r>
              <w:rPr>
                <w:rFonts w:hint="eastAsia" w:asciiTheme="minorEastAsia" w:hAnsiTheme="minorEastAsia" w:eastAsiaTheme="minorEastAsia" w:cstheme="minorEastAsia"/>
                <w:color w:val="auto"/>
                <w:sz w:val="21"/>
                <w:szCs w:val="21"/>
                <w:lang w:val="en-US" w:eastAsia="zh-CN"/>
              </w:rPr>
              <w:t xml:space="preserve">  </w:t>
            </w:r>
          </w:p>
          <w:p>
            <w:pPr>
              <w:spacing w:line="36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lang w:val="en-US" w:eastAsia="zh-CN"/>
              </w:rPr>
              <w:t>产品名称：2人位床位、4人位床、台盆柜、衣柜、椅子等。</w:t>
            </w:r>
          </w:p>
        </w:tc>
        <w:tc>
          <w:tcPr>
            <w:tcW w:w="829" w:type="dxa"/>
            <w:gridSpan w:val="2"/>
          </w:tcPr>
          <w:p>
            <w:pPr>
              <w:pStyle w:val="2"/>
              <w:rPr>
                <w:rFonts w:hint="eastAsia"/>
                <w:color w:val="auto"/>
                <w:sz w:val="21"/>
                <w:szCs w:val="21"/>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Theme="minorEastAsia" w:hAnsiTheme="minorEastAsia" w:eastAsiaTheme="minorEastAsia" w:cstheme="minorEastAsia"/>
                <w:color w:val="000000"/>
                <w:sz w:val="21"/>
                <w:szCs w:val="21"/>
              </w:rPr>
            </w:pPr>
          </w:p>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外部提供的产品过程及服务的控制</w:t>
            </w:r>
          </w:p>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总则</w:t>
            </w:r>
          </w:p>
          <w:p>
            <w:pPr>
              <w:rPr>
                <w:rFonts w:hint="eastAsia" w:asciiTheme="minorEastAsia" w:hAnsiTheme="minorEastAsia" w:eastAsiaTheme="minorEastAsia" w:cstheme="minorEastAsia"/>
                <w:color w:val="000000"/>
                <w:sz w:val="21"/>
                <w:szCs w:val="21"/>
              </w:rPr>
            </w:pPr>
          </w:p>
          <w:p>
            <w:pPr>
              <w:rPr>
                <w:rFonts w:hint="eastAsia" w:asciiTheme="minorEastAsia" w:hAnsiTheme="minorEastAsia" w:eastAsiaTheme="minorEastAsia" w:cstheme="minorEastAsia"/>
                <w:color w:val="000000"/>
                <w:sz w:val="21"/>
                <w:szCs w:val="21"/>
              </w:rPr>
            </w:pPr>
          </w:p>
          <w:p>
            <w:pPr>
              <w:rPr>
                <w:rFonts w:hint="eastAsia" w:asciiTheme="minorEastAsia" w:hAnsiTheme="minorEastAsia" w:eastAsiaTheme="minorEastAsia" w:cstheme="minorEastAsia"/>
                <w:color w:val="000000"/>
                <w:sz w:val="21"/>
                <w:szCs w:val="21"/>
              </w:rPr>
            </w:pPr>
          </w:p>
          <w:p>
            <w:pPr>
              <w:rPr>
                <w:rFonts w:hint="eastAsia"/>
                <w:color w:val="auto"/>
              </w:rPr>
            </w:pPr>
          </w:p>
        </w:tc>
        <w:tc>
          <w:tcPr>
            <w:tcW w:w="960" w:type="dxa"/>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Q8.4.1</w:t>
            </w:r>
          </w:p>
          <w:p>
            <w:pPr>
              <w:rPr>
                <w:rFonts w:hint="default"/>
                <w:color w:val="auto"/>
                <w:sz w:val="21"/>
                <w:szCs w:val="21"/>
                <w:lang w:val="en-US" w:eastAsia="zh-CN"/>
              </w:rPr>
            </w:pPr>
          </w:p>
        </w:tc>
        <w:tc>
          <w:tcPr>
            <w:tcW w:w="107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该公司目前主要经营内</w:t>
            </w:r>
            <w:r>
              <w:rPr>
                <w:rFonts w:hint="eastAsia" w:asciiTheme="minorEastAsia" w:hAnsiTheme="minorEastAsia" w:eastAsiaTheme="minorEastAsia" w:cstheme="minorEastAsia"/>
                <w:sz w:val="21"/>
                <w:szCs w:val="21"/>
              </w:rPr>
              <w:t>容为：木制家具的生产</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手册中规定采购流程及范围。</w:t>
            </w:r>
          </w:p>
          <w:p>
            <w:pPr>
              <w:numPr>
                <w:ilvl w:val="0"/>
                <w:numId w:val="4"/>
              </w:num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采购部负责人回答，编制了《采购控制程序》，采购部依据该程序进行</w:t>
            </w:r>
            <w:r>
              <w:rPr>
                <w:rFonts w:hint="eastAsia" w:asciiTheme="minorEastAsia" w:hAnsiTheme="minorEastAsia" w:eastAsiaTheme="minorEastAsia" w:cstheme="minorEastAsia"/>
                <w:color w:val="000000"/>
                <w:sz w:val="21"/>
                <w:szCs w:val="21"/>
              </w:rPr>
              <w:t>外部提供的产品过程及服务的控制。</w:t>
            </w:r>
          </w:p>
          <w:p>
            <w:pP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000000"/>
                <w:sz w:val="21"/>
                <w:szCs w:val="21"/>
              </w:rPr>
              <w:t>2、见《合同供方名录》</w:t>
            </w:r>
            <w:r>
              <w:rPr>
                <w:rFonts w:hint="eastAsia" w:asciiTheme="minorEastAsia" w:hAnsiTheme="minorEastAsia" w:eastAsiaTheme="minorEastAsia" w:cstheme="minorEastAsia"/>
                <w:sz w:val="21"/>
                <w:szCs w:val="21"/>
              </w:rPr>
              <w:t>对供方进行定期评价，当供方业绩不满足要求、出现重大质量问题、供方管理出现重大变动等情况需要对供方重新进行评价，增加评价频次。公司对供方常规管理，按照《采购控制程序》对外部供方每年进行再评价。</w:t>
            </w:r>
          </w:p>
        </w:tc>
        <w:tc>
          <w:tcPr>
            <w:tcW w:w="829" w:type="dxa"/>
            <w:gridSpan w:val="2"/>
          </w:tcPr>
          <w:p>
            <w:pPr>
              <w:pStyle w:val="2"/>
              <w:rPr>
                <w:rFonts w:hint="eastAsia"/>
                <w:color w:val="auto"/>
                <w:sz w:val="21"/>
                <w:szCs w:val="21"/>
                <w:lang w:val="en-US" w:eastAsia="zh-CN"/>
              </w:rPr>
            </w:pPr>
          </w:p>
          <w:p>
            <w:pPr>
              <w:pStyle w:val="2"/>
              <w:rPr>
                <w:rFonts w:hint="eastAsia"/>
                <w:color w:val="auto"/>
                <w:sz w:val="21"/>
                <w:szCs w:val="21"/>
                <w:lang w:val="en-US" w:eastAsia="zh-CN"/>
              </w:rPr>
            </w:pPr>
            <w:r>
              <w:rPr>
                <w:rFonts w:hint="eastAsia"/>
                <w:color w:val="auto"/>
                <w:sz w:val="21"/>
                <w:szCs w:val="21"/>
                <w:lang w:val="en-US" w:eastAsia="zh-CN"/>
              </w:rPr>
              <w:t xml:space="preserve"> </w:t>
            </w:r>
          </w:p>
          <w:p>
            <w:pPr>
              <w:pStyle w:val="2"/>
              <w:rPr>
                <w:rFonts w:hint="eastAsia"/>
                <w:color w:val="auto"/>
                <w:sz w:val="21"/>
                <w:szCs w:val="21"/>
                <w:lang w:val="en-US" w:eastAsia="zh-CN"/>
              </w:rPr>
            </w:pPr>
          </w:p>
          <w:p>
            <w:pPr>
              <w:pStyle w:val="2"/>
              <w:rPr>
                <w:rFonts w:hint="eastAsia"/>
                <w:color w:val="auto"/>
                <w:sz w:val="21"/>
                <w:szCs w:val="21"/>
                <w:lang w:val="en-US" w:eastAsia="zh-CN"/>
              </w:rPr>
            </w:pPr>
          </w:p>
          <w:p>
            <w:pPr>
              <w:pStyle w:val="2"/>
              <w:rPr>
                <w:rFonts w:hint="default"/>
                <w:color w:val="auto"/>
                <w:sz w:val="21"/>
                <w:szCs w:val="21"/>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环境因素和危险源</w:t>
            </w:r>
          </w:p>
          <w:p>
            <w:pPr>
              <w:spacing w:line="280" w:lineRule="exact"/>
              <w:rPr>
                <w:rFonts w:hint="default" w:eastAsia="宋体"/>
                <w:color w:val="auto"/>
                <w:lang w:val="en-US" w:eastAsia="zh-CN"/>
              </w:rPr>
            </w:pPr>
            <w:r>
              <w:rPr>
                <w:rFonts w:hint="eastAsia" w:asciiTheme="minorEastAsia" w:hAnsiTheme="minorEastAsia" w:eastAsiaTheme="minorEastAsia" w:cstheme="minorEastAsia"/>
                <w:sz w:val="21"/>
                <w:szCs w:val="21"/>
              </w:rPr>
              <w:t>辨识与控制</w:t>
            </w:r>
          </w:p>
        </w:tc>
        <w:tc>
          <w:tcPr>
            <w:tcW w:w="960" w:type="dxa"/>
            <w:vAlign w:val="top"/>
          </w:tcPr>
          <w:p>
            <w:pPr>
              <w:spacing w:line="280" w:lineRule="exact"/>
              <w:rPr>
                <w:rFonts w:hint="eastAsia" w:asciiTheme="minorEastAsia" w:hAnsiTheme="minorEastAsia" w:eastAsiaTheme="minorEastAsia" w:cstheme="minorEastAsia"/>
                <w:sz w:val="21"/>
                <w:szCs w:val="21"/>
              </w:rPr>
            </w:pP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w:t>
            </w:r>
            <w:r>
              <w:rPr>
                <w:rFonts w:hint="eastAsia" w:asciiTheme="minorEastAsia" w:hAnsiTheme="minorEastAsia" w:eastAsiaTheme="minorEastAsia" w:cstheme="minorEastAsia"/>
                <w:sz w:val="21"/>
                <w:szCs w:val="21"/>
                <w:lang w:val="en-US" w:eastAsia="zh-CN"/>
              </w:rPr>
              <w:t>O</w:t>
            </w:r>
            <w:r>
              <w:rPr>
                <w:rFonts w:hint="eastAsia" w:asciiTheme="minorEastAsia" w:hAnsiTheme="minorEastAsia" w:eastAsiaTheme="minorEastAsia" w:cstheme="minorEastAsia"/>
                <w:sz w:val="21"/>
                <w:szCs w:val="21"/>
              </w:rPr>
              <w:t>6.1.2</w:t>
            </w:r>
          </w:p>
          <w:p>
            <w:pPr>
              <w:spacing w:line="280" w:lineRule="exact"/>
              <w:rPr>
                <w:rFonts w:hint="eastAsia" w:asciiTheme="minorEastAsia" w:hAnsiTheme="minorEastAsia" w:eastAsiaTheme="minorEastAsia" w:cstheme="minorEastAsia"/>
                <w:sz w:val="21"/>
                <w:szCs w:val="21"/>
              </w:rPr>
            </w:pPr>
          </w:p>
          <w:p>
            <w:pPr>
              <w:spacing w:line="280" w:lineRule="exact"/>
              <w:rPr>
                <w:rFonts w:hint="eastAsia"/>
                <w:color w:val="auto"/>
                <w:sz w:val="21"/>
                <w:szCs w:val="21"/>
                <w:lang w:val="en-US" w:eastAsia="zh-CN"/>
              </w:rPr>
            </w:pPr>
          </w:p>
        </w:tc>
        <w:tc>
          <w:tcPr>
            <w:tcW w:w="10760" w:type="dxa"/>
            <w:vAlign w:val="center"/>
          </w:tcPr>
          <w:p>
            <w:pPr>
              <w:numPr>
                <w:ilvl w:val="0"/>
                <w:numId w:val="5"/>
              </w:num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提供《环境因素识别与评价程序》，用以指导进行环境因素的识别、登记评价，以确定重要环境因素以及对环境因素的定期更新，环境因素的识别和确定考虑生命周期观点。</w:t>
            </w:r>
          </w:p>
          <w:p>
            <w:pPr>
              <w:ind w:firstLine="315" w:firstLineChars="15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提供了《环境因素识别与评价表》，识别的环境因素标明时态、状态和对环境的影响；经查阅识别出对在办公活动中产生的纸张等消耗、固废排放、生活废水排放等环境因素及考虑到环境管理体系发生变更时可能产生的环境因素。参加环境因素辨识和评价人员：编制：</w:t>
            </w:r>
            <w:r>
              <w:rPr>
                <w:rFonts w:hint="eastAsia" w:asciiTheme="minorEastAsia" w:hAnsiTheme="minorEastAsia" w:eastAsiaTheme="minorEastAsia" w:cstheme="minorEastAsia"/>
                <w:sz w:val="21"/>
                <w:szCs w:val="21"/>
                <w:lang w:val="en-US" w:eastAsia="zh-CN"/>
              </w:rPr>
              <w:t>周红萍</w:t>
            </w:r>
            <w:r>
              <w:rPr>
                <w:rFonts w:hint="eastAsia" w:asciiTheme="minorEastAsia" w:hAnsiTheme="minorEastAsia" w:eastAsiaTheme="minorEastAsia" w:cstheme="minorEastAsia"/>
                <w:sz w:val="21"/>
                <w:szCs w:val="21"/>
              </w:rPr>
              <w:t xml:space="preserve">  审核：</w:t>
            </w:r>
            <w:r>
              <w:rPr>
                <w:rFonts w:hint="eastAsia" w:asciiTheme="minorEastAsia" w:hAnsiTheme="minorEastAsia" w:eastAsiaTheme="minorEastAsia" w:cstheme="minorEastAsia"/>
                <w:sz w:val="21"/>
                <w:szCs w:val="21"/>
                <w:lang w:eastAsia="zh-CN"/>
              </w:rPr>
              <w:t>钟旭</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2020.5.5</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重要环境因素采用经验/直接判断法，由各部门有管理经验的人员共同讨论、采用直接判断的方法确定重要环境因素，提供了“重要环境因素清单”：本部门的重要环境因素：潜在火灾事故发生，固体废弃物处理；提供了针对重要环境因素，编制的环境目标、指标及管理方案，内容包括：目标、指标、管理措施、完成时间、资金投入等。   </w:t>
            </w:r>
          </w:p>
          <w:p>
            <w:pPr>
              <w:ind w:firstLine="315" w:firstLineChars="15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编制：</w:t>
            </w:r>
            <w:r>
              <w:rPr>
                <w:rFonts w:hint="eastAsia" w:asciiTheme="minorEastAsia" w:hAnsiTheme="minorEastAsia" w:eastAsiaTheme="minorEastAsia" w:cstheme="minorEastAsia"/>
                <w:sz w:val="21"/>
                <w:szCs w:val="21"/>
                <w:lang w:val="en-US" w:eastAsia="zh-CN"/>
              </w:rPr>
              <w:t>周红萍</w:t>
            </w:r>
            <w:r>
              <w:rPr>
                <w:rFonts w:hint="eastAsia" w:asciiTheme="minorEastAsia" w:hAnsiTheme="minorEastAsia" w:eastAsiaTheme="minorEastAsia" w:cstheme="minorEastAsia"/>
                <w:sz w:val="21"/>
                <w:szCs w:val="21"/>
              </w:rPr>
              <w:t xml:space="preserve">  审核：</w:t>
            </w:r>
            <w:r>
              <w:rPr>
                <w:rFonts w:hint="eastAsia" w:asciiTheme="minorEastAsia" w:hAnsiTheme="minorEastAsia" w:eastAsiaTheme="minorEastAsia" w:cstheme="minorEastAsia"/>
                <w:sz w:val="21"/>
                <w:szCs w:val="21"/>
                <w:lang w:eastAsia="zh-CN"/>
              </w:rPr>
              <w:t>钟旭</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2020.5.5</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提供了公司制定的《危险源辨识、风险评价和风险控制程序》，确保公司在所有管理活动或服务过程中能最大限度、充分地进行危险源辨识与风险性评价，确定不可接受风险并及时更新，实现对危险源与不可接受风险的有效控制。</w:t>
            </w:r>
          </w:p>
          <w:p>
            <w:pPr>
              <w:ind w:firstLine="315" w:firstLineChars="15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提供了《危险源辨识、风险评价和控制措施的确定表》，对活动场所产生的危险源辨识并进行风险评价，以确定控制措施，经查阅已辨识出插座质量差，漏电、线路绝缘破损接线板负荷过重、违规用电、烟头未熄灭或直接扔进纸篓中、违规行驶导致意外交通事故、车祸伤害、自主加油时吸烟导致潜在火灾、触电、意外伤害等危险因素。 编制：</w:t>
            </w:r>
            <w:r>
              <w:rPr>
                <w:rFonts w:hint="eastAsia" w:asciiTheme="minorEastAsia" w:hAnsiTheme="minorEastAsia" w:eastAsiaTheme="minorEastAsia" w:cstheme="minorEastAsia"/>
                <w:sz w:val="21"/>
                <w:szCs w:val="21"/>
                <w:lang w:val="en-US" w:eastAsia="zh-CN"/>
              </w:rPr>
              <w:t>周红萍</w:t>
            </w:r>
            <w:r>
              <w:rPr>
                <w:rFonts w:hint="eastAsia" w:asciiTheme="minorEastAsia" w:hAnsiTheme="minorEastAsia" w:eastAsiaTheme="minorEastAsia" w:cstheme="minorEastAsia"/>
                <w:sz w:val="21"/>
                <w:szCs w:val="21"/>
              </w:rPr>
              <w:t xml:space="preserve">  审核：</w:t>
            </w:r>
            <w:r>
              <w:rPr>
                <w:rFonts w:hint="eastAsia" w:asciiTheme="minorEastAsia" w:hAnsiTheme="minorEastAsia" w:eastAsiaTheme="minorEastAsia" w:cstheme="minorEastAsia"/>
                <w:sz w:val="21"/>
                <w:szCs w:val="21"/>
                <w:lang w:eastAsia="zh-CN"/>
              </w:rPr>
              <w:t>钟旭</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2020.5.5</w:t>
            </w:r>
          </w:p>
          <w:p>
            <w:pPr>
              <w:ind w:firstLine="315" w:firstLineChars="150"/>
              <w:rPr>
                <w:rFonts w:hint="eastAsia"/>
                <w:color w:val="auto"/>
                <w:lang w:val="en-US" w:eastAsia="zh-CN"/>
              </w:rPr>
            </w:pPr>
            <w:r>
              <w:rPr>
                <w:rFonts w:hint="eastAsia" w:asciiTheme="minorEastAsia" w:hAnsiTheme="minorEastAsia" w:eastAsiaTheme="minorEastAsia" w:cstheme="minorEastAsia"/>
                <w:sz w:val="21"/>
                <w:szCs w:val="21"/>
              </w:rPr>
              <w:t>由各部门有管理经验的人员共同讨论、采用直接判断的方法确定不可接受风险。提供了《重大危险源清单》涉及本部门的不可接受风险有：火灾，触电；针对不可接受风险编制了职业健康安全目标、指标及管理方案，内容包括：目标、指标、管理措施、完成时间、资金投入等；编制：</w:t>
            </w:r>
            <w:r>
              <w:rPr>
                <w:rFonts w:hint="eastAsia" w:asciiTheme="minorEastAsia" w:hAnsiTheme="minorEastAsia" w:eastAsiaTheme="minorEastAsia" w:cstheme="minorEastAsia"/>
                <w:sz w:val="21"/>
                <w:szCs w:val="21"/>
                <w:lang w:val="en-US" w:eastAsia="zh-CN"/>
              </w:rPr>
              <w:t>周红萍</w:t>
            </w:r>
            <w:r>
              <w:rPr>
                <w:rFonts w:hint="eastAsia" w:asciiTheme="minorEastAsia" w:hAnsiTheme="minorEastAsia" w:eastAsiaTheme="minorEastAsia" w:cstheme="minorEastAsia"/>
                <w:sz w:val="21"/>
                <w:szCs w:val="21"/>
              </w:rPr>
              <w:t xml:space="preserve">  审核：</w:t>
            </w:r>
            <w:r>
              <w:rPr>
                <w:rFonts w:hint="eastAsia" w:asciiTheme="minorEastAsia" w:hAnsiTheme="minorEastAsia" w:eastAsiaTheme="minorEastAsia" w:cstheme="minorEastAsia"/>
                <w:sz w:val="21"/>
                <w:szCs w:val="21"/>
                <w:lang w:eastAsia="zh-CN"/>
              </w:rPr>
              <w:t>钟旭</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2020.5.5</w:t>
            </w:r>
          </w:p>
        </w:tc>
        <w:tc>
          <w:tcPr>
            <w:tcW w:w="829" w:type="dxa"/>
            <w:gridSpan w:val="2"/>
          </w:tcPr>
          <w:p>
            <w:pPr>
              <w:pStyle w:val="2"/>
              <w:rPr>
                <w:rFonts w:hint="eastAsia"/>
                <w:color w:val="auto"/>
                <w:sz w:val="21"/>
                <w:szCs w:val="21"/>
                <w:lang w:val="en-US" w:eastAsia="zh-CN"/>
              </w:rPr>
            </w:pPr>
          </w:p>
          <w:p>
            <w:pPr>
              <w:pStyle w:val="2"/>
              <w:rPr>
                <w:rFonts w:hint="eastAsia"/>
                <w:color w:val="auto"/>
                <w:sz w:val="21"/>
                <w:szCs w:val="21"/>
                <w:lang w:val="en-US" w:eastAsia="zh-CN"/>
              </w:rPr>
            </w:pPr>
          </w:p>
          <w:p>
            <w:pPr>
              <w:pStyle w:val="2"/>
              <w:rPr>
                <w:rFonts w:hint="eastAsia"/>
                <w:color w:val="auto"/>
                <w:sz w:val="21"/>
                <w:szCs w:val="21"/>
                <w:lang w:val="en-US" w:eastAsia="zh-CN"/>
              </w:rPr>
            </w:pPr>
          </w:p>
          <w:p>
            <w:pPr>
              <w:pStyle w:val="2"/>
              <w:rPr>
                <w:rFonts w:hint="default"/>
                <w:color w:val="auto"/>
                <w:sz w:val="21"/>
                <w:szCs w:val="21"/>
                <w:lang w:val="en-US" w:eastAsia="zh-CN"/>
              </w:rPr>
            </w:pPr>
            <w:r>
              <w:rPr>
                <w:rFonts w:hint="eastAsia"/>
                <w:color w:val="auto"/>
                <w:sz w:val="21"/>
                <w:szCs w:val="21"/>
                <w:lang w:val="en-US" w:eastAsia="zh-CN"/>
              </w:rPr>
              <w:t xml:space="preserve"> </w:t>
            </w: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21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资质</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范围再确认</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投诉或事故/政府主管部门监督抽查情况</w:t>
            </w:r>
          </w:p>
        </w:tc>
        <w:tc>
          <w:tcPr>
            <w:tcW w:w="960" w:type="dxa"/>
            <w:vAlign w:val="center"/>
          </w:tcPr>
          <w:p>
            <w:pPr>
              <w:rPr>
                <w:rFonts w:hint="eastAsia"/>
                <w:color w:val="auto"/>
                <w:sz w:val="21"/>
                <w:szCs w:val="21"/>
                <w:lang w:val="en-US" w:eastAsia="zh-CN"/>
              </w:rPr>
            </w:pPr>
          </w:p>
        </w:tc>
        <w:tc>
          <w:tcPr>
            <w:tcW w:w="107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营业执照：福建美尚智能家具制造有限公司</w:t>
            </w:r>
          </w:p>
          <w:p>
            <w:pPr>
              <w:rPr>
                <w:rFonts w:hint="eastAsia" w:asciiTheme="minorEastAsia" w:hAnsiTheme="minorEastAsia" w:eastAsiaTheme="minorEastAsia" w:cstheme="minorEastAsia"/>
                <w:b w:val="0"/>
                <w:bCs/>
                <w:color w:val="000000" w:themeColor="text1"/>
                <w:sz w:val="21"/>
                <w:szCs w:val="21"/>
              </w:rPr>
            </w:pPr>
            <w:r>
              <w:rPr>
                <w:rFonts w:hint="eastAsia" w:asciiTheme="minorEastAsia" w:hAnsiTheme="minorEastAsia" w:eastAsiaTheme="minorEastAsia" w:cstheme="minorEastAsia"/>
                <w:sz w:val="21"/>
                <w:szCs w:val="21"/>
              </w:rPr>
              <w:t>统一社会信用代码：</w:t>
            </w:r>
            <w:r>
              <w:rPr>
                <w:rFonts w:hint="eastAsia" w:asciiTheme="minorEastAsia" w:hAnsiTheme="minorEastAsia" w:eastAsiaTheme="minorEastAsia" w:cstheme="minorEastAsia"/>
                <w:b w:val="0"/>
                <w:bCs/>
                <w:color w:val="000000" w:themeColor="text1"/>
                <w:sz w:val="21"/>
                <w:szCs w:val="21"/>
              </w:rPr>
              <w:t>91350722MA31L02L2M</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成立日期：201</w:t>
            </w: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03</w:t>
            </w:r>
            <w:r>
              <w:rPr>
                <w:rFonts w:hint="eastAsia" w:asciiTheme="minorEastAsia" w:hAnsiTheme="minorEastAsia" w:eastAsiaTheme="minorEastAsia" w:cstheme="minorEastAsia"/>
                <w:sz w:val="21"/>
                <w:szCs w:val="21"/>
              </w:rPr>
              <w:t>日    营业期限：至201</w:t>
            </w: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03</w:t>
            </w:r>
            <w:r>
              <w:rPr>
                <w:rFonts w:hint="eastAsia" w:asciiTheme="minorEastAsia" w:hAnsiTheme="minorEastAsia" w:eastAsiaTheme="minorEastAsia" w:cstheme="minorEastAsia"/>
                <w:sz w:val="21"/>
                <w:szCs w:val="21"/>
              </w:rPr>
              <w:t>日至长期</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认证范围在经营范围内。</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查国家企业信用信息公示系统，企业无异常经营记录、无违法失信记录。</w:t>
            </w:r>
          </w:p>
        </w:tc>
        <w:tc>
          <w:tcPr>
            <w:tcW w:w="829" w:type="dxa"/>
            <w:gridSpan w:val="2"/>
          </w:tcPr>
          <w:p>
            <w:pPr>
              <w:pStyle w:val="2"/>
              <w:rPr>
                <w:rFonts w:hint="eastAsia"/>
                <w:color w:val="auto"/>
                <w:sz w:val="21"/>
                <w:szCs w:val="21"/>
                <w:lang w:val="en-US" w:eastAsia="zh-CN"/>
              </w:rPr>
            </w:pPr>
            <w:r>
              <w:rPr>
                <w:rFonts w:hint="eastAsia"/>
                <w:color w:val="auto"/>
                <w:lang w:val="en-US" w:eastAsia="zh-CN"/>
              </w:rPr>
              <w:t>Y</w:t>
            </w:r>
            <w:bookmarkStart w:id="0" w:name="_GoBack"/>
            <w:bookmarkEnd w:id="0"/>
          </w:p>
        </w:tc>
      </w:tr>
    </w:tbl>
    <w:p/>
    <w:p/>
    <w:p>
      <w:pPr>
        <w:pStyle w:val="7"/>
      </w:pPr>
      <w:r>
        <w:rPr>
          <w:rFonts w:hint="eastAsia"/>
        </w:rPr>
        <w:t>说明：不符合标注N</w:t>
      </w:r>
    </w:p>
    <w:p>
      <w:pPr>
        <w:pStyle w:val="7"/>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8"/>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4"/>
        <w:rFonts w:hint="default"/>
        <w:w w:val="90"/>
      </w:rPr>
      <w:t>Beijing International Standard united Certification Co.,Ltd.</w:t>
    </w:r>
  </w:p>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5B067D"/>
    <w:multiLevelType w:val="singleLevel"/>
    <w:tmpl w:val="865B067D"/>
    <w:lvl w:ilvl="0" w:tentative="0">
      <w:start w:val="1"/>
      <w:numFmt w:val="decimal"/>
      <w:lvlText w:val="%1)"/>
      <w:lvlJc w:val="left"/>
      <w:pPr>
        <w:tabs>
          <w:tab w:val="left" w:pos="312"/>
        </w:tabs>
      </w:pPr>
      <w:rPr>
        <w:rFonts w:cs="Times New Roman"/>
      </w:rPr>
    </w:lvl>
  </w:abstractNum>
  <w:abstractNum w:abstractNumId="1">
    <w:nsid w:val="0B939833"/>
    <w:multiLevelType w:val="singleLevel"/>
    <w:tmpl w:val="0B939833"/>
    <w:lvl w:ilvl="0" w:tentative="0">
      <w:start w:val="1"/>
      <w:numFmt w:val="decimal"/>
      <w:lvlText w:val="%1."/>
      <w:lvlJc w:val="left"/>
      <w:pPr>
        <w:tabs>
          <w:tab w:val="left" w:pos="312"/>
        </w:tabs>
      </w:pPr>
    </w:lvl>
  </w:abstractNum>
  <w:abstractNum w:abstractNumId="2">
    <w:nsid w:val="295BA63B"/>
    <w:multiLevelType w:val="singleLevel"/>
    <w:tmpl w:val="295BA63B"/>
    <w:lvl w:ilvl="0" w:tentative="0">
      <w:start w:val="2"/>
      <w:numFmt w:val="decimal"/>
      <w:suff w:val="nothing"/>
      <w:lvlText w:val="%1、"/>
      <w:lvlJc w:val="left"/>
    </w:lvl>
  </w:abstractNum>
  <w:abstractNum w:abstractNumId="3">
    <w:nsid w:val="7D62BD6A"/>
    <w:multiLevelType w:val="singleLevel"/>
    <w:tmpl w:val="7D62BD6A"/>
    <w:lvl w:ilvl="0" w:tentative="0">
      <w:start w:val="1"/>
      <w:numFmt w:val="decimal"/>
      <w:lvlText w:val="%1."/>
      <w:lvlJc w:val="left"/>
      <w:pPr>
        <w:tabs>
          <w:tab w:val="left" w:pos="312"/>
        </w:tabs>
      </w:pPr>
      <w:rPr>
        <w:rFonts w:cs="Times New Roman"/>
      </w:rPr>
    </w:lvl>
  </w:abstractNum>
  <w:abstractNum w:abstractNumId="4">
    <w:nsid w:val="7F30A156"/>
    <w:multiLevelType w:val="singleLevel"/>
    <w:tmpl w:val="7F30A156"/>
    <w:lvl w:ilvl="0" w:tentative="0">
      <w:start w:val="1"/>
      <w:numFmt w:val="decimal"/>
      <w:suff w:val="nothing"/>
      <w:lvlText w:val="%1、"/>
      <w:lvlJc w:val="left"/>
      <w:rPr>
        <w:rFonts w:cs="Times New Roman"/>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AE0571"/>
    <w:rsid w:val="04295E91"/>
    <w:rsid w:val="074E1588"/>
    <w:rsid w:val="106A1458"/>
    <w:rsid w:val="12BF2CD7"/>
    <w:rsid w:val="146341C5"/>
    <w:rsid w:val="15C2317F"/>
    <w:rsid w:val="17773A61"/>
    <w:rsid w:val="1AF1636C"/>
    <w:rsid w:val="1B020F52"/>
    <w:rsid w:val="1C7624EA"/>
    <w:rsid w:val="1DEA0088"/>
    <w:rsid w:val="219D0559"/>
    <w:rsid w:val="21A92A68"/>
    <w:rsid w:val="26A61372"/>
    <w:rsid w:val="26F22C68"/>
    <w:rsid w:val="29162681"/>
    <w:rsid w:val="29AB78A5"/>
    <w:rsid w:val="2B390462"/>
    <w:rsid w:val="3D4710A4"/>
    <w:rsid w:val="4591163C"/>
    <w:rsid w:val="48BC6560"/>
    <w:rsid w:val="58F14C3C"/>
    <w:rsid w:val="5D0327C2"/>
    <w:rsid w:val="5D910E54"/>
    <w:rsid w:val="5EB76C60"/>
    <w:rsid w:val="611562CD"/>
    <w:rsid w:val="62AA6323"/>
    <w:rsid w:val="65AB1ED7"/>
    <w:rsid w:val="66C953C3"/>
    <w:rsid w:val="676A77B0"/>
    <w:rsid w:val="70B16113"/>
    <w:rsid w:val="7848618E"/>
    <w:rsid w:val="7A486860"/>
    <w:rsid w:val="7D2A05FF"/>
    <w:rsid w:val="7D5E7C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ody Text"/>
    <w:basedOn w:val="1"/>
    <w:qFormat/>
    <w:uiPriority w:val="0"/>
    <w:pPr>
      <w:spacing w:after="120"/>
    </w:pPr>
  </w:style>
  <w:style w:type="paragraph" w:styleId="6">
    <w:name w:val="Balloon Text"/>
    <w:basedOn w:val="1"/>
    <w:link w:val="13"/>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1"/>
    <w:unhideWhenUsed/>
    <w:uiPriority w:val="0"/>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10"/>
    <w:link w:val="8"/>
    <w:uiPriority w:val="99"/>
    <w:rPr>
      <w:rFonts w:ascii="Times New Roman" w:hAnsi="Times New Roman" w:eastAsia="宋体" w:cs="Times New Roman"/>
      <w:sz w:val="18"/>
      <w:szCs w:val="18"/>
    </w:rPr>
  </w:style>
  <w:style w:type="character" w:customStyle="1" w:styleId="12">
    <w:name w:val="页脚 Char"/>
    <w:basedOn w:val="10"/>
    <w:link w:val="7"/>
    <w:qFormat/>
    <w:uiPriority w:val="99"/>
    <w:rPr>
      <w:rFonts w:ascii="Times New Roman" w:hAnsi="Times New Roman" w:eastAsia="宋体" w:cs="Times New Roman"/>
      <w:sz w:val="18"/>
      <w:szCs w:val="18"/>
    </w:rPr>
  </w:style>
  <w:style w:type="character" w:customStyle="1" w:styleId="13">
    <w:name w:val="批注框文本 Char"/>
    <w:basedOn w:val="10"/>
    <w:link w:val="6"/>
    <w:semiHidden/>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0</TotalTime>
  <ScaleCrop>false</ScaleCrop>
  <LinksUpToDate>false</LinksUpToDate>
  <CharactersWithSpaces>100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Joyce</cp:lastModifiedBy>
  <dcterms:modified xsi:type="dcterms:W3CDTF">2020-12-17T13:08:33Z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