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受审核部门：管理层 综合部 市场部 生技部  陪同人员：</w:t>
      </w:r>
      <w:bookmarkStart w:id="0" w:name="管理者代表"/>
      <w:r>
        <w:rPr>
          <w:rFonts w:hint="eastAsia"/>
          <w:sz w:val="24"/>
          <w:szCs w:val="24"/>
        </w:rPr>
        <w:t>曹莹</w:t>
      </w:r>
      <w:bookmarkEnd w:id="0"/>
      <w:r>
        <w:rPr>
          <w:rFonts w:hint="eastAsia"/>
          <w:sz w:val="24"/>
          <w:szCs w:val="24"/>
        </w:rPr>
        <w:t xml:space="preserve"> 审核员：张心、文平  审核时间:</w:t>
      </w:r>
      <w:bookmarkStart w:id="1" w:name="审核开始日"/>
      <w:r>
        <w:rPr>
          <w:rFonts w:hint="eastAsia"/>
          <w:color w:val="000000"/>
          <w:szCs w:val="21"/>
        </w:rPr>
        <w:t xml:space="preserve">2020年10月14日上午 </w:t>
      </w:r>
      <w:bookmarkEnd w:id="1"/>
    </w:p>
    <w:tbl>
      <w:tblPr>
        <w:tblStyle w:val="8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081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08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8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118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081" w:type="dxa"/>
          </w:tcPr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重庆斯瑞传动机械有限公司</w:t>
            </w:r>
            <w:r>
              <w:rPr>
                <w:rFonts w:hint="eastAsia" w:ascii="宋体" w:hAnsi="宋体"/>
              </w:rPr>
              <w:t>成立于</w:t>
            </w:r>
            <w:r>
              <w:rPr>
                <w:rFonts w:hint="eastAsia" w:ascii="宋体" w:hAnsi="宋体" w:cs="宋体"/>
                <w:szCs w:val="21"/>
              </w:rPr>
              <w:t>2001年11月19日</w:t>
            </w:r>
            <w:r>
              <w:rPr>
                <w:rFonts w:hint="eastAsia" w:ascii="宋体" w:hAnsi="宋体"/>
              </w:rPr>
              <w:t>，坐落于重庆市沙坪坝区新桥新街201号，公司主要经营范围是</w:t>
            </w:r>
            <w:r>
              <w:rPr>
                <w:rFonts w:hint="eastAsia" w:ascii="宋体" w:hAnsi="宋体"/>
                <w:szCs w:val="21"/>
              </w:rPr>
              <w:t xml:space="preserve">摩托车和汽车用传动链轮和轴的制造及销售 </w:t>
            </w:r>
            <w:r>
              <w:rPr>
                <w:rFonts w:hint="eastAsia"/>
                <w:szCs w:val="22"/>
              </w:rPr>
              <w:t>，目前生产经营状况良好。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该公司目前成立了4个部门：管理层、综合部、市场部、生技部。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核实：生产经营场所为：</w:t>
            </w:r>
            <w:r>
              <w:rPr>
                <w:rFonts w:hint="eastAsia"/>
              </w:rPr>
              <w:t>重庆市沙坪坝区新桥新街201号</w:t>
            </w:r>
            <w:r>
              <w:rPr>
                <w:rFonts w:hint="eastAsia"/>
                <w:szCs w:val="22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color w:val="000000" w:themeColor="text1"/>
                <w:szCs w:val="22"/>
              </w:rPr>
            </w:pPr>
            <w:r>
              <w:rPr>
                <w:rFonts w:hint="eastAsia"/>
                <w:szCs w:val="22"/>
              </w:rPr>
              <w:t>经确</w:t>
            </w:r>
            <w:r>
              <w:rPr>
                <w:rFonts w:hint="eastAsia"/>
                <w:color w:val="000000" w:themeColor="text1"/>
                <w:szCs w:val="22"/>
              </w:rPr>
              <w:t>认，认证范围为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摩托车和汽车用传动链轮和轴的制造及销售 </w:t>
            </w:r>
            <w:r>
              <w:rPr>
                <w:rFonts w:hint="eastAsia"/>
                <w:color w:val="000000" w:themeColor="text1"/>
                <w:szCs w:val="22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询问，主要设备为</w:t>
            </w:r>
            <w:r>
              <w:rPr>
                <w:rFonts w:hint="eastAsia" w:ascii="宋体" w:hAnsi="宋体"/>
              </w:rPr>
              <w:t>下料机、车床、冲床、滚齿机、磨床、淬火机、钻床、抛丸机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/>
                <w:szCs w:val="22"/>
              </w:rPr>
              <w:t>。原材料主要为</w:t>
            </w:r>
            <w:r>
              <w:rPr>
                <w:rFonts w:hint="eastAsia" w:ascii="宋体" w:hAnsi="宋体"/>
                <w:szCs w:val="21"/>
              </w:rPr>
              <w:t>圆钢、铝锭等。特殊过程：</w:t>
            </w:r>
            <w:r>
              <w:rPr>
                <w:rFonts w:hint="eastAsia" w:ascii="宋体" w:hAnsi="宋体"/>
              </w:rPr>
              <w:t>热处理、表面处理</w:t>
            </w:r>
            <w:r>
              <w:rPr>
                <w:rFonts w:hint="eastAsia" w:ascii="宋体" w:hAnsi="宋体"/>
                <w:szCs w:val="21"/>
              </w:rPr>
              <w:t>，外包过程：表面处理（电镀）。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szCs w:val="22"/>
              </w:rPr>
              <w:t>体系运行时间：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2020年06月01日。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组织实际与管理体系文件化信息描述基本一致。有管理层、综合部、市场部、生技部。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查见《相关方要求识别和控制》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相关方：有员工、银行、主管部门、供应商、客户等。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产品流程见《工艺流程图》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查，管理体系文件名称：质量手册，程序文件26个。</w:t>
            </w:r>
          </w:p>
        </w:tc>
        <w:tc>
          <w:tcPr>
            <w:tcW w:w="1185" w:type="dxa"/>
          </w:tcPr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3687" w:type="dxa"/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产品质量监督抽查情况（QMS）</w:t>
            </w:r>
          </w:p>
        </w:tc>
        <w:tc>
          <w:tcPr>
            <w:tcW w:w="9081" w:type="dxa"/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pStyle w:val="3"/>
              <w:widowControl/>
              <w:shd w:val="clear" w:color="auto" w:fill="FFFFFF"/>
              <w:spacing w:beforeAutospacing="0" w:afterAutospacing="0" w:line="288" w:lineRule="atLeast"/>
              <w:rPr>
                <w:rFonts w:hint="default"/>
                <w:b w:val="0"/>
                <w:kern w:val="2"/>
                <w:sz w:val="21"/>
                <w:szCs w:val="21"/>
              </w:rPr>
            </w:pPr>
            <w:r>
              <w:rPr>
                <w:b w:val="0"/>
                <w:kern w:val="2"/>
                <w:sz w:val="21"/>
                <w:szCs w:val="21"/>
              </w:rPr>
              <w:t>《GB/T 10125-2012人造气氛腐蚀试验 盐雾试验、JB/T 7946.1-2017铸造铝合金金相　第1部分：铸造铝硅合金变质、JB/T 7946.3-2017铸造铝合金金相　第3部分：铸造铝合金针孔、JB/T 7946.4-2017铸造铝合金金相　第4部分：铸造铝铜合金晶粒度、GB/T 5617-2005钢的感应淬火或火焰淬火后有效硬化层深度的测定、GB/T1804-2000一般公差 未注公差的线性和角度尺寸的公差等。</w:t>
            </w:r>
          </w:p>
          <w:p/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2020年暂无抽检。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87" w:type="dxa"/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pStyle w:val="2"/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质量目标（QMS）</w:t>
            </w:r>
          </w:p>
        </w:tc>
        <w:tc>
          <w:tcPr>
            <w:tcW w:w="9081" w:type="dxa"/>
          </w:tcPr>
          <w:p>
            <w:pPr>
              <w:widowControl/>
              <w:spacing w:line="4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工艺过程：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t>传动链轮：</w:t>
            </w:r>
            <w:r>
              <w:rPr>
                <w:rFonts w:hint="eastAsia"/>
              </w:rPr>
              <w:t>毛坯检验—车外圆—车端面—车孔—打标记—滚齿—打毛刺—清洗除油—热处理—钻孔—电镀—检验—组装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2"/>
              </w:rPr>
              <w:t>轴：</w:t>
            </w:r>
            <w:r>
              <w:rPr>
                <w:rFonts w:hint="eastAsia"/>
              </w:rPr>
              <w:t>下料—调质—车加工—滚齿—磨加工—钻孔—滚丝—电镀—检验—入库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8.3不适用，公司按照客户</w:t>
            </w:r>
            <w:r>
              <w:rPr>
                <w:rFonts w:hint="eastAsia" w:ascii="宋体" w:hAnsi="宋体"/>
                <w:szCs w:val="21"/>
                <w:lang w:eastAsia="zh-CN"/>
              </w:rPr>
              <w:t>技术要求及</w:t>
            </w:r>
            <w:r>
              <w:rPr>
                <w:rFonts w:hint="eastAsia" w:ascii="宋体" w:hAnsi="宋体"/>
                <w:szCs w:val="21"/>
              </w:rPr>
              <w:t>提供的图纸进行生产，不涉及产品的设计和开发</w:t>
            </w:r>
            <w:r>
              <w:rPr>
                <w:rFonts w:hint="eastAsia" w:ascii="宋体" w:hAnsi="宋体"/>
              </w:rPr>
              <w:t>。8.3条款的不适用不影响组织提供满足客户要求及法律法规要求的责任。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pStyle w:val="4"/>
              <w:tabs>
                <w:tab w:val="left" w:pos="1260"/>
              </w:tabs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表面处理（电镀）、调质</w:t>
            </w: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客户满意度≧90% </w:t>
            </w: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产品一次性交付合格率100%   </w:t>
            </w: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合同履行率100%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主要原材料</w:t>
            </w:r>
          </w:p>
        </w:tc>
        <w:tc>
          <w:tcPr>
            <w:tcW w:w="9081" w:type="dxa"/>
          </w:tcPr>
          <w:p>
            <w:pPr>
              <w:spacing w:line="400" w:lineRule="exact"/>
              <w:rPr>
                <w:color w:val="1D41D5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圆钢、铝锭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08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23人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机加人员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主要检测设备及设备的检定/校准（QMS）</w:t>
            </w:r>
          </w:p>
        </w:tc>
        <w:tc>
          <w:tcPr>
            <w:tcW w:w="908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主要设备为</w:t>
            </w:r>
            <w:r>
              <w:rPr>
                <w:rFonts w:hint="eastAsia" w:ascii="宋体" w:hAnsi="宋体"/>
              </w:rPr>
              <w:t>下料机、车床、冲床、滚齿机、磨床、淬火机、钻床、抛丸机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/>
                <w:szCs w:val="21"/>
              </w:rPr>
              <w:t>。可以满足</w:t>
            </w:r>
            <w:r>
              <w:rPr>
                <w:rFonts w:hint="eastAsia" w:ascii="宋体" w:hAnsi="宋体"/>
                <w:szCs w:val="21"/>
              </w:rPr>
              <w:t>摩托车和汽车用传动链轮和轴的制造及销售</w:t>
            </w:r>
            <w:r>
              <w:rPr>
                <w:rFonts w:hint="eastAsia"/>
                <w:szCs w:val="21"/>
              </w:rPr>
              <w:t>需要。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无。</w:t>
            </w:r>
          </w:p>
          <w:p>
            <w:pPr>
              <w:pStyle w:val="2"/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主要检测设备有游标卡尺、千分尺、百分表、硬度计、盐雾试验箱、扭力扳手等，</w:t>
            </w:r>
            <w:r>
              <w:rPr>
                <w:rFonts w:hint="eastAsia" w:ascii="宋体" w:hAnsi="宋体"/>
                <w:szCs w:val="21"/>
              </w:rPr>
              <w:t>组织不能提供以上检具的校准或检定证书</w:t>
            </w:r>
          </w:p>
        </w:tc>
        <w:tc>
          <w:tcPr>
            <w:tcW w:w="1185" w:type="dxa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7.1.5</w:t>
            </w:r>
          </w:p>
        </w:tc>
        <w:tc>
          <w:tcPr>
            <w:tcW w:w="1185" w:type="dxa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08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</w:tc>
        <w:tc>
          <w:tcPr>
            <w:tcW w:w="908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方针：质量第一、顾客至上、科技领先、追求卓越。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内部审核：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审核组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08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内审时间：2020年9月1日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内审组：组长：曹莹          组员：刘朝美   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见有：《内审不符合项报告》1份，涉及</w:t>
            </w:r>
            <w:r>
              <w:rPr>
                <w:rFonts w:hint="eastAsia" w:ascii="宋体" w:hAnsi="宋体"/>
              </w:rPr>
              <w:t>市场部8.4.1</w:t>
            </w:r>
            <w:r>
              <w:rPr>
                <w:rFonts w:hint="eastAsia"/>
                <w:szCs w:val="21"/>
              </w:rPr>
              <w:t>条款。对不符合事实描述为“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zh-CN" w:eastAsia="zh-CN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重庆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新超力轴承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有限公司供应商评价，未见相关记录</w:t>
            </w:r>
            <w:r>
              <w:rPr>
                <w:rFonts w:hint="eastAsia"/>
                <w:szCs w:val="21"/>
              </w:rPr>
              <w:t>”针对以上不符合项，已及时采取纠正措施后，经内审员验证关闭。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有《内部审核报告》，有审核结论。</w:t>
            </w:r>
            <w:bookmarkStart w:id="2" w:name="_GoBack"/>
            <w:bookmarkEnd w:id="2"/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081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查见《管理评审计划》、《管理评审报告》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管理评审于2020年9月20日由总经理主持完成。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t>GB/T19001</w:t>
            </w:r>
            <w:r>
              <w:rPr>
                <w:rFonts w:hint="eastAsia"/>
              </w:rPr>
              <w:t>标准和质量管理体系文件的学习培训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。由综合部组织培训，以上改进措施要求在2020年9月22日执行完成。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第二阶段重要审核点等相关内容</w:t>
            </w:r>
          </w:p>
        </w:tc>
        <w:tc>
          <w:tcPr>
            <w:tcW w:w="9081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通过一阶段对受审核方的管理、生产现场巡视和观察，对管理体系绩效要求有重大影响的过程、活动、场所和现场运行进行观察、巡视及总体性评价，组织具备二阶段审核条件，可进行二阶段审核。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二阶段质量管理体系宜重点关注（关键生产、检验、采购过程及生产提供场所）：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重点审核部门：生技部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重点审核场所：办公区域、生产场所。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p/>
    <w:p>
      <w:pPr>
        <w:pStyle w:val="6"/>
      </w:pPr>
    </w:p>
    <w:p>
      <w:pPr>
        <w:pStyle w:val="6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405E"/>
    <w:rsid w:val="0012678C"/>
    <w:rsid w:val="002A4C04"/>
    <w:rsid w:val="00387A7D"/>
    <w:rsid w:val="009F68FD"/>
    <w:rsid w:val="00B40A5B"/>
    <w:rsid w:val="00B54F1D"/>
    <w:rsid w:val="00DE405E"/>
    <w:rsid w:val="26715C18"/>
    <w:rsid w:val="56B24052"/>
    <w:rsid w:val="68937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Plain Text"/>
    <w:basedOn w:val="1"/>
    <w:qFormat/>
    <w:uiPriority w:val="0"/>
    <w:rPr>
      <w:rFonts w:ascii="宋体" w:hAnsi="Courier New"/>
      <w:szCs w:val="24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331</Words>
  <Characters>1888</Characters>
  <Lines>15</Lines>
  <Paragraphs>4</Paragraphs>
  <TotalTime>1</TotalTime>
  <ScaleCrop>false</ScaleCrop>
  <LinksUpToDate>false</LinksUpToDate>
  <CharactersWithSpaces>2215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</cp:lastModifiedBy>
  <dcterms:modified xsi:type="dcterms:W3CDTF">2020-10-15T07:27:33Z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