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歆钜高分子材料(重庆)有限公司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119"/>
        <w:gridCol w:w="1420"/>
        <w:gridCol w:w="2420"/>
        <w:gridCol w:w="569"/>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119" w:type="dxa"/>
            <w:vAlign w:val="center"/>
          </w:tcPr>
          <w:p>
            <w:pPr>
              <w:jc w:val="center"/>
              <w:rPr>
                <w:b/>
                <w:sz w:val="21"/>
                <w:szCs w:val="21"/>
              </w:rPr>
            </w:pPr>
            <w:r>
              <w:rPr>
                <w:rFonts w:hint="eastAsia"/>
                <w:b/>
                <w:sz w:val="21"/>
                <w:szCs w:val="21"/>
              </w:rPr>
              <w:t>职务</w:t>
            </w:r>
          </w:p>
        </w:tc>
        <w:tc>
          <w:tcPr>
            <w:tcW w:w="1420" w:type="dxa"/>
            <w:vAlign w:val="center"/>
          </w:tcPr>
          <w:p>
            <w:pPr>
              <w:jc w:val="center"/>
              <w:rPr>
                <w:b/>
                <w:sz w:val="21"/>
                <w:szCs w:val="21"/>
              </w:rPr>
            </w:pPr>
            <w:r>
              <w:rPr>
                <w:rFonts w:hint="eastAsia"/>
                <w:b/>
                <w:sz w:val="21"/>
                <w:szCs w:val="21"/>
              </w:rPr>
              <w:t>注册级别</w:t>
            </w:r>
          </w:p>
        </w:tc>
        <w:tc>
          <w:tcPr>
            <w:tcW w:w="2420" w:type="dxa"/>
            <w:vAlign w:val="center"/>
          </w:tcPr>
          <w:p>
            <w:pPr>
              <w:jc w:val="center"/>
              <w:rPr>
                <w:b/>
                <w:sz w:val="21"/>
                <w:szCs w:val="21"/>
              </w:rPr>
            </w:pPr>
            <w:r>
              <w:rPr>
                <w:rFonts w:hint="eastAsia"/>
                <w:b/>
                <w:sz w:val="21"/>
                <w:szCs w:val="21"/>
              </w:rPr>
              <w:t>审核员注册号</w:t>
            </w:r>
          </w:p>
        </w:tc>
        <w:tc>
          <w:tcPr>
            <w:tcW w:w="1304"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119" w:type="dxa"/>
            <w:vAlign w:val="center"/>
          </w:tcPr>
          <w:p>
            <w:pPr>
              <w:jc w:val="center"/>
              <w:rPr>
                <w:b/>
                <w:sz w:val="21"/>
                <w:szCs w:val="21"/>
              </w:rPr>
            </w:pPr>
            <w:r>
              <w:rPr>
                <w:b/>
                <w:sz w:val="21"/>
                <w:szCs w:val="21"/>
              </w:rPr>
              <w:t>组长</w:t>
            </w:r>
          </w:p>
        </w:tc>
        <w:tc>
          <w:tcPr>
            <w:tcW w:w="1420" w:type="dxa"/>
            <w:vAlign w:val="center"/>
          </w:tcPr>
          <w:p>
            <w:pPr>
              <w:jc w:val="center"/>
              <w:rPr>
                <w:b/>
                <w:sz w:val="21"/>
                <w:szCs w:val="21"/>
              </w:rPr>
            </w:pPr>
            <w:r>
              <w:rPr>
                <w:b/>
                <w:sz w:val="21"/>
                <w:szCs w:val="21"/>
              </w:rPr>
              <w:t>审核员</w:t>
            </w:r>
          </w:p>
        </w:tc>
        <w:tc>
          <w:tcPr>
            <w:tcW w:w="2420" w:type="dxa"/>
            <w:vAlign w:val="center"/>
          </w:tcPr>
          <w:p>
            <w:pPr>
              <w:jc w:val="center"/>
              <w:rPr>
                <w:b/>
                <w:sz w:val="21"/>
                <w:szCs w:val="21"/>
              </w:rPr>
            </w:pPr>
            <w:r>
              <w:rPr>
                <w:b/>
                <w:sz w:val="21"/>
                <w:szCs w:val="21"/>
              </w:rPr>
              <w:t>2019-N1QMS-3093566</w:t>
            </w:r>
          </w:p>
        </w:tc>
        <w:tc>
          <w:tcPr>
            <w:tcW w:w="1304" w:type="dxa"/>
            <w:gridSpan w:val="2"/>
            <w:vAlign w:val="center"/>
          </w:tcPr>
          <w:p>
            <w:pPr>
              <w:jc w:val="center"/>
              <w:rPr>
                <w:b/>
                <w:sz w:val="21"/>
                <w:szCs w:val="21"/>
              </w:rPr>
            </w:pPr>
            <w:r>
              <w:rPr>
                <w:b/>
                <w:sz w:val="21"/>
                <w:szCs w:val="21"/>
              </w:rPr>
              <w:t>12.01.06</w:t>
            </w:r>
          </w:p>
        </w:tc>
        <w:tc>
          <w:tcPr>
            <w:tcW w:w="1729" w:type="dxa"/>
            <w:gridSpan w:val="2"/>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1119" w:type="dxa"/>
            <w:vAlign w:val="center"/>
          </w:tcPr>
          <w:p>
            <w:pPr>
              <w:jc w:val="center"/>
              <w:rPr>
                <w:b/>
                <w:sz w:val="21"/>
                <w:szCs w:val="21"/>
              </w:rPr>
            </w:pPr>
            <w:r>
              <w:rPr>
                <w:b/>
                <w:sz w:val="21"/>
                <w:szCs w:val="21"/>
              </w:rPr>
              <w:t>组员</w:t>
            </w:r>
          </w:p>
        </w:tc>
        <w:tc>
          <w:tcPr>
            <w:tcW w:w="1420" w:type="dxa"/>
            <w:vAlign w:val="center"/>
          </w:tcPr>
          <w:p>
            <w:pPr>
              <w:jc w:val="center"/>
              <w:rPr>
                <w:b/>
                <w:sz w:val="21"/>
                <w:szCs w:val="21"/>
              </w:rPr>
            </w:pPr>
            <w:r>
              <w:rPr>
                <w:b/>
                <w:sz w:val="21"/>
                <w:szCs w:val="21"/>
              </w:rPr>
              <w:t>审核员</w:t>
            </w:r>
          </w:p>
        </w:tc>
        <w:tc>
          <w:tcPr>
            <w:tcW w:w="2420" w:type="dxa"/>
            <w:vAlign w:val="center"/>
          </w:tcPr>
          <w:p>
            <w:pPr>
              <w:jc w:val="center"/>
              <w:rPr>
                <w:b/>
                <w:sz w:val="21"/>
                <w:szCs w:val="21"/>
              </w:rPr>
            </w:pPr>
            <w:r>
              <w:rPr>
                <w:b/>
                <w:sz w:val="21"/>
                <w:szCs w:val="21"/>
              </w:rPr>
              <w:t>2020-N1QMS-1267598</w:t>
            </w:r>
          </w:p>
        </w:tc>
        <w:tc>
          <w:tcPr>
            <w:tcW w:w="1304"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119" w:type="dxa"/>
          </w:tcPr>
          <w:p>
            <w:pPr>
              <w:rPr>
                <w:b/>
                <w:sz w:val="21"/>
                <w:szCs w:val="21"/>
              </w:rPr>
            </w:pPr>
          </w:p>
        </w:tc>
        <w:tc>
          <w:tcPr>
            <w:tcW w:w="1420" w:type="dxa"/>
          </w:tcPr>
          <w:p>
            <w:pPr>
              <w:rPr>
                <w:b/>
                <w:sz w:val="21"/>
                <w:szCs w:val="21"/>
              </w:rPr>
            </w:pPr>
          </w:p>
        </w:tc>
        <w:tc>
          <w:tcPr>
            <w:tcW w:w="2420" w:type="dxa"/>
          </w:tcPr>
          <w:p>
            <w:pPr>
              <w:rPr>
                <w:b/>
                <w:sz w:val="21"/>
                <w:szCs w:val="21"/>
              </w:rPr>
            </w:pPr>
          </w:p>
        </w:tc>
        <w:tc>
          <w:tcPr>
            <w:tcW w:w="1304"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119" w:type="dxa"/>
            <w:vAlign w:val="center"/>
          </w:tcPr>
          <w:p>
            <w:pPr>
              <w:jc w:val="center"/>
              <w:rPr>
                <w:b/>
                <w:sz w:val="21"/>
                <w:szCs w:val="21"/>
              </w:rPr>
            </w:pPr>
            <w:r>
              <w:rPr>
                <w:rFonts w:hint="eastAsia"/>
                <w:b/>
                <w:sz w:val="21"/>
                <w:szCs w:val="21"/>
              </w:rPr>
              <w:t>角色</w:t>
            </w:r>
          </w:p>
        </w:tc>
        <w:tc>
          <w:tcPr>
            <w:tcW w:w="687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119" w:type="dxa"/>
            <w:vAlign w:val="center"/>
          </w:tcPr>
          <w:p>
            <w:pPr>
              <w:jc w:val="center"/>
              <w:rPr>
                <w:b/>
                <w:sz w:val="21"/>
                <w:szCs w:val="21"/>
              </w:rPr>
            </w:pPr>
          </w:p>
        </w:tc>
        <w:tc>
          <w:tcPr>
            <w:tcW w:w="6873"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w:t>
      </w:r>
      <w:r>
        <w:rPr>
          <w:rFonts w:hint="eastAsia" w:ascii="宋体" w:hAnsi="宋体"/>
          <w:b/>
          <w:bCs/>
          <w:snapToGrid w:val="0"/>
          <w:color w:val="000000"/>
          <w:kern w:val="0"/>
          <w:sz w:val="18"/>
          <w:szCs w:val="21"/>
          <w:u w:val="single"/>
        </w:rPr>
        <w:t>监查1</w:t>
      </w:r>
      <w:r>
        <w:rPr>
          <w:rFonts w:hint="eastAsia"/>
          <w:b/>
          <w:bCs/>
          <w:sz w:val="21"/>
          <w:szCs w:val="21"/>
          <w:u w:val="single"/>
        </w:rPr>
        <w:t>__</w:t>
      </w:r>
      <w:r>
        <w:rPr>
          <w:rFonts w:hint="eastAsia"/>
          <w:b/>
          <w:sz w:val="21"/>
          <w:szCs w:val="21"/>
        </w:rPr>
        <w:t>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auto"/>
                <w:sz w:val="21"/>
              </w:rPr>
              <w:t>歆钜高分子材料(重庆)有限公司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重庆市南岸区江溪路1号4幢</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400000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重庆市南岸区江溪路1号4幢</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400000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重庆市南岸区江溪路1号4幢</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400000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郭同飞</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17823642389</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刘科</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郭同飞</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2020年12月10日 下午至2020年12月10日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审核范围"/>
            <w:r>
              <w:rPr>
                <w:sz w:val="20"/>
              </w:rPr>
              <w:t>聚氨酯发泡原料的生产</w:t>
            </w:r>
            <w:bookmarkEnd w:id="24"/>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12.01.06</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eastAsia" w:ascii="宋体" w:hAnsi="宋体"/>
                <w:b/>
                <w:sz w:val="21"/>
                <w:szCs w:val="21"/>
                <w:lang w:val="en-US" w:eastAsia="zh-CN"/>
              </w:rPr>
            </w:pPr>
          </w:p>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2022.03.20</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hAnsi="宋体"/>
                <w:b/>
                <w:sz w:val="21"/>
                <w:szCs w:val="21"/>
              </w:rPr>
              <w:t>201</w:t>
            </w:r>
            <w:r>
              <w:rPr>
                <w:rFonts w:hint="eastAsia" w:ascii="宋体" w:hAnsi="宋体"/>
                <w:b/>
                <w:sz w:val="21"/>
                <w:szCs w:val="21"/>
                <w:lang w:val="en-US" w:eastAsia="zh-CN"/>
              </w:rPr>
              <w:t>9</w:t>
            </w:r>
            <w:r>
              <w:rPr>
                <w:rFonts w:hint="eastAsia" w:ascii="宋体" w:hAnsi="宋体"/>
                <w:b/>
                <w:sz w:val="21"/>
                <w:szCs w:val="21"/>
              </w:rPr>
              <w:t>.</w:t>
            </w:r>
            <w:r>
              <w:rPr>
                <w:rFonts w:hint="eastAsia" w:ascii="宋体" w:hAnsi="宋体"/>
                <w:b/>
                <w:sz w:val="21"/>
                <w:szCs w:val="21"/>
                <w:lang w:val="en-US" w:eastAsia="zh-CN"/>
              </w:rPr>
              <w:t>3</w:t>
            </w:r>
            <w:r>
              <w:rPr>
                <w:rFonts w:hint="eastAsia" w:ascii="宋体" w:hAnsi="宋体"/>
                <w:b/>
                <w:sz w:val="21"/>
                <w:szCs w:val="21"/>
              </w:rPr>
              <w:t>.</w:t>
            </w:r>
            <w:r>
              <w:rPr>
                <w:rFonts w:hint="eastAsia" w:ascii="宋体" w:hAnsi="宋体"/>
                <w:b/>
                <w:sz w:val="21"/>
                <w:szCs w:val="21"/>
                <w:lang w:val="en-US" w:eastAsia="zh-CN"/>
              </w:rPr>
              <w:t>15</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w:t>
      </w:r>
      <w:r>
        <w:rPr>
          <w:rFonts w:hint="eastAsia" w:ascii="宋体" w:hAnsi="宋体"/>
          <w:b/>
          <w:sz w:val="21"/>
          <w:szCs w:val="21"/>
          <w:lang w:val="en-US" w:eastAsia="zh-CN"/>
        </w:rPr>
        <w:t>9年3月15日</w:t>
      </w:r>
      <w:r>
        <w:rPr>
          <w:rFonts w:hint="eastAsia" w:ascii="宋体" w:hAnsi="宋体"/>
          <w:b/>
          <w:sz w:val="21"/>
          <w:szCs w:val="21"/>
        </w:rPr>
        <w:t>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10</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0" w:firstLineChars="200"/>
              <w:rPr>
                <w:rFonts w:hint="eastAsia" w:ascii="宋体" w:hAnsi="宋体"/>
                <w:b/>
                <w:sz w:val="21"/>
                <w:szCs w:val="21"/>
              </w:rPr>
            </w:pPr>
            <w:r>
              <w:rPr>
                <w:rFonts w:hint="eastAsia" w:ascii="宋体" w:hAnsi="宋体" w:cs="宋体"/>
                <w:sz w:val="21"/>
                <w:szCs w:val="21"/>
                <w:lang w:eastAsia="zh-CN"/>
              </w:rPr>
              <w:t>歆钜高分子材料(重庆)有限公司</w:t>
            </w:r>
            <w:r>
              <w:rPr>
                <w:rFonts w:hint="eastAsia" w:ascii="宋体" w:hAnsi="宋体" w:cs="宋体"/>
                <w:sz w:val="21"/>
                <w:szCs w:val="21"/>
              </w:rPr>
              <w:t>是一家专业从事</w:t>
            </w:r>
            <w:r>
              <w:rPr>
                <w:rFonts w:hint="eastAsia" w:ascii="宋体" w:hAnsi="宋体" w:cs="宋体"/>
                <w:sz w:val="21"/>
                <w:szCs w:val="21"/>
                <w:lang w:eastAsia="zh-CN"/>
              </w:rPr>
              <w:t>聚氨酯发泡原料的生产</w:t>
            </w:r>
            <w:r>
              <w:rPr>
                <w:rFonts w:hint="eastAsia" w:ascii="宋体" w:hAnsi="宋体" w:cs="宋体"/>
                <w:sz w:val="21"/>
                <w:szCs w:val="21"/>
              </w:rPr>
              <w:t>的企业。现有员工</w:t>
            </w:r>
            <w:r>
              <w:rPr>
                <w:rFonts w:hint="eastAsia" w:ascii="宋体" w:hAnsi="宋体" w:cs="宋体"/>
                <w:sz w:val="21"/>
                <w:szCs w:val="21"/>
                <w:lang w:val="en-US" w:eastAsia="zh-CN"/>
              </w:rPr>
              <w:t>12</w:t>
            </w:r>
            <w:r>
              <w:rPr>
                <w:rFonts w:hint="eastAsia" w:ascii="宋体" w:hAnsi="宋体" w:cs="宋体"/>
                <w:sz w:val="21"/>
                <w:szCs w:val="21"/>
              </w:rPr>
              <w:t>人，经营状况良好。组织对内外部因素、相关方需求和期望进行了充分的识别，策划和实施有效。确定了体系的边界，基本适用。管理体系</w:t>
            </w:r>
            <w:r>
              <w:rPr>
                <w:rFonts w:hint="eastAsia" w:ascii="宋体" w:hAnsi="宋体" w:cs="宋体"/>
                <w:sz w:val="21"/>
                <w:szCs w:val="21"/>
                <w:lang w:val="en-US" w:eastAsia="zh-CN"/>
              </w:rPr>
              <w:t>8.3</w:t>
            </w:r>
            <w:r>
              <w:rPr>
                <w:rFonts w:hint="eastAsia" w:ascii="宋体" w:hAnsi="宋体" w:cs="宋体"/>
                <w:sz w:val="21"/>
                <w:szCs w:val="21"/>
                <w:lang w:eastAsia="zh-CN"/>
              </w:rPr>
              <w:t>条款不适用</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w:t>
            </w:r>
            <w:r>
              <w:rPr>
                <w:rFonts w:hint="eastAsia" w:ascii="宋体" w:hAnsi="宋体" w:cs="宋体"/>
                <w:color w:val="000000"/>
                <w:sz w:val="21"/>
                <w:szCs w:val="21"/>
                <w:lang w:eastAsia="zh-CN"/>
              </w:rPr>
              <w:t>会议</w:t>
            </w:r>
            <w:r>
              <w:rPr>
                <w:rFonts w:hint="eastAsia" w:ascii="宋体" w:hAnsi="宋体" w:cs="宋体"/>
                <w:color w:val="000000"/>
                <w:sz w:val="21"/>
                <w:szCs w:val="21"/>
              </w:rPr>
              <w:t>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280" w:lineRule="exact"/>
              <w:ind w:firstLine="420" w:firstLineChars="200"/>
              <w:rPr>
                <w:rFonts w:ascii="宋体" w:hAnsi="宋体"/>
                <w:b/>
                <w:sz w:val="21"/>
                <w:szCs w:val="21"/>
              </w:rPr>
            </w:pPr>
            <w:r>
              <w:rPr>
                <w:rFonts w:hint="eastAsia" w:ascii="宋体" w:hAnsi="宋体" w:cs="宋体"/>
                <w:color w:val="000000"/>
                <w:sz w:val="21"/>
                <w:szCs w:val="21"/>
              </w:rPr>
              <w:t>“</w:t>
            </w:r>
            <w:r>
              <w:rPr>
                <w:rFonts w:hint="eastAsia" w:ascii="宋体" w:hAnsi="宋体"/>
                <w:sz w:val="21"/>
                <w:szCs w:val="21"/>
                <w:lang w:val="en-US" w:eastAsia="zh-CN"/>
              </w:rPr>
              <w:t>质量第一、用户至上、服务周到、持续改进</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firstLine="420" w:firstLineChars="200"/>
              <w:rPr>
                <w:rFonts w:hint="eastAsia"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widowControl/>
              <w:spacing w:line="400" w:lineRule="exact"/>
              <w:rPr>
                <w:rFonts w:hint="eastAsia" w:ascii="宋体" w:hAnsi="宋体"/>
                <w:b/>
                <w:sz w:val="21"/>
                <w:szCs w:val="21"/>
              </w:rPr>
            </w:pPr>
            <w:r>
              <w:rPr>
                <w:rFonts w:hint="eastAsia" w:ascii="宋体" w:hAnsi="宋体"/>
                <w:b/>
                <w:sz w:val="21"/>
                <w:szCs w:val="21"/>
              </w:rPr>
              <w:t>质量管理体系过程有：</w:t>
            </w:r>
            <w:r>
              <w:rPr>
                <w:rFonts w:hint="eastAsia" w:ascii="宋体" w:hAnsi="宋体"/>
                <w:i w:val="0"/>
                <w:iCs w:val="0"/>
                <w:sz w:val="21"/>
                <w:szCs w:val="21"/>
                <w:lang w:val="en-US" w:eastAsia="zh-CN"/>
              </w:rPr>
              <w:t>原料检验--配料--搅拌---检验-灌装</w:t>
            </w:r>
          </w:p>
          <w:p>
            <w:pPr>
              <w:tabs>
                <w:tab w:val="left" w:pos="540"/>
              </w:tabs>
              <w:spacing w:line="300" w:lineRule="exact"/>
              <w:ind w:left="211" w:hanging="211" w:hangingChars="100"/>
              <w:rPr>
                <w:rFonts w:hint="eastAsia" w:ascii="宋体" w:hAnsi="宋体" w:eastAsia="宋体"/>
                <w:sz w:val="21"/>
                <w:szCs w:val="21"/>
                <w:lang w:val="en-US"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cs="宋体"/>
                <w:sz w:val="21"/>
                <w:szCs w:val="21"/>
                <w:lang w:eastAsia="zh-CN"/>
              </w:rPr>
              <w:t>关键</w:t>
            </w:r>
            <w:r>
              <w:rPr>
                <w:rFonts w:hint="eastAsia" w:ascii="宋体" w:hAnsi="宋体" w:cs="宋体"/>
                <w:sz w:val="21"/>
                <w:szCs w:val="21"/>
              </w:rPr>
              <w:t>过程:</w:t>
            </w:r>
            <w:r>
              <w:rPr>
                <w:rFonts w:hint="eastAsia" w:ascii="宋体" w:hAnsi="宋体" w:cs="宋体"/>
                <w:sz w:val="21"/>
                <w:szCs w:val="21"/>
                <w:lang w:eastAsia="zh-CN"/>
              </w:rPr>
              <w:t>配料</w:t>
            </w:r>
          </w:p>
          <w:p>
            <w:pPr>
              <w:tabs>
                <w:tab w:val="left" w:pos="540"/>
              </w:tabs>
              <w:spacing w:line="300" w:lineRule="exact"/>
              <w:ind w:left="211" w:hanging="211" w:hangingChars="100"/>
              <w:rPr>
                <w:rFonts w:hint="eastAsia" w:ascii="宋体" w:hAnsi="宋体"/>
                <w:sz w:val="21"/>
                <w:szCs w:val="21"/>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sz w:val="21"/>
                <w:szCs w:val="21"/>
                <w:lang w:val="en-US" w:eastAsia="zh-CN"/>
              </w:rPr>
              <w:t>无</w:t>
            </w:r>
          </w:p>
          <w:p>
            <w:pPr>
              <w:tabs>
                <w:tab w:val="left" w:pos="540"/>
              </w:tabs>
              <w:spacing w:line="300" w:lineRule="exact"/>
              <w:ind w:left="211" w:hanging="211" w:hangingChars="100"/>
              <w:rPr>
                <w:rFonts w:hint="eastAsia" w:ascii="宋体" w:hAnsi="宋体" w:eastAsia="宋体"/>
                <w:b/>
                <w:sz w:val="21"/>
                <w:szCs w:val="21"/>
                <w:lang w:eastAsia="zh-CN"/>
              </w:rPr>
            </w:pPr>
            <w:r>
              <w:rPr>
                <w:rFonts w:ascii="宋体" w:hAnsi="宋体"/>
                <w:b/>
                <w:sz w:val="21"/>
                <w:szCs w:val="21"/>
              </w:rPr>
              <w:pict>
                <v:shape id="_x0000_s2051" o:spid="_x0000_s2051"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2052" o:spid="_x0000_s2052"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 xml:space="preserve">8.3      </w:t>
            </w:r>
            <w:r>
              <w:rPr>
                <w:rFonts w:hint="eastAsia" w:ascii="宋体" w:hAnsi="宋体"/>
                <w:b/>
                <w:sz w:val="21"/>
                <w:szCs w:val="21"/>
              </w:rPr>
              <w:t>删减理由：</w:t>
            </w:r>
            <w:r>
              <w:rPr>
                <w:rFonts w:hint="eastAsia" w:ascii="宋体" w:hAnsi="宋体"/>
                <w:b w:val="0"/>
                <w:bCs w:val="0"/>
                <w:kern w:val="2"/>
                <w:sz w:val="21"/>
                <w:szCs w:val="21"/>
                <w:u w:val="single"/>
              </w:rPr>
              <w:t>公司所生产的</w:t>
            </w:r>
            <w:r>
              <w:rPr>
                <w:rFonts w:hint="eastAsia" w:ascii="宋体" w:hAnsi="宋体"/>
                <w:b w:val="0"/>
                <w:bCs w:val="0"/>
                <w:sz w:val="21"/>
                <w:szCs w:val="21"/>
                <w:u w:val="single"/>
                <w:lang w:val="en-US" w:eastAsia="zh-CN"/>
              </w:rPr>
              <w:t>聚氨酯发泡料</w:t>
            </w:r>
            <w:r>
              <w:rPr>
                <w:rFonts w:hint="eastAsia" w:ascii="宋体" w:hAnsi="宋体"/>
                <w:b w:val="0"/>
                <w:bCs w:val="0"/>
                <w:kern w:val="2"/>
                <w:sz w:val="21"/>
                <w:szCs w:val="21"/>
                <w:u w:val="single"/>
              </w:rPr>
              <w:t>，按客户要求及相关产品标准进行生产，工艺成熟。整个生产过程不涉及设计新产品的内容，故8.3不适用。</w:t>
            </w:r>
            <w:r>
              <w:rPr>
                <w:rFonts w:hint="eastAsia" w:ascii="宋体" w:hAnsi="宋体"/>
                <w:b w:val="0"/>
                <w:bCs w:val="0"/>
                <w:kern w:val="2"/>
                <w:sz w:val="21"/>
                <w:szCs w:val="21"/>
                <w:u w:val="single"/>
                <w:lang w:eastAsia="zh-CN"/>
              </w:rPr>
              <w:t>该条款的不适用，不影响组织提供满足客户要求及法律法规要求的责任。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3"/>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3"/>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w:t>
            </w:r>
            <w:r>
              <w:rPr>
                <w:rFonts w:ascii="宋体" w:hAnsi="宋体"/>
                <w:b/>
                <w:szCs w:val="21"/>
              </w:rPr>
              <w:t xml:space="preserve"> </w:t>
            </w:r>
            <w:r>
              <w:rPr>
                <w:rFonts w:hint="eastAsia" w:ascii="宋体" w:hAnsi="宋体"/>
                <w:b/>
                <w:szCs w:val="21"/>
              </w:rPr>
              <w:t>□未确定 法律法规要求的具体条款，</w:t>
            </w:r>
          </w:p>
          <w:p>
            <w:pPr>
              <w:pStyle w:val="13"/>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2018年</w:t>
            </w:r>
            <w:r>
              <w:rPr>
                <w:rFonts w:hint="eastAsia" w:ascii="宋体" w:hAnsi="宋体" w:cs="宋体"/>
                <w:sz w:val="21"/>
                <w:szCs w:val="21"/>
                <w:lang w:val="en-US" w:eastAsia="zh-CN"/>
              </w:rPr>
              <w:t>9</w:t>
            </w:r>
            <w:r>
              <w:rPr>
                <w:rFonts w:hint="eastAsia" w:ascii="宋体" w:hAnsi="宋体" w:eastAsia="宋体" w:cs="宋体"/>
                <w:sz w:val="21"/>
                <w:szCs w:val="21"/>
              </w:rPr>
              <w:t>月</w:t>
            </w:r>
            <w:r>
              <w:rPr>
                <w:rFonts w:hint="eastAsia" w:ascii="宋体" w:hAnsi="宋体" w:cs="宋体"/>
                <w:sz w:val="21"/>
                <w:szCs w:val="21"/>
                <w:lang w:val="en-US" w:eastAsia="zh-CN"/>
              </w:rPr>
              <w:t>1</w:t>
            </w:r>
            <w:r>
              <w:rPr>
                <w:rFonts w:hint="eastAsia" w:ascii="宋体" w:hAnsi="宋体" w:eastAsia="宋体" w:cs="宋体"/>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rPr>
                <w:rFonts w:ascii="宋体" w:hAnsi="宋体"/>
                <w:b/>
                <w:sz w:val="21"/>
                <w:szCs w:val="21"/>
              </w:rPr>
            </w:pPr>
            <w:r>
              <w:rPr>
                <w:rFonts w:hint="eastAsia" w:ascii="宋体"/>
                <w:b/>
                <w:color w:val="000000"/>
                <w:sz w:val="20"/>
              </w:rPr>
              <w:t xml:space="preserve"> </w:t>
            </w:r>
            <w:r>
              <w:rPr>
                <w:rFonts w:hint="eastAsia" w:ascii="宋体"/>
                <w:b/>
                <w:color w:val="000000"/>
                <w:sz w:val="20"/>
                <w:lang w:val="en-US" w:eastAsia="zh-CN"/>
              </w:rPr>
              <w:t xml:space="preserve">  </w:t>
            </w:r>
            <w:r>
              <w:rPr>
                <w:rFonts w:hint="eastAsia" w:ascii="宋体" w:hAnsi="宋体" w:cs="宋体"/>
                <w:sz w:val="21"/>
                <w:szCs w:val="21"/>
                <w:lang w:val="en-US" w:eastAsia="zh-CN"/>
              </w:rPr>
              <w:t>组织有用于产品生产的场地</w:t>
            </w:r>
            <w:r>
              <w:rPr>
                <w:rFonts w:hint="eastAsia" w:ascii="宋体" w:hAnsi="宋体" w:cs="宋体"/>
                <w:sz w:val="21"/>
                <w:szCs w:val="21"/>
              </w:rPr>
              <w:t>，车间、库房按区域划分开，办公场所面积100平方。主要经营设备包括：</w:t>
            </w:r>
            <w:r>
              <w:rPr>
                <w:rFonts w:hint="eastAsia" w:ascii="宋体" w:hAnsi="宋体" w:cs="宋体"/>
                <w:sz w:val="21"/>
                <w:szCs w:val="21"/>
                <w:lang w:eastAsia="zh-CN"/>
              </w:rPr>
              <w:t>304不锈钢储罐</w:t>
            </w:r>
            <w:r>
              <w:rPr>
                <w:rFonts w:hint="eastAsia" w:ascii="宋体" w:hAnsi="宋体" w:cs="宋体"/>
                <w:sz w:val="21"/>
                <w:szCs w:val="21"/>
              </w:rPr>
              <w:t>等，可以满足</w:t>
            </w:r>
            <w:r>
              <w:rPr>
                <w:rFonts w:hint="eastAsia" w:ascii="宋体" w:hAnsi="宋体" w:cs="宋体"/>
                <w:sz w:val="21"/>
                <w:szCs w:val="21"/>
                <w:lang w:eastAsia="zh-CN"/>
              </w:rPr>
              <w:t>聚氨酯发泡原料</w:t>
            </w:r>
            <w:r>
              <w:rPr>
                <w:rFonts w:hint="eastAsia" w:ascii="宋体" w:hAnsi="宋体" w:cs="宋体"/>
                <w:sz w:val="21"/>
                <w:szCs w:val="21"/>
              </w:rPr>
              <w:t>需要。</w:t>
            </w:r>
            <w:r>
              <w:rPr>
                <w:rFonts w:hint="eastAsia" w:ascii="宋体" w:hAnsi="宋体" w:cs="宋体"/>
                <w:sz w:val="21"/>
                <w:szCs w:val="21"/>
                <w:lang w:eastAsia="zh-CN"/>
              </w:rPr>
              <w:t>综合办</w:t>
            </w:r>
            <w:r>
              <w:rPr>
                <w:rFonts w:hint="eastAsia" w:ascii="宋体" w:hAnsi="宋体" w:cs="宋体"/>
                <w:sz w:val="21"/>
                <w:szCs w:val="21"/>
              </w:rPr>
              <w:t>对办公室设备按月方式进行点检维护保养，并实施。特种设备：</w:t>
            </w:r>
            <w:r>
              <w:rPr>
                <w:rFonts w:hint="eastAsia" w:ascii="宋体" w:hAnsi="宋体" w:cs="宋体"/>
                <w:sz w:val="21"/>
                <w:szCs w:val="21"/>
                <w:lang w:val="en-US" w:eastAsia="zh-CN"/>
              </w:rPr>
              <w:t>叉车一台</w:t>
            </w:r>
            <w:r>
              <w:rPr>
                <w:rFonts w:hint="eastAsia" w:ascii="宋体" w:hAnsi="宋体" w:cs="宋体"/>
                <w:sz w:val="21"/>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lang w:eastAsia="zh-CN"/>
              </w:rPr>
              <w:t>生产车间</w:t>
            </w:r>
            <w:r>
              <w:rPr>
                <w:rFonts w:hint="eastAsia" w:ascii="宋体" w:hAnsi="宋体" w:cs="宋体"/>
                <w:sz w:val="21"/>
                <w:szCs w:val="21"/>
              </w:rPr>
              <w:t>内设备布置合理，通道畅通，照明设施齐全，均配备了消防设施等设施。办公室明亮，作业场所光线较充足。每月由</w:t>
            </w:r>
            <w:r>
              <w:rPr>
                <w:rFonts w:hint="eastAsia" w:ascii="宋体" w:hAnsi="宋体" w:cs="宋体"/>
                <w:sz w:val="21"/>
                <w:szCs w:val="21"/>
                <w:lang w:eastAsia="zh-CN"/>
              </w:rPr>
              <w:t>综合办</w:t>
            </w:r>
            <w:r>
              <w:rPr>
                <w:rFonts w:hint="eastAsia" w:ascii="宋体" w:hAnsi="宋体" w:cs="宋体"/>
                <w:sz w:val="21"/>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numPr>
                <w:ilvl w:val="0"/>
                <w:numId w:val="0"/>
              </w:numPr>
              <w:spacing w:line="400" w:lineRule="atLeast"/>
              <w:ind w:firstLine="420" w:firstLineChars="200"/>
              <w:rPr>
                <w:rFonts w:hint="eastAsia" w:ascii="宋体" w:hAnsi="宋体" w:eastAsia="宋体"/>
                <w:b/>
                <w:sz w:val="21"/>
                <w:szCs w:val="21"/>
                <w:lang w:eastAsia="zh-CN"/>
              </w:rPr>
            </w:pPr>
            <w:r>
              <w:rPr>
                <w:rFonts w:hint="eastAsia" w:ascii="宋体" w:hAnsi="宋体"/>
                <w:sz w:val="21"/>
                <w:szCs w:val="21"/>
              </w:rPr>
              <w:t>查《计量器具</w:t>
            </w:r>
            <w:r>
              <w:rPr>
                <w:rFonts w:hint="eastAsia" w:ascii="宋体" w:hAnsi="宋体"/>
                <w:color w:val="000000" w:themeColor="text1"/>
                <w:sz w:val="21"/>
                <w:szCs w:val="21"/>
              </w:rPr>
              <w:t>台账》生产车间及检验部门均按策划</w:t>
            </w:r>
            <w:r>
              <w:rPr>
                <w:rFonts w:hint="eastAsia" w:ascii="宋体" w:hAnsi="宋体"/>
                <w:color w:val="auto"/>
                <w:sz w:val="21"/>
                <w:szCs w:val="21"/>
              </w:rPr>
              <w:t>的要求配置了相应的检测设备，其中包括：</w:t>
            </w:r>
            <w:r>
              <w:rPr>
                <w:rFonts w:hint="eastAsia" w:ascii="宋体" w:hAnsi="宋体"/>
                <w:color w:val="auto"/>
                <w:sz w:val="21"/>
                <w:szCs w:val="21"/>
                <w:lang w:val="en-US" w:eastAsia="zh-CN"/>
              </w:rPr>
              <w:t>智能自动水分分析仪、电子秒表、玻璃密度计、电子平台秤、电子天平、粘度计</w:t>
            </w:r>
            <w:r>
              <w:rPr>
                <w:rFonts w:hint="eastAsia" w:ascii="宋体" w:hAnsi="宋体" w:cs="宋体"/>
                <w:color w:val="auto"/>
                <w:sz w:val="21"/>
                <w:szCs w:val="21"/>
              </w:rPr>
              <w:t>等</w:t>
            </w:r>
            <w:r>
              <w:rPr>
                <w:rFonts w:hint="eastAsia" w:ascii="宋体" w:hAnsi="宋体"/>
                <w:color w:val="auto"/>
                <w:sz w:val="21"/>
                <w:szCs w:val="21"/>
              </w:rPr>
              <w:t>均采用委外送检。抽查在用检测设备的检定或校准证书,能提供有效的检定或校准证书</w:t>
            </w:r>
            <w:r>
              <w:rPr>
                <w:rFonts w:hint="eastAsia" w:ascii="宋体" w:hAnsi="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环保设施：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职业健康安全设施：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90"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p>
            <w:pPr>
              <w:tabs>
                <w:tab w:val="left" w:pos="540"/>
              </w:tabs>
              <w:spacing w:line="300" w:lineRule="exact"/>
              <w:ind w:left="211" w:hanging="211" w:hangingChars="100"/>
              <w:rPr>
                <w:rFonts w:hint="eastAsia" w:ascii="宋体" w:hAnsi="宋体" w:eastAsia="宋体"/>
                <w:sz w:val="21"/>
                <w:szCs w:val="21"/>
                <w:lang w:val="en-US" w:eastAsia="zh-CN"/>
              </w:rPr>
            </w:pP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lang w:val="en-US" w:eastAsia="zh-CN"/>
              </w:rPr>
              <w:t>:</w:t>
            </w:r>
            <w:r>
              <w:rPr>
                <w:rFonts w:hint="eastAsia" w:ascii="宋体" w:hAnsi="宋体" w:cs="宋体"/>
                <w:sz w:val="21"/>
                <w:szCs w:val="21"/>
                <w:lang w:eastAsia="zh-CN"/>
              </w:rPr>
              <w:t>配料</w:t>
            </w:r>
          </w:p>
          <w:p>
            <w:pPr>
              <w:tabs>
                <w:tab w:val="left" w:pos="540"/>
              </w:tabs>
              <w:spacing w:line="300" w:lineRule="exact"/>
              <w:ind w:left="211" w:hanging="211" w:hangingChars="100"/>
              <w:rPr>
                <w:rFonts w:hint="eastAsia" w:ascii="宋体" w:hAnsi="宋体" w:eastAsia="宋体" w:cs="宋体"/>
                <w:color w:val="000000"/>
                <w:sz w:val="21"/>
                <w:szCs w:val="21"/>
                <w:lang w:val="en-US"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w:t>
            </w:r>
            <w:r>
              <w:rPr>
                <w:rFonts w:hint="eastAsia" w:ascii="宋体" w:hAnsi="宋体"/>
                <w:b/>
                <w:sz w:val="21"/>
                <w:szCs w:val="21"/>
                <w:lang w:eastAsia="zh-CN"/>
              </w:rPr>
              <w:t>■</w:t>
            </w:r>
            <w:r>
              <w:rPr>
                <w:rFonts w:ascii="宋体" w:hAnsi="宋体"/>
                <w:b/>
                <w:sz w:val="21"/>
                <w:szCs w:val="21"/>
              </w:rPr>
              <w:t>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w:t>
            </w:r>
            <w:r>
              <w:rPr>
                <w:rFonts w:hint="eastAsia" w:ascii="宋体" w:hAnsi="宋体" w:cs="宋体"/>
                <w:color w:val="000000"/>
                <w:sz w:val="21"/>
                <w:szCs w:val="21"/>
                <w:lang w:eastAsia="zh-CN"/>
              </w:rPr>
              <w:t>产品</w:t>
            </w:r>
            <w:r>
              <w:rPr>
                <w:rFonts w:hint="eastAsia" w:ascii="宋体" w:hAnsi="宋体" w:cs="宋体"/>
                <w:color w:val="000000"/>
                <w:sz w:val="21"/>
                <w:szCs w:val="21"/>
              </w:rPr>
              <w:t>检验控制规定，规定了公司各管理层次和技术部门在各阶段对</w:t>
            </w:r>
            <w:r>
              <w:rPr>
                <w:rFonts w:hint="eastAsia" w:ascii="宋体" w:hAnsi="宋体" w:cs="宋体"/>
                <w:color w:val="000000"/>
                <w:sz w:val="21"/>
                <w:szCs w:val="21"/>
                <w:lang w:eastAsia="zh-CN"/>
              </w:rPr>
              <w:t>产品</w:t>
            </w:r>
            <w:r>
              <w:rPr>
                <w:rFonts w:hint="eastAsia" w:ascii="宋体" w:hAnsi="宋体" w:cs="宋体"/>
                <w:color w:val="000000"/>
                <w:sz w:val="21"/>
                <w:szCs w:val="21"/>
              </w:rPr>
              <w:t>质量实施检查与验收的管理要求。内容基本具备全面性、系统性及可操作性。技术输出验收均在顾客处予以实现，范围包括：过程、最终方案、报告。以此保证持续向顾客稳定提供稳定合格的服务。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30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p>
            <w:pPr>
              <w:spacing w:line="240" w:lineRule="exact"/>
              <w:ind w:firstLine="420" w:firstLineChars="200"/>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3"/>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default" w:ascii="宋体" w:hAnsi="宋体"/>
                <w:b/>
                <w:sz w:val="21"/>
                <w:szCs w:val="21"/>
                <w:lang w:val="en-US"/>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r>
              <w:rPr>
                <w:rFonts w:hint="eastAsia" w:ascii="宋体" w:hAnsi="宋体"/>
                <w:b/>
                <w:sz w:val="21"/>
                <w:szCs w:val="21"/>
                <w:lang w:val="en-US" w:eastAsia="zh-CN"/>
              </w:rPr>
              <w:t>:叉车一台，提供有有效的检验报告和及特种设备使用标志,见附件。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w:t>
            </w:r>
            <w:r>
              <w:rPr>
                <w:rFonts w:hint="eastAsia" w:ascii="宋体" w:hAnsi="宋体" w:cs="宋体"/>
                <w:color w:val="auto"/>
                <w:sz w:val="21"/>
                <w:szCs w:val="21"/>
              </w:rPr>
              <w:t>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auto"/>
                <w:sz w:val="21"/>
                <w:szCs w:val="21"/>
                <w:lang w:val="en-US" w:eastAsia="zh-CN"/>
              </w:rPr>
              <w:t>20</w:t>
            </w:r>
            <w:r>
              <w:rPr>
                <w:rFonts w:hint="eastAsia" w:ascii="宋体" w:hAnsi="宋体" w:cs="宋体"/>
                <w:color w:val="auto"/>
                <w:sz w:val="21"/>
                <w:szCs w:val="21"/>
              </w:rPr>
              <w:t>年</w:t>
            </w:r>
            <w:r>
              <w:rPr>
                <w:rFonts w:hint="eastAsia" w:ascii="宋体" w:hAnsi="宋体" w:cs="宋体"/>
                <w:color w:val="auto"/>
                <w:sz w:val="21"/>
                <w:szCs w:val="21"/>
                <w:lang w:val="en-US" w:eastAsia="zh-CN"/>
              </w:rPr>
              <w:t>1</w:t>
            </w:r>
            <w:r>
              <w:rPr>
                <w:rFonts w:hint="eastAsia" w:ascii="宋体" w:hAnsi="宋体" w:cs="宋体"/>
                <w:color w:val="auto"/>
                <w:sz w:val="21"/>
                <w:szCs w:val="21"/>
              </w:rPr>
              <w:t>-</w:t>
            </w:r>
            <w:r>
              <w:rPr>
                <w:rFonts w:hint="eastAsia" w:ascii="宋体" w:hAnsi="宋体" w:cs="宋体"/>
                <w:color w:val="auto"/>
                <w:sz w:val="21"/>
                <w:szCs w:val="21"/>
                <w:lang w:val="en-US" w:eastAsia="zh-CN"/>
              </w:rPr>
              <w:t>10</w:t>
            </w:r>
            <w:r>
              <w:rPr>
                <w:rFonts w:hint="eastAsia" w:ascii="宋体" w:hAnsi="宋体" w:cs="宋体"/>
                <w:color w:val="auto"/>
                <w:sz w:val="21"/>
                <w:szCs w:val="21"/>
              </w:rPr>
              <w:t>月质</w:t>
            </w:r>
            <w:r>
              <w:rPr>
                <w:rFonts w:hint="eastAsia" w:ascii="宋体" w:hAnsi="宋体" w:cs="宋体"/>
                <w:color w:val="000000"/>
                <w:sz w:val="21"/>
                <w:szCs w:val="21"/>
              </w:rPr>
              <w:t>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4"/>
              </w:numPr>
              <w:spacing w:line="240" w:lineRule="exact"/>
              <w:ind w:left="105" w:hanging="105" w:hangingChars="50"/>
              <w:rPr>
                <w:rFonts w:hint="eastAsia" w:ascii="宋体" w:hAnsi="宋体"/>
                <w:b/>
                <w:color w:val="auto"/>
                <w:sz w:val="21"/>
                <w:szCs w:val="21"/>
              </w:rPr>
            </w:pPr>
            <w:r>
              <w:rPr>
                <w:rFonts w:hint="eastAsia" w:ascii="宋体" w:hAnsi="宋体"/>
                <w:b/>
                <w:sz w:val="21"/>
                <w:szCs w:val="21"/>
              </w:rPr>
              <w:t>顾客满意</w:t>
            </w:r>
          </w:p>
          <w:p>
            <w:pPr>
              <w:numPr>
                <w:ilvl w:val="0"/>
                <w:numId w:val="0"/>
              </w:numPr>
              <w:spacing w:line="240" w:lineRule="exact"/>
              <w:ind w:leftChars="-50" w:firstLine="420" w:firstLineChars="200"/>
              <w:rPr>
                <w:rFonts w:ascii="宋体" w:hAnsi="宋体"/>
                <w:b/>
                <w:sz w:val="21"/>
                <w:szCs w:val="21"/>
              </w:rPr>
            </w:pPr>
            <w:r>
              <w:rPr>
                <w:rFonts w:hint="eastAsia" w:ascii="宋体" w:hAnsi="宋体" w:cs="宋体"/>
                <w:color w:val="auto"/>
                <w:sz w:val="21"/>
                <w:szCs w:val="21"/>
              </w:rPr>
              <w:t>公司建立了《顾客满意程度评价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auto"/>
                <w:sz w:val="21"/>
                <w:szCs w:val="21"/>
                <w:lang w:val="en-US" w:eastAsia="zh-CN"/>
              </w:rPr>
              <w:t>19</w:t>
            </w:r>
            <w:r>
              <w:rPr>
                <w:rFonts w:hint="eastAsia" w:ascii="宋体" w:hAnsi="宋体" w:cs="宋体"/>
                <w:color w:val="auto"/>
                <w:sz w:val="21"/>
                <w:szCs w:val="21"/>
              </w:rPr>
              <w:t>年</w:t>
            </w:r>
            <w:r>
              <w:rPr>
                <w:rFonts w:hint="eastAsia" w:ascii="宋体" w:hAnsi="宋体" w:cs="宋体"/>
                <w:color w:val="auto"/>
                <w:sz w:val="21"/>
                <w:szCs w:val="21"/>
                <w:lang w:val="en-US" w:eastAsia="zh-CN"/>
              </w:rPr>
              <w:t>12</w:t>
            </w:r>
            <w:r>
              <w:rPr>
                <w:rFonts w:hint="eastAsia" w:ascii="宋体" w:hAnsi="宋体" w:cs="宋体"/>
                <w:color w:val="auto"/>
                <w:sz w:val="21"/>
                <w:szCs w:val="21"/>
              </w:rPr>
              <w:t>月实施，满意度评价98</w:t>
            </w:r>
            <w:r>
              <w:rPr>
                <w:rFonts w:hint="eastAsia" w:ascii="宋体" w:hAnsi="宋体" w:cs="宋体"/>
                <w:color w:val="auto"/>
                <w:sz w:val="21"/>
                <w:szCs w:val="21"/>
                <w:lang w:val="en-US" w:eastAsia="zh-CN"/>
              </w:rPr>
              <w:t>分</w:t>
            </w:r>
            <w:r>
              <w:rPr>
                <w:rFonts w:hint="eastAsia" w:ascii="宋体" w:hAnsi="宋体" w:cs="宋体"/>
                <w:color w:val="auto"/>
                <w:sz w:val="21"/>
                <w:szCs w:val="21"/>
              </w:rPr>
              <w:t>，</w:t>
            </w:r>
            <w:r>
              <w:rPr>
                <w:rFonts w:hint="eastAsia" w:ascii="宋体" w:hAnsi="宋体" w:cs="宋体"/>
                <w:color w:val="000000" w:themeColor="text1"/>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auto"/>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w:t>
            </w:r>
            <w:r>
              <w:rPr>
                <w:rFonts w:hint="eastAsia" w:ascii="宋体" w:hAnsi="宋体"/>
                <w:b/>
                <w:color w:val="auto"/>
                <w:sz w:val="21"/>
                <w:szCs w:val="21"/>
              </w:rPr>
              <w:t>重要性）</w:t>
            </w:r>
          </w:p>
          <w:p>
            <w:pPr>
              <w:numPr>
                <w:ilvl w:val="0"/>
                <w:numId w:val="0"/>
              </w:numPr>
              <w:spacing w:line="240" w:lineRule="exact"/>
              <w:ind w:firstLine="420" w:firstLineChars="200"/>
              <w:rPr>
                <w:rFonts w:ascii="宋体" w:hAnsi="宋体"/>
                <w:b/>
                <w:sz w:val="21"/>
                <w:szCs w:val="21"/>
              </w:rPr>
            </w:pPr>
            <w:r>
              <w:rPr>
                <w:rFonts w:hint="eastAsia" w:ascii="宋体" w:hAnsi="宋体" w:cs="宋体"/>
                <w:color w:val="auto"/>
                <w:sz w:val="21"/>
                <w:szCs w:val="21"/>
              </w:rPr>
              <w:t>建立有《内部审核控制程序》，规定了内审频次一年一次，内审时间：20</w:t>
            </w:r>
            <w:r>
              <w:rPr>
                <w:rFonts w:hint="eastAsia" w:ascii="宋体" w:hAnsi="宋体" w:cs="宋体"/>
                <w:color w:val="auto"/>
                <w:sz w:val="21"/>
                <w:szCs w:val="21"/>
                <w:lang w:val="en-US" w:eastAsia="zh-CN"/>
              </w:rPr>
              <w:t>19</w:t>
            </w:r>
            <w:r>
              <w:rPr>
                <w:rFonts w:hint="eastAsia" w:ascii="宋体" w:hAnsi="宋体" w:cs="宋体"/>
                <w:color w:val="auto"/>
                <w:sz w:val="21"/>
                <w:szCs w:val="21"/>
              </w:rPr>
              <w:t>年</w:t>
            </w:r>
            <w:r>
              <w:rPr>
                <w:rFonts w:hint="eastAsia" w:ascii="宋体" w:hAnsi="宋体" w:cs="宋体"/>
                <w:color w:val="auto"/>
                <w:sz w:val="21"/>
                <w:szCs w:val="21"/>
                <w:lang w:val="en-US" w:eastAsia="zh-CN"/>
              </w:rPr>
              <w:t>12</w:t>
            </w:r>
            <w:r>
              <w:rPr>
                <w:rFonts w:hint="eastAsia" w:ascii="宋体" w:hAnsi="宋体" w:cs="宋体"/>
                <w:color w:val="auto"/>
                <w:sz w:val="21"/>
                <w:szCs w:val="21"/>
              </w:rPr>
              <w:t>月</w:t>
            </w:r>
            <w:r>
              <w:rPr>
                <w:rFonts w:hint="eastAsia" w:ascii="宋体" w:hAnsi="宋体" w:cs="宋体"/>
                <w:color w:val="auto"/>
                <w:sz w:val="21"/>
                <w:szCs w:val="21"/>
                <w:lang w:val="en-US" w:eastAsia="zh-CN"/>
              </w:rPr>
              <w:t>9</w:t>
            </w:r>
            <w:r>
              <w:rPr>
                <w:rFonts w:hint="eastAsia" w:ascii="宋体" w:hAnsi="宋体" w:cs="宋体"/>
                <w:color w:val="auto"/>
                <w:sz w:val="21"/>
                <w:szCs w:val="21"/>
              </w:rPr>
              <w:t>日，拟定了审核实施表，明确了内审范围，内审人员经培训合格上岗，能力满足要求，未出现审核本部门情况，内审不符合项1项，涉及</w:t>
            </w:r>
            <w:r>
              <w:rPr>
                <w:rFonts w:hint="eastAsia" w:ascii="宋体" w:hAnsi="宋体" w:cs="宋体"/>
                <w:color w:val="auto"/>
                <w:sz w:val="21"/>
                <w:szCs w:val="21"/>
                <w:lang w:eastAsia="zh-CN"/>
              </w:rPr>
              <w:t>生</w:t>
            </w:r>
            <w:r>
              <w:rPr>
                <w:rFonts w:hint="eastAsia" w:ascii="宋体" w:hAnsi="宋体" w:cs="宋体"/>
                <w:color w:val="auto"/>
                <w:sz w:val="21"/>
                <w:szCs w:val="21"/>
                <w:lang w:val="en-US" w:eastAsia="zh-CN"/>
              </w:rPr>
              <w:t>产</w:t>
            </w:r>
            <w:r>
              <w:rPr>
                <w:rFonts w:hint="eastAsia" w:ascii="宋体" w:hAnsi="宋体" w:cs="宋体"/>
                <w:color w:val="auto"/>
                <w:sz w:val="21"/>
                <w:szCs w:val="21"/>
              </w:rPr>
              <w:t>部，涉及标准</w:t>
            </w:r>
            <w:r>
              <w:rPr>
                <w:rFonts w:hint="eastAsia" w:ascii="宋体" w:hAnsi="宋体" w:cs="宋体"/>
                <w:color w:val="auto"/>
                <w:sz w:val="21"/>
                <w:szCs w:val="21"/>
                <w:lang w:val="en-US" w:eastAsia="zh-CN"/>
              </w:rPr>
              <w:t>8.5.2</w:t>
            </w:r>
            <w:r>
              <w:rPr>
                <w:rFonts w:hint="eastAsia" w:ascii="宋体" w:hAnsi="宋体" w:cs="宋体"/>
                <w:color w:val="auto"/>
                <w:sz w:val="21"/>
                <w:szCs w:val="21"/>
              </w:rPr>
              <w:t>条款，</w:t>
            </w:r>
            <w:r>
              <w:rPr>
                <w:rFonts w:hint="eastAsia" w:ascii="宋体" w:hAnsi="宋体" w:cs="宋体"/>
                <w:color w:val="auto"/>
                <w:sz w:val="21"/>
                <w:szCs w:val="21"/>
                <w:lang w:eastAsia="zh-CN"/>
              </w:rPr>
              <w:t>“原料进出库没有及时登记”</w:t>
            </w:r>
            <w:r>
              <w:rPr>
                <w:rFonts w:hint="eastAsia" w:ascii="宋体" w:hAnsi="宋体" w:cs="宋体"/>
                <w:color w:val="auto"/>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管理评审频次为一年一次、本次管理评审</w:t>
            </w:r>
            <w:r>
              <w:rPr>
                <w:rFonts w:hint="eastAsia" w:ascii="宋体" w:hAnsi="宋体" w:cs="宋体"/>
                <w:color w:val="auto"/>
                <w:sz w:val="21"/>
                <w:szCs w:val="21"/>
              </w:rPr>
              <w:t>于20</w:t>
            </w:r>
            <w:r>
              <w:rPr>
                <w:rFonts w:hint="eastAsia" w:ascii="宋体" w:hAnsi="宋体" w:cs="宋体"/>
                <w:color w:val="auto"/>
                <w:sz w:val="21"/>
                <w:szCs w:val="21"/>
                <w:lang w:val="en-US" w:eastAsia="zh-CN"/>
              </w:rPr>
              <w:t>19</w:t>
            </w:r>
            <w:r>
              <w:rPr>
                <w:rFonts w:hint="eastAsia" w:ascii="宋体" w:hAnsi="宋体" w:cs="宋体"/>
                <w:color w:val="auto"/>
                <w:sz w:val="21"/>
                <w:szCs w:val="21"/>
              </w:rPr>
              <w:t>.</w:t>
            </w:r>
            <w:r>
              <w:rPr>
                <w:rFonts w:hint="eastAsia" w:ascii="宋体" w:hAnsi="宋体" w:cs="宋体"/>
                <w:color w:val="auto"/>
                <w:sz w:val="21"/>
                <w:szCs w:val="21"/>
                <w:lang w:val="en-US" w:eastAsia="zh-CN"/>
              </w:rPr>
              <w:t>12</w:t>
            </w:r>
            <w:r>
              <w:rPr>
                <w:rFonts w:hint="eastAsia" w:ascii="宋体" w:hAnsi="宋体" w:cs="宋体"/>
                <w:color w:val="auto"/>
                <w:sz w:val="21"/>
                <w:szCs w:val="21"/>
              </w:rPr>
              <w:t>.</w:t>
            </w:r>
            <w:r>
              <w:rPr>
                <w:rFonts w:hint="eastAsia" w:ascii="宋体" w:hAnsi="宋体" w:cs="宋体"/>
                <w:color w:val="auto"/>
                <w:sz w:val="21"/>
                <w:szCs w:val="21"/>
                <w:lang w:val="en-US" w:eastAsia="zh-CN"/>
              </w:rPr>
              <w:t>14</w:t>
            </w:r>
            <w:r>
              <w:rPr>
                <w:rFonts w:hint="eastAsia" w:ascii="宋体" w:hAnsi="宋体" w:cs="宋体"/>
                <w:color w:val="auto"/>
                <w:sz w:val="21"/>
                <w:szCs w:val="21"/>
              </w:rPr>
              <w:t>由总经</w:t>
            </w:r>
            <w:r>
              <w:rPr>
                <w:rFonts w:hint="eastAsia" w:ascii="宋体" w:hAnsi="宋体" w:cs="宋体"/>
                <w:color w:val="000000"/>
                <w:sz w:val="21"/>
                <w:szCs w:val="21"/>
              </w:rPr>
              <w:t>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50"/>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numPr>
                <w:ilvl w:val="0"/>
                <w:numId w:val="0"/>
              </w:numPr>
              <w:spacing w:line="240" w:lineRule="exact"/>
              <w:ind w:leftChars="-50"/>
              <w:rPr>
                <w:rFonts w:hint="eastAsia" w:ascii="宋体" w:hAnsi="宋体" w:eastAsia="宋体"/>
                <w:b/>
                <w:sz w:val="21"/>
                <w:szCs w:val="21"/>
                <w:lang w:val="en-US" w:eastAsia="zh-CN"/>
              </w:rPr>
            </w:pPr>
            <w:r>
              <w:rPr>
                <w:rFonts w:ascii="宋体" w:hAnsi="宋体"/>
                <w:b/>
                <w:sz w:val="21"/>
                <w:szCs w:val="21"/>
              </w:rPr>
              <w:t xml:space="preserve"> </w:t>
            </w:r>
            <w:r>
              <w:rPr>
                <w:rFonts w:hint="eastAsia" w:ascii="宋体" w:hAnsi="宋体"/>
                <w:b/>
                <w:sz w:val="21"/>
                <w:szCs w:val="21"/>
                <w:lang w:val="en-US"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hint="eastAsia"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numPr>
                <w:ilvl w:val="0"/>
                <w:numId w:val="0"/>
              </w:numPr>
              <w:spacing w:line="240" w:lineRule="exact"/>
              <w:ind w:leftChars="-50" w:firstLine="422" w:firstLineChars="200"/>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numPr>
                <w:ilvl w:val="0"/>
                <w:numId w:val="0"/>
              </w:numPr>
              <w:spacing w:line="240" w:lineRule="exact"/>
              <w:rPr>
                <w:rFonts w:hint="eastAsia" w:ascii="宋体" w:hAnsi="宋体"/>
                <w:b/>
                <w:sz w:val="21"/>
                <w:szCs w:val="21"/>
              </w:rPr>
            </w:pPr>
          </w:p>
          <w:p>
            <w:pPr>
              <w:numPr>
                <w:ilvl w:val="0"/>
                <w:numId w:val="0"/>
              </w:numPr>
              <w:spacing w:line="240" w:lineRule="exact"/>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hint="eastAsia" w:ascii="宋体" w:hAnsi="宋体" w:cs="宋体"/>
                <w:color w:val="000000"/>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rPr>
                <w:rFonts w:ascii="宋体" w:hAnsi="宋体"/>
                <w:b/>
                <w:sz w:val="21"/>
                <w:szCs w:val="21"/>
              </w:rPr>
            </w:pP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ind w:left="0" w:leftChars="0" w:firstLine="0" w:firstLineChars="0"/>
              <w:rPr>
                <w:rFonts w:hint="eastAsia" w:ascii="宋体" w:hAnsi="宋体"/>
                <w:b/>
                <w:sz w:val="21"/>
                <w:szCs w:val="21"/>
                <w:lang w:eastAsia="zh-CN"/>
              </w:rPr>
            </w:pPr>
            <w:r>
              <w:rPr>
                <w:rFonts w:hint="eastAsia" w:ascii="宋体" w:hAnsi="宋体"/>
                <w:b/>
                <w:sz w:val="21"/>
                <w:szCs w:val="21"/>
              </w:rPr>
              <w:t>上次不符合的整改情况</w:t>
            </w:r>
            <w:r>
              <w:rPr>
                <w:rFonts w:hint="eastAsia" w:ascii="宋体" w:hAnsi="宋体"/>
                <w:b/>
                <w:sz w:val="21"/>
                <w:szCs w:val="21"/>
                <w:lang w:eastAsia="zh-CN"/>
              </w:rPr>
              <w:t>：</w:t>
            </w:r>
          </w:p>
          <w:p>
            <w:pPr>
              <w:numPr>
                <w:ilvl w:val="0"/>
                <w:numId w:val="0"/>
              </w:numPr>
              <w:spacing w:line="240" w:lineRule="exact"/>
              <w:ind w:leftChars="0"/>
              <w:rPr>
                <w:rFonts w:hint="eastAsia" w:ascii="宋体" w:hAnsi="宋体" w:eastAsia="宋体"/>
                <w:b/>
                <w:sz w:val="21"/>
                <w:szCs w:val="21"/>
                <w:lang w:eastAsia="zh-CN"/>
              </w:rPr>
            </w:pPr>
            <w:r>
              <w:rPr>
                <w:rFonts w:hint="eastAsia" w:ascii="宋体" w:hAnsi="宋体"/>
                <w:b/>
                <w:sz w:val="21"/>
                <w:szCs w:val="21"/>
                <w:lang w:eastAsia="zh-CN"/>
              </w:rPr>
              <w:t>上</w:t>
            </w:r>
            <w:r>
              <w:rPr>
                <w:rFonts w:hint="eastAsia"/>
                <w:b/>
                <w:szCs w:val="21"/>
              </w:rPr>
              <w:t>次</w:t>
            </w:r>
            <w:r>
              <w:rPr>
                <w:rFonts w:hint="eastAsia" w:ascii="宋体" w:hAnsi="宋体"/>
                <w:b/>
                <w:sz w:val="21"/>
                <w:szCs w:val="21"/>
              </w:rPr>
              <w:t>不符合为</w:t>
            </w:r>
            <w:r>
              <w:rPr>
                <w:rFonts w:hint="eastAsia" w:ascii="宋体" w:hAnsi="宋体"/>
                <w:b/>
                <w:sz w:val="21"/>
                <w:szCs w:val="21"/>
                <w:lang w:val="en-US" w:eastAsia="zh-CN"/>
              </w:rPr>
              <w:t>8.5.2</w:t>
            </w:r>
            <w:r>
              <w:rPr>
                <w:rFonts w:hint="eastAsia" w:ascii="宋体" w:hAnsi="宋体"/>
                <w:b/>
                <w:sz w:val="21"/>
                <w:szCs w:val="21"/>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本次审核共开具不符合项报告</w:t>
      </w:r>
      <w:r>
        <w:rPr>
          <w:rFonts w:hint="eastAsia" w:ascii="宋体" w:hAnsi="宋体"/>
          <w:b/>
          <w:color w:val="000000" w:themeColor="text1"/>
          <w:szCs w:val="21"/>
          <w:u w:val="single"/>
          <w:lang w:val="en-US" w:eastAsia="zh-CN"/>
          <w14:textFill>
            <w14:solidFill>
              <w14:schemeClr w14:val="tx1"/>
            </w14:solidFill>
          </w14:textFill>
        </w:rPr>
        <w:t>1</w:t>
      </w:r>
      <w:r>
        <w:rPr>
          <w:rFonts w:hint="eastAsia" w:ascii="宋体" w:hAnsi="宋体"/>
          <w:b/>
          <w:color w:val="000000" w:themeColor="text1"/>
          <w:szCs w:val="21"/>
          <w14:textFill>
            <w14:solidFill>
              <w14:schemeClr w14:val="tx1"/>
            </w14:solidFill>
          </w14:textFill>
        </w:rPr>
        <w:t>项；其中</w:t>
      </w:r>
      <w:r>
        <w:rPr>
          <w:rFonts w:ascii="宋体" w:hAnsi="宋体"/>
          <w:b/>
          <w:color w:val="000000" w:themeColor="text1"/>
          <w:szCs w:val="21"/>
          <w14:textFill>
            <w14:solidFill>
              <w14:schemeClr w14:val="tx1"/>
            </w14:solidFill>
          </w14:textFill>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color w:val="000000" w:themeColor="text1"/>
          <w:szCs w:val="21"/>
          <w14:textFill>
            <w14:solidFill>
              <w14:schemeClr w14:val="tx1"/>
            </w14:solidFill>
          </w14:textFill>
        </w:rPr>
        <w:t>严重不符合</w:t>
      </w:r>
      <w:r>
        <w:rPr>
          <w:rFonts w:hint="eastAsia" w:ascii="宋体" w:hAnsi="宋体"/>
          <w:b/>
          <w:color w:val="000000" w:themeColor="text1"/>
          <w:szCs w:val="21"/>
          <w:u w:val="single"/>
          <w:lang w:val="en-US" w:eastAsia="zh-CN"/>
          <w14:textFill>
            <w14:solidFill>
              <w14:schemeClr w14:val="tx1"/>
            </w14:solidFill>
          </w14:textFill>
        </w:rPr>
        <w:t>0</w:t>
      </w:r>
      <w:r>
        <w:rPr>
          <w:rFonts w:hint="eastAsia" w:ascii="宋体" w:hAnsi="宋体"/>
          <w:b/>
          <w:color w:val="000000" w:themeColor="text1"/>
          <w:szCs w:val="21"/>
          <w14:textFill>
            <w14:solidFill>
              <w14:schemeClr w14:val="tx1"/>
            </w14:solidFill>
          </w14:textFill>
        </w:rPr>
        <w:t>项，一般不符合</w:t>
      </w:r>
      <w:r>
        <w:rPr>
          <w:rFonts w:hint="eastAsia" w:ascii="宋体" w:hAnsi="宋体"/>
          <w:b/>
          <w:color w:val="000000" w:themeColor="text1"/>
          <w:szCs w:val="21"/>
          <w:u w:val="single"/>
          <w:lang w:val="en-US" w:eastAsia="zh-CN"/>
          <w14:textFill>
            <w14:solidFill>
              <w14:schemeClr w14:val="tx1"/>
            </w14:solidFill>
          </w14:textFill>
        </w:rPr>
        <w:t>1</w:t>
      </w:r>
      <w:r>
        <w:rPr>
          <w:rFonts w:hint="eastAsia" w:ascii="宋体" w:hAnsi="宋体"/>
          <w:b/>
          <w:color w:val="000000" w:themeColor="text1"/>
          <w:szCs w:val="21"/>
          <w14:textFill>
            <w14:solidFill>
              <w14:schemeClr w14:val="tx1"/>
            </w14:solidFill>
          </w14:textFill>
        </w:rPr>
        <w:t>项，观察项项分布在</w:t>
      </w:r>
      <w:r>
        <w:rPr>
          <w:rFonts w:hint="eastAsia" w:ascii="宋体" w:hAnsi="宋体"/>
          <w:b/>
          <w:color w:val="000000" w:themeColor="text1"/>
          <w:szCs w:val="21"/>
          <w:lang w:val="en-US" w:eastAsia="zh-CN"/>
          <w14:textFill>
            <w14:solidFill>
              <w14:schemeClr w14:val="tx1"/>
            </w14:solidFill>
          </w14:textFill>
        </w:rPr>
        <w:t>经营部</w:t>
      </w:r>
      <w:r>
        <w:rPr>
          <w:rFonts w:hint="eastAsia" w:ascii="宋体" w:hAnsi="宋体"/>
          <w:b/>
          <w:color w:val="000000" w:themeColor="text1"/>
          <w:szCs w:val="21"/>
          <w14:textFill>
            <w14:solidFill>
              <w14:schemeClr w14:val="tx1"/>
            </w14:solidFill>
          </w14:textFill>
        </w:rPr>
        <w:t>部门</w:t>
      </w:r>
      <w:r>
        <w:rPr>
          <w:rFonts w:hint="eastAsia" w:ascii="宋体" w:hAnsi="宋体"/>
          <w:b/>
          <w:color w:val="000000" w:themeColor="text1"/>
          <w:szCs w:val="21"/>
          <w:lang w:val="en-US" w:eastAsia="zh-CN"/>
          <w14:textFill>
            <w14:solidFill>
              <w14:schemeClr w14:val="tx1"/>
            </w14:solidFill>
          </w14:textFill>
        </w:rPr>
        <w:t>8.4.1</w:t>
      </w:r>
      <w:bookmarkStart w:id="28" w:name="_GoBack"/>
      <w:bookmarkEnd w:id="28"/>
      <w:r>
        <w:rPr>
          <w:rFonts w:hint="eastAsia" w:ascii="宋体" w:hAnsi="宋体"/>
          <w:b/>
          <w:color w:val="000000" w:themeColor="text1"/>
          <w:szCs w:val="21"/>
          <w14:textFill>
            <w14:solidFill>
              <w14:schemeClr w14:val="tx1"/>
            </w14:solidFill>
          </w14:textFill>
        </w:rPr>
        <w:t>条款，见不符合项分布表。（</w:t>
      </w:r>
      <w:r>
        <w:rPr>
          <w:rFonts w:ascii="宋体" w:hAnsi="宋体"/>
          <w:b/>
          <w:color w:val="000000" w:themeColor="text1"/>
          <w:szCs w:val="21"/>
          <w14:textFill>
            <w14:solidFill>
              <w14:schemeClr w14:val="tx1"/>
            </w14:solidFill>
          </w14:textFill>
        </w:rPr>
        <w:t>Q/J/E/S</w:t>
      </w:r>
      <w:r>
        <w:rPr>
          <w:rFonts w:hint="eastAsia" w:ascii="宋体" w:hAnsi="宋体"/>
          <w:b/>
          <w:color w:val="000000" w:themeColor="text1"/>
          <w:szCs w:val="21"/>
          <w14:textFill>
            <w14:solidFill>
              <w14:schemeClr w14:val="tx1"/>
            </w14:solidFill>
          </w14:textFill>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6"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r>
        <w:rPr>
          <w:rFonts w:hint="eastAsia"/>
          <w:b/>
          <w:sz w:val="20"/>
        </w:rPr>
        <w:t>2020年12月10日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bCs/>
          <w:sz w:val="21"/>
          <w:szCs w:val="21"/>
          <w:lang w:eastAsia="zh-CN"/>
        </w:rPr>
        <w:t>■</w:t>
      </w:r>
      <w:r>
        <w:rPr>
          <w:rFonts w:hint="eastAsia"/>
          <w:b/>
          <w:sz w:val="21"/>
          <w:szCs w:val="21"/>
        </w:rPr>
        <w:sym w:font="Wingdings 2" w:char="0052"/>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897" w:firstLineChars="900"/>
        <w:rPr>
          <w:b/>
          <w:sz w:val="21"/>
          <w:szCs w:val="21"/>
        </w:rPr>
      </w:pPr>
      <w:r>
        <w:rPr>
          <w:rFonts w:hint="eastAsia"/>
          <w:b/>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9"/>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9"/>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4">
    <w:nsid w:val="092805CD"/>
    <w:multiLevelType w:val="singleLevel"/>
    <w:tmpl w:val="092805CD"/>
    <w:lvl w:ilvl="0" w:tentative="0">
      <w:start w:val="2"/>
      <w:numFmt w:val="decimal"/>
      <w:lvlText w:val="%1."/>
      <w:lvlJc w:val="left"/>
      <w:pPr>
        <w:tabs>
          <w:tab w:val="left" w:pos="312"/>
        </w:tabs>
      </w:pPr>
    </w:lvl>
  </w:abstractNum>
  <w:abstractNum w:abstractNumId="5">
    <w:nsid w:val="1DDE20DE"/>
    <w:multiLevelType w:val="singleLevel"/>
    <w:tmpl w:val="1DDE20DE"/>
    <w:lvl w:ilvl="0" w:tentative="0">
      <w:start w:val="8"/>
      <w:numFmt w:val="decimal"/>
      <w:suff w:val="space"/>
      <w:lvlText w:val="%1."/>
      <w:lvlJc w:val="left"/>
    </w:lvl>
  </w:abstractNum>
  <w:abstractNum w:abstractNumId="6">
    <w:nsid w:val="1EEBFF49"/>
    <w:multiLevelType w:val="singleLevel"/>
    <w:tmpl w:val="1EEBFF49"/>
    <w:lvl w:ilvl="0" w:tentative="0">
      <w:start w:val="2"/>
      <w:numFmt w:val="decimal"/>
      <w:lvlText w:val="%1."/>
      <w:lvlJc w:val="left"/>
      <w:pPr>
        <w:tabs>
          <w:tab w:val="left" w:pos="312"/>
        </w:tabs>
      </w:pPr>
    </w:lvl>
  </w:abstractNum>
  <w:abstractNum w:abstractNumId="7">
    <w:nsid w:val="45014024"/>
    <w:multiLevelType w:val="singleLevel"/>
    <w:tmpl w:val="45014024"/>
    <w:lvl w:ilvl="0" w:tentative="0">
      <w:start w:val="8"/>
      <w:numFmt w:val="decimal"/>
      <w:lvlText w:val="%1."/>
      <w:lvlJc w:val="left"/>
      <w:pPr>
        <w:tabs>
          <w:tab w:val="left" w:pos="312"/>
        </w:tabs>
      </w:pPr>
    </w:lvl>
  </w:abstractNum>
  <w:abstractNum w:abstractNumId="8">
    <w:nsid w:val="688C3EB5"/>
    <w:multiLevelType w:val="singleLevel"/>
    <w:tmpl w:val="688C3EB5"/>
    <w:lvl w:ilvl="0" w:tentative="0">
      <w:start w:val="2"/>
      <w:numFmt w:val="decimal"/>
      <w:suff w:val="nothing"/>
      <w:lvlText w:val="%1、"/>
      <w:lvlJc w:val="left"/>
    </w:lvl>
  </w:abstractNum>
  <w:num w:numId="1">
    <w:abstractNumId w:val="8"/>
  </w:num>
  <w:num w:numId="2">
    <w:abstractNumId w:val="2"/>
  </w:num>
  <w:num w:numId="3">
    <w:abstractNumId w:val="5"/>
  </w:num>
  <w:num w:numId="4">
    <w:abstractNumId w:val="6"/>
  </w:num>
  <w:num w:numId="5">
    <w:abstractNumId w:val="1"/>
  </w:num>
  <w:num w:numId="6">
    <w:abstractNumId w:val="0"/>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C32EC0"/>
    <w:rsid w:val="1ED02664"/>
    <w:rsid w:val="27E658F3"/>
    <w:rsid w:val="41EB3F0D"/>
    <w:rsid w:val="790B43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semiHidden/>
    <w:qFormat/>
    <w:locked/>
    <w:uiPriority w:val="99"/>
    <w:rPr>
      <w:rFonts w:ascii="Times New Roman" w:hAnsi="Times New Roman" w:eastAsia="宋体" w:cs="Times New Roman"/>
      <w:sz w:val="18"/>
      <w:szCs w:val="18"/>
    </w:rPr>
  </w:style>
  <w:style w:type="character" w:customStyle="1" w:styleId="11">
    <w:name w:val="页眉 Char"/>
    <w:link w:val="4"/>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4</TotalTime>
  <ScaleCrop>false</ScaleCrop>
  <LinksUpToDate>false</LinksUpToDate>
  <CharactersWithSpaces>4386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小冉</cp:lastModifiedBy>
  <cp:lastPrinted>2019-04-18T08:15:00Z</cp:lastPrinted>
  <dcterms:modified xsi:type="dcterms:W3CDTF">2020-12-10T10:44:55Z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