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管理体系审核记录表（远程审核）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25"/>
        <w:gridCol w:w="780"/>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39"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 xml:space="preserve">    陪同人员：陆菊凤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25" w:type="dxa"/>
            <w:vMerge w:val="continue"/>
            <w:vAlign w:val="center"/>
          </w:tcPr>
          <w:p/>
        </w:tc>
        <w:tc>
          <w:tcPr>
            <w:tcW w:w="10039" w:type="dxa"/>
            <w:gridSpan w:val="2"/>
            <w:vAlign w:val="center"/>
          </w:tcPr>
          <w:p>
            <w:pPr>
              <w:spacing w:before="120"/>
            </w:pPr>
            <w:r>
              <w:rPr>
                <w:rFonts w:hint="eastAsia"/>
                <w:sz w:val="24"/>
                <w:szCs w:val="24"/>
              </w:rPr>
              <w:t xml:space="preserve">审核员：李青（远程）      </w:t>
            </w:r>
            <w:r>
              <w:rPr>
                <w:sz w:val="24"/>
                <w:szCs w:val="24"/>
              </w:rPr>
              <w:t xml:space="preserve">     </w:t>
            </w:r>
            <w:r>
              <w:rPr>
                <w:rFonts w:hint="eastAsia"/>
                <w:sz w:val="24"/>
                <w:szCs w:val="24"/>
              </w:rPr>
              <w:t>审核日期：2020-10-13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25" w:type="dxa"/>
            <w:vMerge w:val="continue"/>
            <w:vAlign w:val="center"/>
          </w:tcPr>
          <w:p/>
        </w:tc>
        <w:tc>
          <w:tcPr>
            <w:tcW w:w="10039" w:type="dxa"/>
            <w:gridSpan w:val="2"/>
            <w:vAlign w:val="center"/>
          </w:tcPr>
          <w:p>
            <w:pPr>
              <w:snapToGrid w:val="0"/>
              <w:spacing w:line="260" w:lineRule="exact"/>
              <w:jc w:val="left"/>
              <w:rPr>
                <w:rFonts w:ascii="宋体" w:hAnsi="宋体"/>
                <w:sz w:val="18"/>
                <w:szCs w:val="18"/>
              </w:rPr>
            </w:pPr>
            <w:r>
              <w:rPr>
                <w:rFonts w:hint="eastAsia"/>
                <w:sz w:val="24"/>
                <w:szCs w:val="24"/>
              </w:rPr>
              <w:t xml:space="preserve">审核条款：                                                                    </w:t>
            </w:r>
            <w:r>
              <w:rPr>
                <w:rFonts w:hint="eastAsia" w:ascii="宋体" w:hAnsi="宋体"/>
                <w:sz w:val="18"/>
                <w:szCs w:val="18"/>
              </w:rPr>
              <w:t xml:space="preserve"> Q:4/5/6/7.1.1/7.3/9.1.1/9.1.3/9.3/10.1/10.3 ;                                                                    </w:t>
            </w:r>
            <w:r>
              <w:rPr>
                <w:rFonts w:hint="eastAsia" w:ascii="宋体" w:hAnsi="宋体" w:cs="宋体"/>
                <w:color w:val="000000" w:themeColor="text1"/>
                <w:sz w:val="18"/>
                <w:szCs w:val="18"/>
              </w:rPr>
              <w:t xml:space="preserve"> E：4.1-4.4/5.1-5.3/6.1/6.2/7.1/7.3/9.3/10.1/10.3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25" w:type="dxa"/>
            <w:vMerge w:val="restart"/>
          </w:tcPr>
          <w:p>
            <w:r>
              <w:rPr>
                <w:rFonts w:hint="eastAsia"/>
              </w:rPr>
              <w:t>Q4.1  E4.1</w:t>
            </w:r>
          </w:p>
        </w:tc>
        <w:tc>
          <w:tcPr>
            <w:tcW w:w="780" w:type="dxa"/>
          </w:tcPr>
          <w:p>
            <w:r>
              <w:rPr>
                <w:rFonts w:hint="eastAsia"/>
              </w:rPr>
              <w:t>文件名 称</w:t>
            </w:r>
          </w:p>
        </w:tc>
        <w:tc>
          <w:tcPr>
            <w:tcW w:w="9259" w:type="dxa"/>
            <w:vAlign w:val="center"/>
          </w:tcPr>
          <w:p>
            <w:r>
              <w:rPr>
                <w:rFonts w:hint="eastAsia"/>
              </w:rPr>
              <w:t>如：</w:t>
            </w:r>
            <w:r>
              <w:rPr>
                <w:rFonts w:ascii="Segoe UI Emoji" w:hAnsi="Segoe UI Emoji" w:cs="Segoe UI Emoji"/>
              </w:rPr>
              <w:t>☑</w:t>
            </w:r>
            <w:r>
              <w:rPr>
                <w:rFonts w:hint="eastAsia" w:ascii="宋体" w:hAnsi="宋体" w:cs="宋体"/>
              </w:rPr>
              <w:t>《</w:t>
            </w:r>
            <w:r>
              <w:rPr>
                <w:rFonts w:hint="eastAsia"/>
              </w:rPr>
              <w:t>风险和机遇控制程序》、</w:t>
            </w:r>
            <w:r>
              <w:rPr>
                <w:rFonts w:ascii="Segoe UI Emoji" w:hAnsi="Segoe UI Emoji" w:cs="Segoe UI Emoji"/>
              </w:rPr>
              <w:t>☑</w:t>
            </w:r>
            <w:r>
              <w:rPr>
                <w:rFonts w:hint="eastAsia" w:ascii="宋体" w:hAnsi="宋体" w:cs="宋体"/>
              </w:rPr>
              <w:t>管理手册</w:t>
            </w:r>
            <w:r>
              <w:rPr>
                <w:rFonts w:hint="eastAsia"/>
              </w:rPr>
              <w:t>、</w:t>
            </w:r>
            <w:r>
              <w:rPr>
                <w:rFonts w:ascii="Segoe UI Emoji" w:hAnsi="Segoe UI Emoji" w:cs="Segoe UI Emoji"/>
              </w:rPr>
              <w:t>☑</w:t>
            </w:r>
            <w:r>
              <w:rPr>
                <w:rFonts w:hint="eastAsia" w:ascii="Segoe UI Emoji" w:hAnsi="Segoe UI Emoji" w:cs="Segoe UI Emoji"/>
              </w:rPr>
              <w:t>《</w:t>
            </w:r>
            <w:r>
              <w:rPr>
                <w:rFonts w:hint="eastAsia" w:ascii="宋体" w:hAnsi="宋体" w:cs="宋体"/>
              </w:rPr>
              <w:t>组织内外部环境因素识别和评价表》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szCs w:val="21"/>
              </w:rPr>
            </w:pPr>
            <w:r>
              <w:rPr>
                <w:rFonts w:hint="eastAsia"/>
                <w:szCs w:val="21"/>
              </w:rPr>
              <w:t>与最高管理者沟通：</w:t>
            </w:r>
          </w:p>
          <w:p>
            <w:pPr>
              <w:rPr>
                <w:szCs w:val="21"/>
              </w:rPr>
            </w:pPr>
            <w:r>
              <w:rPr>
                <w:rFonts w:hint="eastAsia"/>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r>
                    <w:rPr>
                      <w:rFonts w:hint="eastAsia"/>
                    </w:rPr>
                    <w:t>外部环境</w:t>
                  </w:r>
                </w:p>
              </w:tc>
              <w:tc>
                <w:tcPr>
                  <w:tcW w:w="7147" w:type="dxa"/>
                </w:tcPr>
                <w:p>
                  <w:r>
                    <w:rPr>
                      <w:rFonts w:hint="eastAsia"/>
                    </w:rPr>
                    <w:t xml:space="preserve">☑法律法规 ☑技术与竞争 ☑市场因素 </w:t>
                  </w:r>
                  <w:r>
                    <w:rPr>
                      <w:rFonts w:hint="eastAsia"/>
                    </w:rPr>
                    <w:sym w:font="Wingdings" w:char="00A8"/>
                  </w:r>
                  <w:r>
                    <w:rPr>
                      <w:rFonts w:hint="eastAsia"/>
                    </w:rPr>
                    <w:t xml:space="preserve">行业竞争对手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r>
                    <w:rPr>
                      <w:rFonts w:hint="eastAsia" w:ascii="宋体" w:hAnsi="宋体" w:cs="宋体"/>
                    </w:rPr>
                    <w:t>国家、地方质量、环保、职业健康的要求</w:t>
                  </w:r>
                  <w:r>
                    <w:rPr>
                      <w:rFonts w:hint="eastAsia" w:ascii="宋体" w:hAnsi="宋体" w:cs="宋体"/>
                      <w:kern w:val="0"/>
                      <w:szCs w:val="21"/>
                    </w:rPr>
                    <w:t>；</w:t>
                  </w:r>
                  <w:r>
                    <w:rPr>
                      <w:rFonts w:hint="eastAsia" w:ascii="宋体" w:hAnsi="宋体" w:cs="宋体"/>
                    </w:rPr>
                    <w:t>产品性能体现在外观、性能、效果等方面一般，公司技术上的竟争不足</w:t>
                  </w:r>
                  <w:r>
                    <w:rPr>
                      <w:rFonts w:hint="eastAsia" w:ascii="宋体" w:hAnsi="宋体" w:cs="宋体"/>
                      <w:kern w:val="0"/>
                      <w:szCs w:val="21"/>
                    </w:rPr>
                    <w:t>；</w:t>
                  </w:r>
                  <w:r>
                    <w:rPr>
                      <w:rFonts w:hint="eastAsia" w:ascii="宋体" w:hAnsi="宋体" w:cs="宋体"/>
                    </w:rPr>
                    <w:t>目前，我司产品市场上品牌市场占有率较低，公司品牌效应有待提高。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r>
                    <w:rPr>
                      <w:rFonts w:hint="eastAsia"/>
                    </w:rPr>
                    <w:t>内部环境</w:t>
                  </w:r>
                </w:p>
              </w:tc>
              <w:tc>
                <w:tcPr>
                  <w:tcW w:w="7147" w:type="dxa"/>
                </w:tcPr>
                <w:p>
                  <w:r>
                    <w:rPr>
                      <w:rFonts w:hint="eastAsia"/>
                    </w:rPr>
                    <w:t xml:space="preserve">☑价值观 ☑文化与知识  ☑绩效 </w:t>
                  </w:r>
                  <w:r>
                    <w:rPr>
                      <w:rFonts w:hint="eastAsia"/>
                    </w:rPr>
                    <w:sym w:font="Wingdings" w:char="00A8"/>
                  </w:r>
                  <w:r>
                    <w:rPr>
                      <w:rFonts w:hint="eastAsia" w:ascii="宋体" w:hAnsi="宋体" w:cs="宋体"/>
                      <w:kern w:val="0"/>
                      <w:sz w:val="20"/>
                    </w:rPr>
                    <w:t>财务</w:t>
                  </w:r>
                  <w:r>
                    <w:rPr>
                      <w:rFonts w:hint="eastAsia"/>
                    </w:rPr>
                    <w:t xml:space="preserve"> </w:t>
                  </w:r>
                  <w:r>
                    <w:rPr>
                      <w:rFonts w:hint="eastAsia"/>
                    </w:rPr>
                    <w:sym w:font="Wingdings" w:char="00A8"/>
                  </w:r>
                  <w:r>
                    <w:rPr>
                      <w:rFonts w:hint="eastAsia" w:ascii="宋体" w:hAnsi="宋体" w:cs="宋体"/>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pPr>
                    <w:spacing w:line="360" w:lineRule="exact"/>
                    <w:jc w:val="left"/>
                    <w:rPr>
                      <w:rFonts w:ascii="宋体" w:cs="宋体"/>
                      <w:color w:val="000000"/>
                    </w:rPr>
                  </w:pPr>
                  <w:r>
                    <w:rPr>
                      <w:rFonts w:hint="eastAsia" w:ascii="宋体" w:hAnsi="宋体" w:cs="宋体"/>
                      <w:color w:val="000000"/>
                    </w:rPr>
                    <w:t>知识的获取方面根据标准要求，还不完善；未建立激励机制；</w:t>
                  </w:r>
                </w:p>
                <w:p>
                  <w:pPr>
                    <w:rPr>
                      <w:color w:val="FF0000"/>
                    </w:rPr>
                  </w:pPr>
                  <w:r>
                    <w:rPr>
                      <w:rFonts w:hint="eastAsia" w:ascii="宋体" w:hAnsi="宋体" w:cs="宋体"/>
                      <w:color w:val="000000"/>
                    </w:rPr>
                    <w:t>对部门负责人激励授权不足。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组织优势说明</w:t>
                  </w:r>
                </w:p>
              </w:tc>
              <w:tc>
                <w:tcPr>
                  <w:tcW w:w="7147" w:type="dxa"/>
                  <w:vAlign w:val="center"/>
                </w:tcPr>
                <w:p>
                  <w:pPr>
                    <w:rPr>
                      <w:color w:val="FF0000"/>
                      <w:szCs w:val="21"/>
                    </w:rPr>
                  </w:pPr>
                  <w:r>
                    <w:rPr>
                      <w:rFonts w:hint="eastAsia" w:ascii="宋体" w:hAnsi="宋体" w:cs="宋体"/>
                      <w:color w:val="000000"/>
                    </w:rPr>
                    <w:t>国家政策有利于优质产品市场发展；高层管理者重视企业价值观的宣传和教育，促进全员积极性发挥，</w:t>
                  </w:r>
                  <w:r>
                    <w:rPr>
                      <w:rFonts w:hint="eastAsia" w:ascii="宋体" w:hAnsi="宋体" w:cs="宋体"/>
                      <w:color w:val="000000"/>
                      <w:shd w:val="clear" w:color="auto" w:fill="FFFFFF"/>
                    </w:rPr>
                    <w:t>从而节省了企业运营成本，提高了企业的经营效率。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组织劣势说明</w:t>
                  </w:r>
                </w:p>
              </w:tc>
              <w:tc>
                <w:tcPr>
                  <w:tcW w:w="7147" w:type="dxa"/>
                  <w:vAlign w:val="center"/>
                </w:tcPr>
                <w:p>
                  <w:pPr>
                    <w:rPr>
                      <w:color w:val="FF0000"/>
                      <w:szCs w:val="21"/>
                    </w:rPr>
                  </w:pPr>
                  <w:r>
                    <w:rPr>
                      <w:rFonts w:hint="eastAsia" w:ascii="宋体" w:hAnsi="宋体" w:cs="宋体"/>
                      <w:color w:val="000000"/>
                    </w:rPr>
                    <w:t>企业价值观不明确，知识的</w:t>
                  </w:r>
                  <w:r>
                    <w:rPr>
                      <w:rFonts w:hint="eastAsia" w:ascii="宋体" w:hAnsi="宋体" w:cs="宋体"/>
                    </w:rPr>
                    <w:t>不足，产品性能、价格上</w:t>
                  </w:r>
                  <w:r>
                    <w:rPr>
                      <w:rFonts w:hint="eastAsia" w:ascii="宋体" w:hAnsi="宋体" w:cs="宋体"/>
                      <w:kern w:val="0"/>
                      <w:szCs w:val="21"/>
                    </w:rPr>
                    <w:t>缺少核心竞争力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szCs w:val="21"/>
                    </w:rPr>
                    <w:t>主要风险的说明</w:t>
                  </w:r>
                </w:p>
              </w:tc>
              <w:tc>
                <w:tcPr>
                  <w:tcW w:w="7147" w:type="dxa"/>
                </w:tcPr>
                <w:p>
                  <w:pPr>
                    <w:rPr>
                      <w:rFonts w:ascii="宋体" w:hAnsi="宋体" w:cs="宋体"/>
                    </w:rPr>
                  </w:pPr>
                  <w:r>
                    <w:rPr>
                      <w:rFonts w:hint="eastAsia" w:ascii="宋体" w:hAnsi="宋体" w:cs="宋体"/>
                    </w:rPr>
                    <w:t>1、产品性能、价格与国外、国内先进水平的差距，顾客在选择上处于不利地位。；</w:t>
                  </w:r>
                </w:p>
                <w:p>
                  <w:r>
                    <w:rPr>
                      <w:rFonts w:hint="eastAsia" w:ascii="宋体" w:hAnsi="宋体" w:cs="宋体"/>
                    </w:rPr>
                    <w:t>2、对产品售后服务重视不够，顾客投诉或抱怨，导致顾客流失。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26" w:type="dxa"/>
                  <w:vAlign w:val="center"/>
                </w:tcPr>
                <w:p>
                  <w:r>
                    <w:rPr>
                      <w:rFonts w:hint="eastAsia"/>
                      <w:szCs w:val="21"/>
                    </w:rPr>
                    <w:t>机遇的说明</w:t>
                  </w:r>
                </w:p>
              </w:tc>
              <w:tc>
                <w:tcPr>
                  <w:tcW w:w="7147" w:type="dxa"/>
                  <w:vAlign w:val="center"/>
                </w:tcPr>
                <w:p>
                  <w:pPr>
                    <w:rPr>
                      <w:rFonts w:ascii="宋体" w:hAnsi="宋体" w:cs="宋体"/>
                    </w:rPr>
                  </w:pPr>
                  <w:r>
                    <w:rPr>
                      <w:rFonts w:hint="eastAsia" w:ascii="宋体" w:hAnsi="宋体" w:cs="宋体"/>
                    </w:rPr>
                    <w:t>1、国家政策有利于产品市场开拓，通过获取必要知识，在产品性能上、可靠性方面提高，提高产品竟争力，能带来新的客户。</w:t>
                  </w:r>
                </w:p>
                <w:p>
                  <w:pPr>
                    <w:rPr>
                      <w:color w:val="FF0000"/>
                    </w:rPr>
                  </w:pPr>
                  <w:r>
                    <w:rPr>
                      <w:rFonts w:ascii="宋体" w:hAnsi="宋体" w:cs="宋体"/>
                    </w:rPr>
                    <w:t>2</w:t>
                  </w:r>
                  <w:r>
                    <w:rPr>
                      <w:rFonts w:hint="eastAsia" w:ascii="宋体" w:hAnsi="宋体" w:cs="宋体"/>
                    </w:rPr>
                    <w:t>、通过广告宣传、客户口碑，提高品牌效应，能够促进销售提升。</w:t>
                  </w:r>
                </w:p>
              </w:tc>
            </w:tr>
          </w:tbl>
          <w:p>
            <w:pPr>
              <w:rPr>
                <w:szCs w:val="21"/>
              </w:rPr>
            </w:pPr>
          </w:p>
          <w:p>
            <w:pPr>
              <w:rPr>
                <w:szCs w:val="21"/>
              </w:rPr>
            </w:pPr>
            <w:r>
              <w:rPr>
                <w:rFonts w:hint="eastAsia"/>
                <w:szCs w:val="21"/>
              </w:rPr>
              <w:t>主要证据体现在</w:t>
            </w:r>
            <w:r>
              <w:rPr>
                <w:rFonts w:hint="eastAsia"/>
              </w:rPr>
              <w:sym w:font="Wingdings" w:char="00FE"/>
            </w:r>
            <w:r>
              <w:rPr>
                <w:rFonts w:hint="eastAsia"/>
              </w:rPr>
              <w:t>《</w:t>
            </w:r>
            <w:r>
              <w:rPr>
                <w:rFonts w:hint="eastAsia" w:ascii="Segoe UI Emoji" w:hAnsi="Segoe UI Emoji" w:cs="Segoe UI Emoji"/>
              </w:rPr>
              <w:t>《</w:t>
            </w:r>
            <w:r>
              <w:rPr>
                <w:rFonts w:hint="eastAsia" w:ascii="宋体" w:hAnsi="宋体" w:cs="宋体"/>
              </w:rPr>
              <w:t>组织内外部环境因素识别和评价表</w:t>
            </w:r>
            <w:r>
              <w:rPr>
                <w:rFonts w:hint="eastAsia"/>
              </w:rPr>
              <w:t xml:space="preserve">》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25" w:type="dxa"/>
            <w:vMerge w:val="restart"/>
          </w:tcPr>
          <w:p>
            <w:r>
              <w:rPr>
                <w:rFonts w:hint="eastAsia"/>
              </w:rPr>
              <w:t>Q4.2 E4.2</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w:t>
            </w:r>
            <w:r>
              <w:rPr>
                <w:rFonts w:hint="eastAsia" w:ascii="宋体" w:hAnsi="宋体" w:cs="Arial"/>
                <w:color w:val="000000"/>
              </w:rPr>
              <w:t>相关方需求和期望控制程序</w:t>
            </w:r>
            <w:r>
              <w:rPr>
                <w:rFonts w:hint="eastAsia" w:ascii="宋体" w:hAnsi="宋体"/>
                <w:szCs w:val="21"/>
              </w:rPr>
              <w:t>》</w:t>
            </w:r>
            <w:r>
              <w:rPr>
                <w:rFonts w:hint="eastAsia"/>
              </w:rPr>
              <w:t>、</w:t>
            </w:r>
            <w:r>
              <w:rPr>
                <w:rFonts w:hint="eastAsia"/>
              </w:rPr>
              <w:sym w:font="Wingdings" w:char="00FE"/>
            </w:r>
            <w:r>
              <w:rPr>
                <w:rFonts w:hint="eastAsia"/>
              </w:rPr>
              <w:t>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szCs w:val="21"/>
              </w:rPr>
            </w:pPr>
            <w:r>
              <w:rPr>
                <w:rFonts w:hint="eastAsia"/>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605"/>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81" w:type="dxa"/>
                  <w:vAlign w:val="center"/>
                </w:tcPr>
                <w:p>
                  <w:pPr>
                    <w:jc w:val="center"/>
                    <w:rPr>
                      <w:highlight w:val="cyan"/>
                    </w:rPr>
                  </w:pPr>
                  <w:r>
                    <w:rPr>
                      <w:rFonts w:hint="eastAsia"/>
                    </w:rPr>
                    <w:t>重要的相关方</w:t>
                  </w:r>
                </w:p>
              </w:tc>
              <w:tc>
                <w:tcPr>
                  <w:tcW w:w="3605" w:type="dxa"/>
                  <w:vAlign w:val="center"/>
                </w:tcPr>
                <w:p>
                  <w:pPr>
                    <w:jc w:val="center"/>
                    <w:rPr>
                      <w:highlight w:val="cyan"/>
                    </w:rPr>
                  </w:pPr>
                  <w:r>
                    <w:rPr>
                      <w:rFonts w:hint="eastAsia"/>
                    </w:rPr>
                    <w:t>相关方名称举例</w:t>
                  </w:r>
                </w:p>
              </w:tc>
              <w:tc>
                <w:tcPr>
                  <w:tcW w:w="3825" w:type="dxa"/>
                  <w:vAlign w:val="center"/>
                </w:tcPr>
                <w:p>
                  <w:pPr>
                    <w:jc w:val="cente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☑政府机构</w:t>
                  </w:r>
                </w:p>
              </w:tc>
              <w:tc>
                <w:tcPr>
                  <w:tcW w:w="3605" w:type="dxa"/>
                  <w:vAlign w:val="center"/>
                </w:tcPr>
                <w:p>
                  <w:r>
                    <w:rPr>
                      <w:rFonts w:hint="eastAsia"/>
                    </w:rPr>
                    <w:t>例如：</w:t>
                  </w:r>
                  <w:r>
                    <w:rPr>
                      <w:rFonts w:hint="eastAsia" w:ascii="宋体" w:hAnsi="宋体" w:cs="??"/>
                      <w:color w:val="000000"/>
                      <w:kern w:val="0"/>
                      <w:szCs w:val="21"/>
                    </w:rPr>
                    <w:t>宜兴市</w:t>
                  </w:r>
                  <w:r>
                    <w:rPr>
                      <w:rFonts w:hint="eastAsia"/>
                    </w:rPr>
                    <w:t>市场监督局</w:t>
                  </w:r>
                </w:p>
              </w:tc>
              <w:tc>
                <w:tcPr>
                  <w:tcW w:w="3825" w:type="dxa"/>
                </w:tcPr>
                <w:p>
                  <w:r>
                    <w:rPr>
                      <w:rFonts w:hint="eastAsia"/>
                    </w:rPr>
                    <w:t>☑安全生产、环保经营</w:t>
                  </w:r>
                </w:p>
                <w:p>
                  <w:r>
                    <w:rPr>
                      <w:rFonts w:hint="eastAsia"/>
                    </w:rPr>
                    <w:t>☑就业最大化</w:t>
                  </w:r>
                </w:p>
                <w:p>
                  <w:r>
                    <w:rPr>
                      <w:rFonts w:hint="eastAsia"/>
                    </w:rPr>
                    <w:t>☑经营效益好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vAlign w:val="center"/>
                </w:tcPr>
                <w:p>
                  <w:r>
                    <w:rPr>
                      <w:rFonts w:hint="eastAsia"/>
                    </w:rPr>
                    <w:t>☑供方</w:t>
                  </w:r>
                </w:p>
              </w:tc>
              <w:tc>
                <w:tcPr>
                  <w:tcW w:w="3605" w:type="dxa"/>
                  <w:vAlign w:val="center"/>
                </w:tcPr>
                <w:p>
                  <w:r>
                    <w:rPr>
                      <w:rFonts w:hint="eastAsia"/>
                    </w:rPr>
                    <w:t>例如：宜兴宇飞环保科技有限公司</w:t>
                  </w:r>
                </w:p>
              </w:tc>
              <w:tc>
                <w:tcPr>
                  <w:tcW w:w="3825" w:type="dxa"/>
                </w:tcPr>
                <w:p>
                  <w:r>
                    <w:rPr>
                      <w:rFonts w:hint="eastAsia"/>
                    </w:rPr>
                    <w:t>☑长期合作、双赢</w:t>
                  </w:r>
                </w:p>
                <w:p>
                  <w:r>
                    <w:rPr>
                      <w:rFonts w:hint="eastAsia"/>
                    </w:rPr>
                    <w:t>☑进货物资质量好</w:t>
                  </w:r>
                </w:p>
                <w:p>
                  <w:r>
                    <w:rPr>
                      <w:rFonts w:hint="eastAsia"/>
                    </w:rPr>
                    <w:t>☑及时结算货款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3605" w:type="dxa"/>
                  <w:vAlign w:val="center"/>
                </w:tcPr>
                <w:p>
                  <w:r>
                    <w:rPr>
                      <w:rFonts w:hint="eastAsia"/>
                    </w:rPr>
                    <w:t>例如：</w:t>
                  </w:r>
                  <w:r>
                    <w:rPr>
                      <w:rFonts w:hint="eastAsia"/>
                      <w:sz w:val="24"/>
                    </w:rPr>
                    <w:t>东华能源（张家港）新材料有限公司</w:t>
                  </w:r>
                </w:p>
              </w:tc>
              <w:tc>
                <w:tcPr>
                  <w:tcW w:w="3825" w:type="dxa"/>
                </w:tcPr>
                <w:p>
                  <w:r>
                    <w:rPr>
                      <w:rFonts w:hint="eastAsia"/>
                    </w:rPr>
                    <w:t>☑产品质量符合顾客要求</w:t>
                  </w:r>
                </w:p>
                <w:p>
                  <w:r>
                    <w:rPr>
                      <w:rFonts w:hint="eastAsia"/>
                    </w:rPr>
                    <w:t>☑及时交货</w:t>
                  </w:r>
                </w:p>
                <w:p>
                  <w:r>
                    <w:rPr>
                      <w:rFonts w:hint="eastAsia" w:ascii="Segoe UI Emoji" w:hAnsi="Segoe UI Emoji" w:cs="Segoe UI Emoji"/>
                    </w:rPr>
                    <w:t>☑</w:t>
                  </w:r>
                  <w:r>
                    <w:rPr>
                      <w:rFonts w:hint="eastAsia"/>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ascii="Segoe UI Emoji" w:hAnsi="Segoe UI Emoji" w:cs="Segoe UI Emoji"/>
                    </w:rPr>
                    <w:t>☑</w:t>
                  </w:r>
                  <w:r>
                    <w:rPr>
                      <w:rFonts w:hint="eastAsia"/>
                    </w:rPr>
                    <w:t>投资方</w:t>
                  </w:r>
                </w:p>
              </w:tc>
              <w:tc>
                <w:tcPr>
                  <w:tcW w:w="3605" w:type="dxa"/>
                  <w:vAlign w:val="center"/>
                </w:tcPr>
                <w:p>
                  <w:r>
                    <w:rPr>
                      <w:rFonts w:hint="eastAsia"/>
                    </w:rPr>
                    <w:t>——</w:t>
                  </w:r>
                </w:p>
              </w:tc>
              <w:tc>
                <w:tcPr>
                  <w:tcW w:w="3825" w:type="dxa"/>
                </w:tcPr>
                <w:p>
                  <w:r>
                    <w:rPr>
                      <w:rFonts w:hint="eastAsia" w:ascii="Segoe UI Emoji" w:hAnsi="Segoe UI Emoji" w:cs="Segoe UI Emoji"/>
                    </w:rPr>
                    <w:t>☑</w:t>
                  </w:r>
                  <w:r>
                    <w:rPr>
                      <w:rFonts w:hint="eastAsia"/>
                    </w:rPr>
                    <w:t>产品优势和市场前景</w:t>
                  </w:r>
                </w:p>
                <w:p>
                  <w:r>
                    <w:rPr>
                      <w:rFonts w:hint="eastAsia" w:ascii="Segoe UI Emoji" w:hAnsi="Segoe UI Emoji" w:cs="Segoe UI Emoji"/>
                    </w:rPr>
                    <w:t>☑</w:t>
                  </w:r>
                  <w:r>
                    <w:rPr>
                      <w:rFonts w:hint="eastAsia"/>
                    </w:rPr>
                    <w:t>获得回报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4"/>
                    </w:rPr>
                  </w:pPr>
                  <w:r>
                    <w:rPr>
                      <w:rFonts w:hint="eastAsia"/>
                    </w:rPr>
                    <w:t>☑员工</w:t>
                  </w:r>
                </w:p>
              </w:tc>
              <w:tc>
                <w:tcPr>
                  <w:tcW w:w="3605" w:type="dxa"/>
                  <w:vAlign w:val="center"/>
                </w:tcPr>
                <w:p>
                  <w:pPr>
                    <w:rPr>
                      <w:szCs w:val="24"/>
                    </w:rPr>
                  </w:pPr>
                  <w:r>
                    <w:rPr>
                      <w:rFonts w:hint="eastAsia"/>
                      <w:szCs w:val="24"/>
                    </w:rPr>
                    <w:t>例如：公司员工</w:t>
                  </w:r>
                </w:p>
              </w:tc>
              <w:tc>
                <w:tcPr>
                  <w:tcW w:w="3825" w:type="dxa"/>
                </w:tcPr>
                <w:p>
                  <w:r>
                    <w:rPr>
                      <w:rFonts w:hint="eastAsia"/>
                    </w:rPr>
                    <w:t>☑组织的持续经营、自我发展</w:t>
                  </w:r>
                </w:p>
                <w:p>
                  <w:r>
                    <w:rPr>
                      <w:rFonts w:hint="eastAsia"/>
                    </w:rPr>
                    <w:t xml:space="preserve">☑薪资、福利增加 </w:t>
                  </w:r>
                </w:p>
                <w:p>
                  <w:r>
                    <w:rPr>
                      <w:rFonts w:hint="eastAsia"/>
                    </w:rPr>
                    <w:t>☑</w:t>
                  </w:r>
                  <w:r>
                    <w:rPr>
                      <w:rFonts w:hint="eastAsia"/>
                      <w:bCs/>
                      <w:szCs w:val="22"/>
                    </w:rPr>
                    <w:t>提供培训机会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☑银行</w:t>
                  </w:r>
                </w:p>
              </w:tc>
              <w:tc>
                <w:tcPr>
                  <w:tcW w:w="3605" w:type="dxa"/>
                  <w:vAlign w:val="center"/>
                </w:tcPr>
                <w:p>
                  <w:r>
                    <w:rPr>
                      <w:rFonts w:hint="eastAsia"/>
                    </w:rPr>
                    <w:t>例如：</w:t>
                  </w:r>
                  <w:r>
                    <w:rPr>
                      <w:rFonts w:hint="eastAsia" w:ascii="宋体" w:hAnsi="宋体" w:cs="??"/>
                      <w:color w:val="000000"/>
                      <w:kern w:val="0"/>
                      <w:szCs w:val="21"/>
                    </w:rPr>
                    <w:t>宜兴市</w:t>
                  </w:r>
                  <w:r>
                    <w:rPr>
                      <w:rFonts w:hint="eastAsia"/>
                    </w:rPr>
                    <w:t>银行</w:t>
                  </w:r>
                </w:p>
              </w:tc>
              <w:tc>
                <w:tcPr>
                  <w:tcW w:w="3825" w:type="dxa"/>
                </w:tcPr>
                <w:p>
                  <w:r>
                    <w:rPr>
                      <w:rFonts w:hint="eastAsia"/>
                    </w:rPr>
                    <w:t>☑扶持企业发展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□其他</w:t>
                  </w:r>
                </w:p>
              </w:tc>
              <w:tc>
                <w:tcPr>
                  <w:tcW w:w="3605" w:type="dxa"/>
                  <w:vAlign w:val="center"/>
                </w:tcPr>
                <w:p/>
              </w:tc>
              <w:tc>
                <w:tcPr>
                  <w:tcW w:w="3825" w:type="dxa"/>
                </w:tcPr>
                <w:p/>
              </w:tc>
            </w:tr>
          </w:tbl>
          <w:p>
            <w:pPr>
              <w:rPr>
                <w:szCs w:val="21"/>
              </w:rPr>
            </w:pPr>
          </w:p>
          <w:p>
            <w:pPr>
              <w:rPr>
                <w:szCs w:val="21"/>
              </w:rPr>
            </w:pPr>
            <w:r>
              <w:rPr>
                <w:rFonts w:hint="eastAsia"/>
                <w:szCs w:val="21"/>
              </w:rPr>
              <w:t>主要证据体现在</w:t>
            </w:r>
            <w:r>
              <w:rPr>
                <w:rFonts w:hint="eastAsia"/>
              </w:rPr>
              <w:t xml:space="preserve"> </w:t>
            </w:r>
            <w:r>
              <w:rPr>
                <w:rFonts w:hint="eastAsia"/>
              </w:rPr>
              <w:sym w:font="Wingdings" w:char="00FE"/>
            </w:r>
            <w:r>
              <w:rPr>
                <w:rFonts w:hint="eastAsia"/>
              </w:rPr>
              <w:t xml:space="preserve">《相关方期望或要求识别表》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确定质量环境管理体系的范围</w:t>
            </w:r>
          </w:p>
        </w:tc>
        <w:tc>
          <w:tcPr>
            <w:tcW w:w="925" w:type="dxa"/>
            <w:vMerge w:val="restart"/>
          </w:tcPr>
          <w:p>
            <w:r>
              <w:rPr>
                <w:rFonts w:hint="eastAsia"/>
              </w:rPr>
              <w:t>Q4.3 E4.3</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“公司介绍”</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pPr>
                  <w:r>
                    <w:rPr>
                      <w:rFonts w:hint="eastAsia"/>
                    </w:rPr>
                    <w:t>范围的项目</w:t>
                  </w:r>
                </w:p>
              </w:tc>
              <w:tc>
                <w:tcPr>
                  <w:tcW w:w="7132" w:type="dxa"/>
                  <w:vAlign w:val="center"/>
                </w:tcPr>
                <w:p>
                  <w:pPr>
                    <w:jc w:val="center"/>
                  </w:pPr>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r>
                    <w:rPr>
                      <w:rFonts w:hint="eastAsia" w:ascii="宋体" w:hAnsi="宋体" w:cs="??"/>
                      <w:color w:val="000000"/>
                      <w:kern w:val="0"/>
                      <w:szCs w:val="21"/>
                    </w:rPr>
                    <w:t xml:space="preserve">环保（水处理）设备的生产、销售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pPr>
                    <w:autoSpaceDE w:val="0"/>
                    <w:autoSpaceDN w:val="0"/>
                    <w:adjustRightInd w:val="0"/>
                    <w:spacing w:line="400" w:lineRule="exact"/>
                    <w:rPr>
                      <w:rFonts w:ascii="宋体" w:hAnsi="宋体" w:cs="??"/>
                      <w:color w:val="000000"/>
                      <w:kern w:val="0"/>
                      <w:szCs w:val="21"/>
                    </w:rPr>
                  </w:pPr>
                  <w:r>
                    <w:rPr>
                      <w:rFonts w:hint="eastAsia" w:ascii="宋体" w:hAnsi="宋体" w:cs="??"/>
                      <w:color w:val="000000"/>
                      <w:kern w:val="0"/>
                      <w:szCs w:val="21"/>
                    </w:rPr>
                    <w:t xml:space="preserve">宜兴市绿园路与竹海路交汇处附近南宜兴中节能环保产业园70幢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pPr>
                    <w:autoSpaceDE w:val="0"/>
                    <w:autoSpaceDN w:val="0"/>
                    <w:adjustRightInd w:val="0"/>
                    <w:spacing w:line="400" w:lineRule="exact"/>
                    <w:rPr>
                      <w:rFonts w:ascii="宋体" w:hAnsi="宋体" w:cs="??"/>
                      <w:color w:val="000000"/>
                      <w:kern w:val="0"/>
                      <w:szCs w:val="21"/>
                    </w:rPr>
                  </w:pPr>
                  <w:r>
                    <w:rPr>
                      <w:rFonts w:hint="eastAsia" w:ascii="宋体" w:hAnsi="宋体" w:cs="??"/>
                      <w:color w:val="000000"/>
                      <w:kern w:val="0"/>
                      <w:szCs w:val="21"/>
                    </w:rPr>
                    <w:t xml:space="preserve">宜兴市绿园路与竹海路交汇处附近南宜兴中节能环保产业园70幢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FE"/>
                  </w:r>
                  <w:r>
                    <w:rPr>
                      <w:rFonts w:hint="eastAsia"/>
                    </w:rPr>
                    <w:t>体系建立以来</w:t>
                  </w:r>
                </w:p>
                <w:p>
                  <w:r>
                    <w:rPr>
                      <w:rFonts w:hint="eastAsia"/>
                    </w:rPr>
                    <w:sym w:font="Wingdings" w:char="00A8"/>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不适用ISO9001/14001的条款</w:t>
                  </w:r>
                </w:p>
              </w:tc>
              <w:tc>
                <w:tcPr>
                  <w:tcW w:w="7132" w:type="dxa"/>
                </w:tcPr>
                <w:p>
                  <w:r>
                    <w:rPr>
                      <w:rFonts w:hint="eastAsia"/>
                    </w:rPr>
                    <w:sym w:font="Wingdings" w:char="00FE"/>
                  </w:r>
                  <w:r>
                    <w:rPr>
                      <w:rFonts w:hint="eastAsia"/>
                    </w:rPr>
                    <w:t>无不适用条款</w:t>
                  </w:r>
                </w:p>
                <w:p>
                  <w:r>
                    <w:rPr>
                      <w:rFonts w:hint="eastAsia"/>
                    </w:rPr>
                    <w:sym w:font="Wingdings" w:char="00A8"/>
                  </w:r>
                  <w:r>
                    <w:rPr>
                      <w:rFonts w:hint="eastAsia"/>
                    </w:rPr>
                    <w:t>8.3产品和服务的设计和开发</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szCs w:val="21"/>
              </w:rPr>
            </w:pPr>
            <w:r>
              <w:rPr>
                <w:rFonts w:hint="eastAsia"/>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质量环境管理体系及其过程</w:t>
            </w:r>
          </w:p>
        </w:tc>
        <w:tc>
          <w:tcPr>
            <w:tcW w:w="925" w:type="dxa"/>
            <w:vMerge w:val="restart"/>
          </w:tcPr>
          <w:p>
            <w:r>
              <w:rPr>
                <w:rFonts w:hint="eastAsia"/>
              </w:rPr>
              <w:t>Q4.4 E4.4</w:t>
            </w:r>
          </w:p>
        </w:tc>
        <w:tc>
          <w:tcPr>
            <w:tcW w:w="780" w:type="dxa"/>
          </w:tcPr>
          <w:p>
            <w:r>
              <w:rPr>
                <w:rFonts w:hint="eastAsia"/>
              </w:rPr>
              <w:t>文件名 称</w:t>
            </w:r>
          </w:p>
        </w:tc>
        <w:tc>
          <w:tcPr>
            <w:tcW w:w="9259" w:type="dxa"/>
          </w:tcPr>
          <w:p>
            <w:r>
              <w:rPr>
                <w:rFonts w:hint="eastAsia"/>
              </w:rPr>
              <w:t>如：☑管理手册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☑订单评审过程 ☑制造过程 ☑交付和顾客反馈过程 □经营计划过程☑内部审核过程 ☑管理评审过程 ☑文件记录管理过程 ☑人力资源管理过程 ☑采购过程 ☑检验过程 □设备工装管理过程☑□检验设备管理过程☑不合格管理过程☑改进过程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□原材料订制☑生产/服务过程 □检验检测 □产品运输 □设备维修</w:t>
            </w:r>
          </w:p>
          <w:p>
            <w:pPr>
              <w:spacing w:before="40" w:after="40"/>
            </w:pPr>
            <w:r>
              <w:rPr>
                <w:rFonts w:hint="eastAsia"/>
              </w:rPr>
              <w:t>□人员培训 □其他</w:t>
            </w:r>
          </w:p>
          <w:p>
            <w:pPr>
              <w:rPr>
                <w:highlight w:val="cyan"/>
              </w:rPr>
            </w:pPr>
            <w:r>
              <w:rPr>
                <w:rFonts w:hint="eastAsia"/>
                <w:lang w:val="en-GB"/>
              </w:rPr>
              <w:t>组织通过质量环境目标的建立、实施、顾客满意的测量、内审和管理评审等方式，充分地</w:t>
            </w:r>
            <w:r>
              <w:rPr>
                <w:rFonts w:hint="eastAsia"/>
              </w:rPr>
              <w:t>评审，管理及</w:t>
            </w:r>
            <w:r>
              <w:rPr>
                <w:rFonts w:hint="eastAsia"/>
                <w:lang w:val="en-GB"/>
              </w:rPr>
              <w:t>控制这些</w:t>
            </w:r>
            <w:r>
              <w:rPr>
                <w:rFonts w:hint="eastAsia"/>
              </w:rPr>
              <w:t>质量环境管理体系覆盖的过程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p>
            <w:pPr>
              <w:ind w:firstLine="420" w:firstLineChars="200"/>
            </w:pPr>
          </w:p>
        </w:tc>
        <w:tc>
          <w:tcPr>
            <w:tcW w:w="925" w:type="dxa"/>
            <w:vMerge w:val="restart"/>
          </w:tcPr>
          <w:p>
            <w:r>
              <w:rPr>
                <w:rFonts w:hint="eastAsia"/>
              </w:rPr>
              <w:t>Q5.1   E5.1</w:t>
            </w:r>
          </w:p>
        </w:tc>
        <w:tc>
          <w:tcPr>
            <w:tcW w:w="780" w:type="dxa"/>
          </w:tcPr>
          <w:p>
            <w:r>
              <w:rPr>
                <w:rFonts w:hint="eastAsia"/>
              </w:rPr>
              <w:t>文件名称</w:t>
            </w:r>
          </w:p>
        </w:tc>
        <w:tc>
          <w:tcPr>
            <w:tcW w:w="9259" w:type="dxa"/>
            <w:vAlign w:val="center"/>
          </w:tcPr>
          <w:p>
            <w:r>
              <w:rPr>
                <w:rFonts w:hint="eastAsia"/>
              </w:rPr>
              <w:t>如：☑管理手册，☑“总经理岗位职责”</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25" w:type="dxa"/>
            <w:vMerge w:val="restart"/>
          </w:tcPr>
          <w:p>
            <w:r>
              <w:rPr>
                <w:rFonts w:hint="eastAsia"/>
              </w:rPr>
              <w:t>Q5.2   E5.2 </w:t>
            </w:r>
          </w:p>
        </w:tc>
        <w:tc>
          <w:tcPr>
            <w:tcW w:w="780" w:type="dxa"/>
          </w:tcPr>
          <w:p>
            <w:r>
              <w:rPr>
                <w:rFonts w:hint="eastAsia"/>
              </w:rPr>
              <w:t>文件名称</w:t>
            </w:r>
          </w:p>
        </w:tc>
        <w:tc>
          <w:tcPr>
            <w:tcW w:w="9259" w:type="dxa"/>
            <w:vAlign w:val="center"/>
          </w:tcPr>
          <w:p>
            <w:r>
              <w:rPr>
                <w:rFonts w:hint="eastAsia"/>
              </w:rPr>
              <w:t>如：☑管理手册， ☑质量方针☑环境方针</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最高管理者制定了文件化的管理体系方针：</w:t>
            </w:r>
          </w:p>
          <w:p>
            <w:pPr>
              <w:pStyle w:val="15"/>
              <w:snapToGrid w:val="0"/>
              <w:rPr>
                <w:b/>
                <w:u w:val="single"/>
              </w:rPr>
            </w:pPr>
            <w:r>
              <w:rPr>
                <w:rFonts w:hint="eastAsia"/>
                <w:b/>
                <w:u w:val="single"/>
              </w:rPr>
              <w:t xml:space="preserve">质量方针:  </w:t>
            </w:r>
            <w:r>
              <w:rPr>
                <w:rFonts w:hint="eastAsia" w:hAnsi="宋体"/>
                <w:b/>
                <w:u w:val="single"/>
              </w:rPr>
              <w:t>规范管理、周到服务、客户满意、持续改进</w:t>
            </w:r>
            <w:r>
              <w:rPr>
                <w:rFonts w:hint="eastAsia"/>
                <w:b/>
                <w:u w:val="single"/>
              </w:rPr>
              <w:t xml:space="preserve"> </w:t>
            </w:r>
          </w:p>
          <w:p>
            <w:pPr>
              <w:pStyle w:val="5"/>
              <w:pBdr>
                <w:bottom w:val="none" w:color="auto" w:sz="0" w:space="0"/>
              </w:pBdr>
              <w:spacing w:line="500" w:lineRule="exact"/>
              <w:jc w:val="both"/>
              <w:rPr>
                <w:rFonts w:ascii="宋体" w:hAnsi="Courier New" w:cs="Courier New" w:eastAsiaTheme="minorEastAsia"/>
                <w:b/>
                <w:sz w:val="21"/>
                <w:szCs w:val="21"/>
                <w:u w:val="single"/>
              </w:rPr>
            </w:pPr>
            <w:r>
              <w:rPr>
                <w:rFonts w:hint="eastAsia" w:ascii="宋体" w:hAnsi="Courier New" w:cs="Courier New" w:eastAsiaTheme="minorEastAsia"/>
                <w:b/>
                <w:sz w:val="21"/>
                <w:szCs w:val="21"/>
                <w:u w:val="single"/>
              </w:rPr>
              <w:t>环境方针:  遵纪守法，预防污染；节能降耗，提高绩效</w:t>
            </w:r>
          </w:p>
          <w:p>
            <w:pPr>
              <w:pStyle w:val="15"/>
              <w:snapToGrid w:val="0"/>
              <w:rPr>
                <w:u w:val="single"/>
              </w:rPr>
            </w:pP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tc>
        <w:tc>
          <w:tcPr>
            <w:tcW w:w="925" w:type="dxa"/>
            <w:vMerge w:val="restart"/>
          </w:tcPr>
          <w:p>
            <w:r>
              <w:rPr>
                <w:rFonts w:hint="eastAsia"/>
              </w:rPr>
              <w:t>Q5.3 E5.3</w:t>
            </w:r>
          </w:p>
        </w:tc>
        <w:tc>
          <w:tcPr>
            <w:tcW w:w="780" w:type="dxa"/>
          </w:tcPr>
          <w:p>
            <w:r>
              <w:rPr>
                <w:rFonts w:hint="eastAsia"/>
              </w:rPr>
              <w:t>文件名称</w:t>
            </w:r>
          </w:p>
        </w:tc>
        <w:tc>
          <w:tcPr>
            <w:tcW w:w="9259" w:type="dxa"/>
            <w:vAlign w:val="center"/>
          </w:tcPr>
          <w:p>
            <w:r>
              <w:rPr>
                <w:rFonts w:hint="eastAsia"/>
              </w:rPr>
              <w:t>如：☑管理手册，☑《</w:t>
            </w:r>
            <w:r>
              <w:rPr>
                <w:rFonts w:hint="eastAsia"/>
                <w:szCs w:val="22"/>
              </w:rPr>
              <w:t>岗位职责及权限</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jc w:val="center"/>
                  </w:pPr>
                  <w:r>
                    <w:rPr>
                      <w:rFonts w:hint="eastAsia"/>
                    </w:rPr>
                    <w:t>过程名称</w:t>
                  </w:r>
                </w:p>
              </w:tc>
              <w:tc>
                <w:tcPr>
                  <w:tcW w:w="2261" w:type="dxa"/>
                </w:tcPr>
                <w:p>
                  <w:pPr>
                    <w:jc w:val="center"/>
                  </w:pPr>
                  <w:r>
                    <w:rPr>
                      <w:rFonts w:hint="eastAsia"/>
                    </w:rPr>
                    <w:t>主管部门名称</w:t>
                  </w:r>
                </w:p>
              </w:tc>
              <w:tc>
                <w:tcPr>
                  <w:tcW w:w="2261" w:type="dxa"/>
                </w:tcPr>
                <w:p>
                  <w:pPr>
                    <w:jc w:val="center"/>
                  </w:pPr>
                  <w:r>
                    <w:rPr>
                      <w:rFonts w:hint="eastAsia"/>
                    </w:rPr>
                    <w:t>过程名称</w:t>
                  </w:r>
                </w:p>
              </w:tc>
              <w:tc>
                <w:tcPr>
                  <w:tcW w:w="2261" w:type="dxa"/>
                </w:tcPr>
                <w:p>
                  <w:pPr>
                    <w:jc w:val="cente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销售部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质量环境管理体系策划和推动</w:t>
                  </w:r>
                </w:p>
              </w:tc>
              <w:tc>
                <w:tcPr>
                  <w:tcW w:w="2261" w:type="dxa"/>
                </w:tcPr>
                <w:p>
                  <w:r>
                    <w:rPr>
                      <w:rFonts w:hint="eastAsia"/>
                    </w:rPr>
                    <w:t>综合部</w:t>
                  </w:r>
                </w:p>
              </w:tc>
              <w:tc>
                <w:tcPr>
                  <w:tcW w:w="2261" w:type="dxa"/>
                </w:tcPr>
                <w:p>
                  <w:r>
                    <w:rPr>
                      <w:rFonts w:hint="eastAsia"/>
                    </w:rPr>
                    <w:t>生产/服务放行过程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人力资源管理过程</w:t>
                  </w:r>
                </w:p>
              </w:tc>
              <w:tc>
                <w:tcPr>
                  <w:tcW w:w="2261" w:type="dxa"/>
                </w:tcPr>
                <w:p>
                  <w:r>
                    <w:rPr>
                      <w:rFonts w:hint="eastAsia"/>
                    </w:rPr>
                    <w:t>综合部</w:t>
                  </w:r>
                </w:p>
              </w:tc>
              <w:tc>
                <w:tcPr>
                  <w:tcW w:w="2261" w:type="dxa"/>
                </w:tcPr>
                <w:p>
                  <w:r>
                    <w:rPr>
                      <w:rFonts w:hint="eastAsia"/>
                    </w:rPr>
                    <w:t>合同评审</w:t>
                  </w:r>
                </w:p>
              </w:tc>
              <w:tc>
                <w:tcPr>
                  <w:tcW w:w="2261" w:type="dxa"/>
                </w:tcPr>
                <w:p>
                  <w:r>
                    <w:rPr>
                      <w:rFonts w:hint="eastAsia"/>
                    </w:rPr>
                    <w:t>销售部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应对风险和机遇的措施</w:t>
            </w:r>
          </w:p>
        </w:tc>
        <w:tc>
          <w:tcPr>
            <w:tcW w:w="925" w:type="dxa"/>
            <w:vMerge w:val="restart"/>
          </w:tcPr>
          <w:p>
            <w:r>
              <w:rPr>
                <w:rFonts w:hint="eastAsia"/>
                <w:color w:val="000000"/>
                <w:szCs w:val="21"/>
              </w:rPr>
              <w:t xml:space="preserve">Q6.1 </w:t>
            </w:r>
            <w:r>
              <w:rPr>
                <w:rFonts w:hint="eastAsia"/>
              </w:rPr>
              <w:t>E6.1</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管理手册</w:t>
            </w:r>
            <w:r>
              <w:rPr>
                <w:rFonts w:hint="eastAsia"/>
              </w:rPr>
              <w:sym w:font="Wingdings" w:char="00FE"/>
            </w:r>
            <w:r>
              <w:rPr>
                <w:rFonts w:hint="eastAsia"/>
              </w:rPr>
              <w:t>风险和机遇评估分析表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 xml:space="preserve">分析风险的方法： </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7"/>
              <w:gridCol w:w="24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47" w:type="dxa"/>
                  <w:vAlign w:val="center"/>
                </w:tcPr>
                <w:p>
                  <w:pPr>
                    <w:jc w:val="center"/>
                  </w:pPr>
                  <w:r>
                    <w:rPr>
                      <w:rFonts w:hint="eastAsia"/>
                    </w:rPr>
                    <w:t>主要的风险描述</w:t>
                  </w:r>
                </w:p>
              </w:tc>
              <w:tc>
                <w:tcPr>
                  <w:tcW w:w="2433" w:type="dxa"/>
                  <w:vAlign w:val="center"/>
                </w:tcPr>
                <w:p>
                  <w:pPr>
                    <w:jc w:val="center"/>
                    <w:rPr>
                      <w:szCs w:val="24"/>
                    </w:rPr>
                  </w:pPr>
                  <w:r>
                    <w:rPr>
                      <w:rFonts w:hint="eastAsia"/>
                    </w:rPr>
                    <w:t>应对措施</w:t>
                  </w:r>
                </w:p>
              </w:tc>
              <w:tc>
                <w:tcPr>
                  <w:tcW w:w="1730" w:type="dxa"/>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47" w:type="dxa"/>
                  <w:vAlign w:val="center"/>
                </w:tcPr>
                <w:p>
                  <w:pPr>
                    <w:jc w:val="left"/>
                    <w:rPr>
                      <w:rFonts w:ascii="宋体" w:hAnsi="宋体" w:cs="宋体"/>
                      <w:color w:val="000000" w:themeColor="text1"/>
                      <w:szCs w:val="21"/>
                    </w:rPr>
                  </w:pPr>
                  <w:r>
                    <w:rPr>
                      <w:rFonts w:hint="eastAsia" w:ascii="宋体" w:hAnsi="宋体" w:cs="宋体"/>
                      <w:color w:val="000000" w:themeColor="text1"/>
                      <w:szCs w:val="21"/>
                    </w:rPr>
                    <w:t>技术服务能力在行业中还不是最好</w:t>
                  </w:r>
                </w:p>
              </w:tc>
              <w:tc>
                <w:tcPr>
                  <w:tcW w:w="2433" w:type="dxa"/>
                  <w:vAlign w:val="center"/>
                </w:tcPr>
                <w:p>
                  <w:pPr>
                    <w:jc w:val="left"/>
                    <w:rPr>
                      <w:color w:val="000000" w:themeColor="text1"/>
                      <w:szCs w:val="21"/>
                    </w:rPr>
                  </w:pPr>
                  <w:r>
                    <w:rPr>
                      <w:rFonts w:hint="eastAsia" w:ascii="宋体" w:hAnsi="宋体" w:cs="宋体"/>
                      <w:color w:val="000000" w:themeColor="text1"/>
                      <w:szCs w:val="21"/>
                    </w:rPr>
                    <w:t>生产人员外部招聘和内部培训</w:t>
                  </w:r>
                </w:p>
              </w:tc>
              <w:tc>
                <w:tcPr>
                  <w:tcW w:w="1730" w:type="dxa"/>
                  <w:vAlign w:val="center"/>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47" w:type="dxa"/>
                  <w:vAlign w:val="center"/>
                </w:tcPr>
                <w:p>
                  <w:pPr>
                    <w:jc w:val="left"/>
                    <w:rPr>
                      <w:rFonts w:ascii="宋体" w:hAnsi="宋体" w:cs="宋体"/>
                      <w:color w:val="000000" w:themeColor="text1"/>
                      <w:szCs w:val="21"/>
                    </w:rPr>
                  </w:pPr>
                  <w:r>
                    <w:rPr>
                      <w:rFonts w:hint="eastAsia" w:ascii="宋体" w:hAnsi="宋体" w:cs="宋体"/>
                      <w:color w:val="000000" w:themeColor="text1"/>
                      <w:szCs w:val="21"/>
                    </w:rPr>
                    <w:t>资金管理未经适当审批或超越授权审批，可能出现重大差错、舞弊、欺诈（如公款私存，非法挪用或调拨资金），对公司资金安全产生影响。 </w:t>
                  </w:r>
                </w:p>
              </w:tc>
              <w:tc>
                <w:tcPr>
                  <w:tcW w:w="2433" w:type="dxa"/>
                  <w:vAlign w:val="center"/>
                </w:tcPr>
                <w:p>
                  <w:pPr>
                    <w:jc w:val="left"/>
                    <w:rPr>
                      <w:color w:val="000000" w:themeColor="text1"/>
                      <w:szCs w:val="21"/>
                    </w:rPr>
                  </w:pPr>
                  <w:r>
                    <w:rPr>
                      <w:rFonts w:hint="eastAsia"/>
                      <w:color w:val="000000" w:themeColor="text1"/>
                      <w:szCs w:val="21"/>
                    </w:rPr>
                    <w:t>加强</w:t>
                  </w:r>
                  <w:r>
                    <w:rPr>
                      <w:rFonts w:hint="eastAsia" w:ascii="宋体" w:hAnsi="宋体" w:cs="宋体"/>
                      <w:color w:val="000000" w:themeColor="text1"/>
                      <w:szCs w:val="21"/>
                    </w:rPr>
                    <w:t>财务监管，结构优化</w:t>
                  </w:r>
                </w:p>
              </w:tc>
              <w:tc>
                <w:tcPr>
                  <w:tcW w:w="1730" w:type="dxa"/>
                  <w:vAlign w:val="center"/>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47" w:type="dxa"/>
                  <w:vAlign w:val="center"/>
                </w:tcPr>
                <w:p>
                  <w:pPr>
                    <w:jc w:val="left"/>
                    <w:rPr>
                      <w:rFonts w:ascii="宋体" w:hAnsi="宋体" w:cs="宋体"/>
                      <w:color w:val="000000" w:themeColor="text1"/>
                      <w:szCs w:val="21"/>
                    </w:rPr>
                  </w:pPr>
                  <w:r>
                    <w:rPr>
                      <w:rFonts w:hint="eastAsia" w:ascii="宋体" w:hAnsi="宋体" w:cs="宋体"/>
                      <w:color w:val="000000" w:themeColor="text1"/>
                      <w:szCs w:val="21"/>
                    </w:rPr>
                    <w:t>采购物资质量不稳定</w:t>
                  </w:r>
                </w:p>
              </w:tc>
              <w:tc>
                <w:tcPr>
                  <w:tcW w:w="2433" w:type="dxa"/>
                  <w:vAlign w:val="center"/>
                </w:tcPr>
                <w:p>
                  <w:pPr>
                    <w:jc w:val="left"/>
                    <w:rPr>
                      <w:color w:val="000000" w:themeColor="text1"/>
                      <w:szCs w:val="21"/>
                    </w:rPr>
                  </w:pPr>
                  <w:r>
                    <w:rPr>
                      <w:rFonts w:hint="eastAsia" w:ascii="宋体" w:hAnsi="宋体" w:cs="宋体"/>
                      <w:color w:val="000000" w:themeColor="text1"/>
                      <w:szCs w:val="21"/>
                    </w:rPr>
                    <w:t>供应商评价</w:t>
                  </w:r>
                </w:p>
              </w:tc>
              <w:tc>
                <w:tcPr>
                  <w:tcW w:w="1730" w:type="dxa"/>
                  <w:vAlign w:val="center"/>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bl>
          <w:p>
            <w:pPr>
              <w:pStyle w:val="2"/>
            </w:pPr>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7"/>
              <w:tblpPr w:leftFromText="180" w:rightFromText="180" w:vertAnchor="text" w:horzAnchor="page" w:tblpX="106" w:tblpY="206"/>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jc w:val="center"/>
                    <w:rPr>
                      <w:color w:val="000000" w:themeColor="text1"/>
                    </w:rPr>
                  </w:pPr>
                  <w:r>
                    <w:rPr>
                      <w:rFonts w:hint="eastAsia"/>
                      <w:color w:val="000000" w:themeColor="text1"/>
                    </w:rPr>
                    <w:t>主要的机遇描述</w:t>
                  </w:r>
                </w:p>
              </w:tc>
              <w:tc>
                <w:tcPr>
                  <w:tcW w:w="3675" w:type="dxa"/>
                </w:tcPr>
                <w:p>
                  <w:pPr>
                    <w:jc w:val="cente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rPr>
                      <w:color w:val="000000" w:themeColor="text1"/>
                      <w:szCs w:val="21"/>
                      <w:highlight w:val="cyan"/>
                    </w:rPr>
                  </w:pPr>
                  <w:r>
                    <w:rPr>
                      <w:rFonts w:hint="eastAsia" w:ascii="宋体" w:hAnsi="宋体" w:cs="宋体"/>
                      <w:color w:val="000000" w:themeColor="text1"/>
                      <w:szCs w:val="21"/>
                    </w:rPr>
                    <w:t>维修设备和检测设备完好状态的保持</w:t>
                  </w:r>
                </w:p>
              </w:tc>
              <w:tc>
                <w:tcPr>
                  <w:tcW w:w="3675" w:type="dxa"/>
                  <w:vAlign w:val="center"/>
                </w:tcPr>
                <w:p>
                  <w:pPr>
                    <w:rPr>
                      <w:color w:val="000000" w:themeColor="text1"/>
                      <w:szCs w:val="21"/>
                    </w:rPr>
                  </w:pPr>
                  <w:r>
                    <w:rPr>
                      <w:rFonts w:hint="eastAsia"/>
                      <w:color w:val="000000" w:themeColor="text1"/>
                      <w:szCs w:val="21"/>
                    </w:rPr>
                    <w:t>制定维护保养校验制度</w:t>
                  </w:r>
                </w:p>
              </w:tc>
              <w:tc>
                <w:tcPr>
                  <w:tcW w:w="1717" w:type="dxa"/>
                  <w:vAlign w:val="center"/>
                </w:tcPr>
                <w:p>
                  <w:pPr>
                    <w:rPr>
                      <w:color w:val="000000" w:themeColor="text1"/>
                      <w:szCs w:val="21"/>
                    </w:rPr>
                  </w:pPr>
                  <w:r>
                    <w:rPr>
                      <w:rFonts w:hint="eastAsia"/>
                      <w:color w:val="000000" w:themeColor="text1"/>
                      <w:szCs w:val="21"/>
                    </w:rPr>
                    <w:sym w:font="Wingdings" w:char="00FE"/>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pPr>
                    <w:rPr>
                      <w:rFonts w:ascii="宋体" w:hAnsi="宋体" w:cs="宋体"/>
                      <w:color w:val="000000" w:themeColor="text1"/>
                      <w:szCs w:val="21"/>
                    </w:rPr>
                  </w:pPr>
                  <w:r>
                    <w:rPr>
                      <w:rFonts w:hint="eastAsia" w:ascii="宋体" w:hAnsi="宋体" w:cs="宋体"/>
                      <w:color w:val="000000"/>
                    </w:rPr>
                    <w:t>在市场中同行也多，竞争压力大,突出企业优势,扩大市场</w:t>
                  </w:r>
                </w:p>
              </w:tc>
              <w:tc>
                <w:tcPr>
                  <w:tcW w:w="3675" w:type="dxa"/>
                  <w:vAlign w:val="center"/>
                </w:tcPr>
                <w:p>
                  <w:pPr>
                    <w:rPr>
                      <w:rFonts w:ascii="宋体" w:hAnsi="宋体" w:cs="宋体"/>
                      <w:color w:val="000000" w:themeColor="text1"/>
                      <w:szCs w:val="21"/>
                    </w:rPr>
                  </w:pPr>
                  <w:r>
                    <w:rPr>
                      <w:rFonts w:hint="eastAsia" w:ascii="宋体" w:hAnsi="宋体" w:cs="宋体"/>
                      <w:color w:val="000000" w:themeColor="text1"/>
                      <w:szCs w:val="21"/>
                    </w:rPr>
                    <w:t>敏锐掌握市场信息,加大市场开发</w:t>
                  </w:r>
                </w:p>
              </w:tc>
              <w:tc>
                <w:tcPr>
                  <w:tcW w:w="1717" w:type="dxa"/>
                  <w:vAlign w:val="center"/>
                </w:tcPr>
                <w:p>
                  <w:pPr>
                    <w:rPr>
                      <w:color w:val="000000" w:themeColor="text1"/>
                      <w:szCs w:val="21"/>
                    </w:rPr>
                  </w:pPr>
                  <w:r>
                    <w:rPr>
                      <w:rFonts w:hint="eastAsia"/>
                      <w:color w:val="000000" w:themeColor="text1"/>
                      <w:szCs w:val="21"/>
                    </w:rPr>
                    <w:sym w:font="Wingdings" w:char="00FE"/>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rPr>
                      <w:color w:val="FF0000"/>
                      <w:szCs w:val="21"/>
                    </w:rPr>
                  </w:pPr>
                </w:p>
              </w:tc>
              <w:tc>
                <w:tcPr>
                  <w:tcW w:w="3675" w:type="dxa"/>
                </w:tcPr>
                <w:p>
                  <w:pPr>
                    <w:rPr>
                      <w:color w:val="000000" w:themeColor="text1"/>
                      <w:szCs w:val="21"/>
                    </w:rPr>
                  </w:pPr>
                </w:p>
              </w:tc>
              <w:tc>
                <w:tcPr>
                  <w:tcW w:w="1717" w:type="dxa"/>
                </w:tcPr>
                <w:p>
                  <w:pPr>
                    <w:rPr>
                      <w:color w:val="000000" w:themeColor="text1"/>
                      <w:szCs w:val="21"/>
                    </w:rPr>
                  </w:pPr>
                  <w:r>
                    <w:rPr>
                      <w:rFonts w:hint="eastAsia"/>
                      <w:color w:val="000000" w:themeColor="text1"/>
                      <w:szCs w:val="21"/>
                    </w:rPr>
                    <w:sym w:font="Wingdings" w:char="00A8"/>
                  </w:r>
                  <w:r>
                    <w:rPr>
                      <w:rFonts w:hint="eastAsia"/>
                      <w:color w:val="000000" w:themeColor="text1"/>
                      <w:szCs w:val="21"/>
                    </w:rPr>
                    <w:t>有效</w:t>
                  </w:r>
                  <w:r>
                    <w:rPr>
                      <w:rFonts w:hint="eastAsia"/>
                      <w:color w:val="000000" w:themeColor="text1"/>
                      <w:szCs w:val="21"/>
                    </w:rPr>
                    <w:sym w:font="Wingdings" w:char="00A8"/>
                  </w:r>
                  <w:r>
                    <w:rPr>
                      <w:rFonts w:hint="eastAsia"/>
                      <w:color w:val="000000" w:themeColor="text1"/>
                      <w:szCs w:val="21"/>
                    </w:rPr>
                    <w:t>不足</w:t>
                  </w:r>
                </w:p>
              </w:tc>
            </w:tr>
          </w:tbl>
          <w:p>
            <w:pPr>
              <w:pStyle w:val="2"/>
            </w:pPr>
          </w:p>
          <w:p>
            <w:r>
              <w:rPr>
                <w:rFonts w:hint="eastAsia"/>
              </w:rPr>
              <w:t>查看</w:t>
            </w:r>
            <w:r>
              <w:rPr>
                <w:rFonts w:hint="eastAsia"/>
              </w:rPr>
              <w:sym w:font="Wingdings" w:char="00FE"/>
            </w:r>
            <w:r>
              <w:rPr>
                <w:rFonts w:hint="eastAsia"/>
              </w:rPr>
              <w:t>《风险和机遇评估分析表》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质量环境目标及其实现的策划</w:t>
            </w:r>
          </w:p>
          <w:p/>
        </w:tc>
        <w:tc>
          <w:tcPr>
            <w:tcW w:w="925" w:type="dxa"/>
            <w:vMerge w:val="restart"/>
          </w:tcPr>
          <w:p>
            <w:r>
              <w:rPr>
                <w:rFonts w:hint="eastAsia"/>
                <w:color w:val="000000"/>
                <w:szCs w:val="21"/>
              </w:rPr>
              <w:t>Q6.2   E6.2</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管理手册、</w:t>
            </w:r>
            <w:r>
              <w:rPr>
                <w:rFonts w:hint="eastAsia"/>
              </w:rPr>
              <w:sym w:font="Wingdings" w:char="00FE"/>
            </w:r>
            <w:r>
              <w:rPr>
                <w:rFonts w:hint="eastAsia"/>
              </w:rPr>
              <w:t>《目标分解和完成情况统计》</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组织建立了与方针一致的文件化的管理目标。为实现总质量环境目标而建立的各层级质量目标具体、有针对性、可测量并且可实现。</w:t>
            </w:r>
          </w:p>
          <w:p>
            <w:r>
              <w:rPr>
                <w:rFonts w:hint="eastAsia"/>
              </w:rPr>
              <w:t>总质量目标实现情况的评价，及其测量方法是：</w:t>
            </w:r>
          </w:p>
          <w:tbl>
            <w:tblPr>
              <w:tblStyle w:val="6"/>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913"/>
              <w:gridCol w:w="2760"/>
              <w:gridCol w:w="650"/>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91" w:type="dxa"/>
                  <w:shd w:val="clear" w:color="auto" w:fill="auto"/>
                  <w:vAlign w:val="center"/>
                </w:tcPr>
                <w:p>
                  <w:pPr>
                    <w:jc w:val="center"/>
                    <w:rPr>
                      <w:szCs w:val="22"/>
                    </w:rPr>
                  </w:pPr>
                  <w:r>
                    <w:rPr>
                      <w:rFonts w:hint="eastAsia"/>
                      <w:szCs w:val="22"/>
                    </w:rPr>
                    <w:t>质量目标</w:t>
                  </w:r>
                </w:p>
              </w:tc>
              <w:tc>
                <w:tcPr>
                  <w:tcW w:w="913" w:type="dxa"/>
                  <w:shd w:val="clear" w:color="auto" w:fill="auto"/>
                  <w:vAlign w:val="center"/>
                </w:tcPr>
                <w:p>
                  <w:pPr>
                    <w:jc w:val="center"/>
                    <w:rPr>
                      <w:szCs w:val="22"/>
                    </w:rPr>
                  </w:pPr>
                  <w:r>
                    <w:rPr>
                      <w:rFonts w:hint="eastAsia"/>
                      <w:szCs w:val="22"/>
                    </w:rPr>
                    <w:t>目标值</w:t>
                  </w:r>
                </w:p>
              </w:tc>
              <w:tc>
                <w:tcPr>
                  <w:tcW w:w="2760" w:type="dxa"/>
                  <w:shd w:val="clear" w:color="auto" w:fill="auto"/>
                  <w:vAlign w:val="center"/>
                </w:tcPr>
                <w:p>
                  <w:pPr>
                    <w:jc w:val="center"/>
                    <w:rPr>
                      <w:szCs w:val="22"/>
                    </w:rPr>
                  </w:pPr>
                  <w:r>
                    <w:rPr>
                      <w:rFonts w:hint="eastAsia"/>
                      <w:szCs w:val="22"/>
                    </w:rPr>
                    <w:t>计算方法</w:t>
                  </w:r>
                </w:p>
              </w:tc>
              <w:tc>
                <w:tcPr>
                  <w:tcW w:w="650" w:type="dxa"/>
                  <w:shd w:val="clear" w:color="auto" w:fill="auto"/>
                  <w:vAlign w:val="center"/>
                </w:tcPr>
                <w:p>
                  <w:pPr>
                    <w:jc w:val="center"/>
                    <w:rPr>
                      <w:szCs w:val="22"/>
                    </w:rPr>
                  </w:pPr>
                  <w:r>
                    <w:rPr>
                      <w:rFonts w:hint="eastAsia"/>
                      <w:szCs w:val="22"/>
                    </w:rPr>
                    <w:t>频次</w:t>
                  </w:r>
                </w:p>
              </w:tc>
              <w:tc>
                <w:tcPr>
                  <w:tcW w:w="2454" w:type="dxa"/>
                  <w:shd w:val="clear" w:color="auto" w:fill="auto"/>
                  <w:vAlign w:val="center"/>
                </w:tcPr>
                <w:p>
                  <w:pPr>
                    <w:jc w:val="center"/>
                    <w:rPr>
                      <w:szCs w:val="22"/>
                    </w:rPr>
                  </w:pPr>
                  <w:r>
                    <w:rPr>
                      <w:rFonts w:hint="eastAsia"/>
                      <w:szCs w:val="22"/>
                    </w:rPr>
                    <w:t>5-10月份目标实际完成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szCs w:val="22"/>
                    </w:rPr>
                  </w:pPr>
                  <w:r>
                    <w:rPr>
                      <w:rFonts w:hint="eastAsia"/>
                      <w:szCs w:val="22"/>
                    </w:rPr>
                    <w:t>产品一次交付合格率</w:t>
                  </w:r>
                </w:p>
              </w:tc>
              <w:tc>
                <w:tcPr>
                  <w:tcW w:w="913" w:type="dxa"/>
                  <w:shd w:val="clear" w:color="auto" w:fill="auto"/>
                  <w:vAlign w:val="center"/>
                </w:tcPr>
                <w:p>
                  <w:pPr>
                    <w:jc w:val="center"/>
                    <w:rPr>
                      <w:szCs w:val="22"/>
                    </w:rPr>
                  </w:pPr>
                  <w:r>
                    <w:rPr>
                      <w:rFonts w:hint="eastAsia"/>
                      <w:szCs w:val="22"/>
                    </w:rPr>
                    <w:t>≥98%</w:t>
                  </w:r>
                </w:p>
              </w:tc>
              <w:tc>
                <w:tcPr>
                  <w:tcW w:w="2760" w:type="dxa"/>
                  <w:shd w:val="clear" w:color="auto" w:fill="auto"/>
                  <w:vAlign w:val="center"/>
                </w:tcPr>
                <w:p>
                  <w:pPr>
                    <w:jc w:val="center"/>
                    <w:rPr>
                      <w:szCs w:val="22"/>
                    </w:rPr>
                  </w:pPr>
                  <w:r>
                    <w:rPr>
                      <w:rFonts w:hint="eastAsia"/>
                      <w:szCs w:val="22"/>
                    </w:rPr>
                    <w:t>合格数/生产数*100%</w:t>
                  </w:r>
                </w:p>
              </w:tc>
              <w:tc>
                <w:tcPr>
                  <w:tcW w:w="650" w:type="dxa"/>
                  <w:shd w:val="clear" w:color="auto" w:fill="auto"/>
                  <w:vAlign w:val="center"/>
                </w:tcPr>
                <w:p>
                  <w:pPr>
                    <w:jc w:val="center"/>
                    <w:rPr>
                      <w:szCs w:val="22"/>
                    </w:rPr>
                  </w:pPr>
                  <w:r>
                    <w:rPr>
                      <w:rFonts w:hint="eastAsia"/>
                      <w:szCs w:val="22"/>
                    </w:rPr>
                    <w:t>季度</w:t>
                  </w:r>
                </w:p>
              </w:tc>
              <w:tc>
                <w:tcPr>
                  <w:tcW w:w="2454" w:type="dxa"/>
                  <w:shd w:val="clear" w:color="auto" w:fill="auto"/>
                  <w:vAlign w:val="center"/>
                </w:tcPr>
                <w:p>
                  <w:pPr>
                    <w:jc w:val="center"/>
                    <w:rPr>
                      <w:szCs w:val="22"/>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szCs w:val="22"/>
                    </w:rPr>
                  </w:pPr>
                  <w:r>
                    <w:rPr>
                      <w:rFonts w:hint="eastAsia"/>
                      <w:szCs w:val="22"/>
                    </w:rPr>
                    <w:t>顾客满意度</w:t>
                  </w:r>
                </w:p>
              </w:tc>
              <w:tc>
                <w:tcPr>
                  <w:tcW w:w="913" w:type="dxa"/>
                  <w:shd w:val="clear" w:color="auto" w:fill="auto"/>
                  <w:vAlign w:val="center"/>
                </w:tcPr>
                <w:p>
                  <w:pPr>
                    <w:jc w:val="center"/>
                    <w:rPr>
                      <w:szCs w:val="22"/>
                    </w:rPr>
                  </w:pPr>
                  <w:r>
                    <w:rPr>
                      <w:rFonts w:hint="eastAsia"/>
                      <w:szCs w:val="22"/>
                    </w:rPr>
                    <w:t>≥95分</w:t>
                  </w:r>
                </w:p>
              </w:tc>
              <w:tc>
                <w:tcPr>
                  <w:tcW w:w="2760" w:type="dxa"/>
                  <w:shd w:val="clear" w:color="auto" w:fill="auto"/>
                  <w:vAlign w:val="center"/>
                </w:tcPr>
                <w:p>
                  <w:pPr>
                    <w:jc w:val="center"/>
                    <w:rPr>
                      <w:szCs w:val="22"/>
                    </w:rPr>
                  </w:pPr>
                  <w:r>
                    <w:rPr>
                      <w:rFonts w:hint="eastAsia"/>
                      <w:szCs w:val="22"/>
                    </w:rPr>
                    <w:t>调查各项得分总和</w:t>
                  </w:r>
                </w:p>
              </w:tc>
              <w:tc>
                <w:tcPr>
                  <w:tcW w:w="650" w:type="dxa"/>
                  <w:shd w:val="clear" w:color="auto" w:fill="auto"/>
                  <w:vAlign w:val="center"/>
                </w:tcPr>
                <w:p>
                  <w:pPr>
                    <w:jc w:val="center"/>
                    <w:rPr>
                      <w:szCs w:val="22"/>
                    </w:rPr>
                  </w:pPr>
                  <w:r>
                    <w:rPr>
                      <w:rFonts w:hint="eastAsia"/>
                      <w:szCs w:val="22"/>
                    </w:rPr>
                    <w:t>年度</w:t>
                  </w:r>
                </w:p>
              </w:tc>
              <w:tc>
                <w:tcPr>
                  <w:tcW w:w="2454" w:type="dxa"/>
                  <w:shd w:val="clear" w:color="auto" w:fill="auto"/>
                  <w:vAlign w:val="center"/>
                </w:tcPr>
                <w:p>
                  <w:pPr>
                    <w:jc w:val="center"/>
                    <w:rPr>
                      <w:szCs w:val="22"/>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szCs w:val="22"/>
                    </w:rPr>
                  </w:pPr>
                  <w:r>
                    <w:rPr>
                      <w:rFonts w:hint="eastAsia"/>
                      <w:szCs w:val="22"/>
                    </w:rPr>
                    <w:t>培训计划完成率</w:t>
                  </w:r>
                </w:p>
              </w:tc>
              <w:tc>
                <w:tcPr>
                  <w:tcW w:w="913" w:type="dxa"/>
                  <w:shd w:val="clear" w:color="auto" w:fill="auto"/>
                  <w:vAlign w:val="center"/>
                </w:tcPr>
                <w:p>
                  <w:pPr>
                    <w:jc w:val="center"/>
                    <w:rPr>
                      <w:szCs w:val="22"/>
                    </w:rPr>
                  </w:pPr>
                  <w:r>
                    <w:rPr>
                      <w:rFonts w:hint="eastAsia"/>
                      <w:szCs w:val="22"/>
                    </w:rPr>
                    <w:t>≥95％</w:t>
                  </w:r>
                </w:p>
              </w:tc>
              <w:tc>
                <w:tcPr>
                  <w:tcW w:w="2760" w:type="dxa"/>
                  <w:shd w:val="clear" w:color="auto" w:fill="auto"/>
                  <w:vAlign w:val="center"/>
                </w:tcPr>
                <w:p>
                  <w:pPr>
                    <w:jc w:val="center"/>
                    <w:rPr>
                      <w:szCs w:val="22"/>
                    </w:rPr>
                  </w:pPr>
                  <w:r>
                    <w:rPr>
                      <w:rFonts w:hint="eastAsia"/>
                      <w:szCs w:val="22"/>
                    </w:rPr>
                    <w:t>培训数/</w:t>
                  </w:r>
                </w:p>
                <w:p>
                  <w:pPr>
                    <w:jc w:val="center"/>
                    <w:rPr>
                      <w:szCs w:val="22"/>
                    </w:rPr>
                  </w:pPr>
                  <w:r>
                    <w:rPr>
                      <w:rFonts w:hint="eastAsia"/>
                      <w:szCs w:val="22"/>
                    </w:rPr>
                    <w:t>计划数×100%</w:t>
                  </w:r>
                </w:p>
              </w:tc>
              <w:tc>
                <w:tcPr>
                  <w:tcW w:w="650" w:type="dxa"/>
                  <w:shd w:val="clear" w:color="auto" w:fill="auto"/>
                  <w:vAlign w:val="center"/>
                </w:tcPr>
                <w:p>
                  <w:pPr>
                    <w:jc w:val="center"/>
                    <w:rPr>
                      <w:szCs w:val="22"/>
                    </w:rPr>
                  </w:pPr>
                  <w:r>
                    <w:rPr>
                      <w:rFonts w:hint="eastAsia"/>
                      <w:szCs w:val="22"/>
                    </w:rPr>
                    <w:t>季度</w:t>
                  </w:r>
                </w:p>
              </w:tc>
              <w:tc>
                <w:tcPr>
                  <w:tcW w:w="2454" w:type="dxa"/>
                  <w:shd w:val="clear" w:color="auto" w:fill="auto"/>
                  <w:vAlign w:val="center"/>
                </w:tcPr>
                <w:p>
                  <w:pPr>
                    <w:jc w:val="center"/>
                    <w:rPr>
                      <w:szCs w:val="22"/>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bl>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rPr>
                      <w:rFonts w:ascii="宋体" w:hAnsi="宋体"/>
                      <w:szCs w:val="24"/>
                    </w:rPr>
                  </w:pPr>
                  <w:r>
                    <w:rPr>
                      <w:rFonts w:hint="eastAsia" w:ascii="宋体" w:hAnsi="宋体"/>
                      <w:szCs w:val="24"/>
                    </w:rPr>
                    <w:t>环境目标</w:t>
                  </w:r>
                </w:p>
              </w:tc>
              <w:tc>
                <w:tcPr>
                  <w:tcW w:w="1820" w:type="dxa"/>
                  <w:shd w:val="clear" w:color="auto" w:fill="auto"/>
                </w:tcPr>
                <w:p>
                  <w:pPr>
                    <w:rPr>
                      <w:rFonts w:ascii="宋体" w:hAnsi="宋体"/>
                      <w:szCs w:val="24"/>
                    </w:rPr>
                  </w:pPr>
                  <w:r>
                    <w:rPr>
                      <w:rFonts w:hint="eastAsia" w:ascii="宋体" w:hAnsi="宋体"/>
                      <w:szCs w:val="24"/>
                    </w:rPr>
                    <w:t>环境控制参数</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 xml:space="preserve">固废分类存放处置率 </w:t>
                  </w:r>
                </w:p>
              </w:tc>
              <w:tc>
                <w:tcPr>
                  <w:tcW w:w="1820" w:type="dxa"/>
                  <w:shd w:val="clear" w:color="auto" w:fill="auto"/>
                  <w:vAlign w:val="center"/>
                </w:tcPr>
                <w:p>
                  <w:r>
                    <w:rPr>
                      <w:rFonts w:hint="eastAsia"/>
                    </w:rPr>
                    <w:t>100%</w:t>
                  </w:r>
                </w:p>
              </w:tc>
              <w:tc>
                <w:tcPr>
                  <w:tcW w:w="1350" w:type="dxa"/>
                  <w:shd w:val="clear" w:color="auto" w:fill="auto"/>
                  <w:vAlign w:val="center"/>
                </w:tcPr>
                <w:p>
                  <w:r>
                    <w:rPr>
                      <w:rFonts w:hint="eastAsia"/>
                    </w:rPr>
                    <w:t>各部门</w:t>
                  </w:r>
                </w:p>
              </w:tc>
              <w:tc>
                <w:tcPr>
                  <w:tcW w:w="1774" w:type="dxa"/>
                  <w:shd w:val="clear" w:color="auto" w:fill="auto"/>
                  <w:vAlign w:val="center"/>
                </w:tcPr>
                <w:p>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火灾、触电伤害发生次数</w:t>
                  </w:r>
                </w:p>
              </w:tc>
              <w:tc>
                <w:tcPr>
                  <w:tcW w:w="1820"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0</w:t>
                  </w:r>
                </w:p>
              </w:tc>
              <w:tc>
                <w:tcPr>
                  <w:tcW w:w="1350" w:type="dxa"/>
                  <w:shd w:val="clear" w:color="auto" w:fill="auto"/>
                </w:tcPr>
                <w:p>
                  <w:pPr>
                    <w:pStyle w:val="5"/>
                    <w:pBdr>
                      <w:bottom w:val="none" w:color="auto" w:sz="0" w:space="0"/>
                    </w:pBdr>
                    <w:tabs>
                      <w:tab w:val="left" w:pos="420"/>
                    </w:tabs>
                    <w:spacing w:line="360" w:lineRule="exact"/>
                    <w:jc w:val="both"/>
                    <w:rPr>
                      <w:sz w:val="21"/>
                      <w:szCs w:val="20"/>
                    </w:rPr>
                  </w:pPr>
                  <w:r>
                    <w:rPr>
                      <w:rFonts w:hint="eastAsia"/>
                      <w:sz w:val="21"/>
                      <w:szCs w:val="20"/>
                    </w:rPr>
                    <w:t>各部门</w:t>
                  </w:r>
                </w:p>
              </w:tc>
              <w:tc>
                <w:tcPr>
                  <w:tcW w:w="1774" w:type="dxa"/>
                  <w:shd w:val="clear" w:color="auto" w:fill="auto"/>
                </w:tcPr>
                <w:p>
                  <w:pPr>
                    <w:pStyle w:val="5"/>
                    <w:pBdr>
                      <w:bottom w:val="none" w:color="auto" w:sz="0" w:space="0"/>
                    </w:pBdr>
                    <w:tabs>
                      <w:tab w:val="left" w:pos="420"/>
                    </w:tabs>
                    <w:spacing w:line="360" w:lineRule="exact"/>
                    <w:jc w:val="both"/>
                    <w:rPr>
                      <w:sz w:val="21"/>
                      <w:szCs w:val="20"/>
                    </w:rPr>
                  </w:pPr>
                  <w:r>
                    <w:rPr>
                      <w:rFonts w:hint="eastAsia"/>
                      <w:sz w:val="21"/>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噪音排放达标</w:t>
                  </w:r>
                </w:p>
              </w:tc>
              <w:tc>
                <w:tcPr>
                  <w:tcW w:w="1820"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100%</w:t>
                  </w:r>
                </w:p>
              </w:tc>
              <w:tc>
                <w:tcPr>
                  <w:tcW w:w="1350" w:type="dxa"/>
                  <w:shd w:val="clear" w:color="auto" w:fill="auto"/>
                </w:tcPr>
                <w:p>
                  <w:pPr>
                    <w:pStyle w:val="5"/>
                    <w:pBdr>
                      <w:bottom w:val="none" w:color="auto" w:sz="0" w:space="0"/>
                    </w:pBdr>
                    <w:tabs>
                      <w:tab w:val="left" w:pos="420"/>
                    </w:tabs>
                    <w:spacing w:line="360" w:lineRule="exact"/>
                    <w:jc w:val="both"/>
                    <w:rPr>
                      <w:sz w:val="21"/>
                      <w:szCs w:val="20"/>
                    </w:rPr>
                  </w:pPr>
                  <w:r>
                    <w:rPr>
                      <w:rFonts w:hint="eastAsia"/>
                      <w:sz w:val="21"/>
                      <w:szCs w:val="20"/>
                    </w:rPr>
                    <w:t>各部门</w:t>
                  </w:r>
                </w:p>
              </w:tc>
              <w:tc>
                <w:tcPr>
                  <w:tcW w:w="1774" w:type="dxa"/>
                  <w:shd w:val="clear" w:color="auto" w:fill="auto"/>
                </w:tcPr>
                <w:p>
                  <w:pPr>
                    <w:pStyle w:val="5"/>
                    <w:pBdr>
                      <w:bottom w:val="none" w:color="auto" w:sz="0" w:space="0"/>
                    </w:pBdr>
                    <w:tabs>
                      <w:tab w:val="left" w:pos="420"/>
                    </w:tabs>
                    <w:spacing w:line="360" w:lineRule="exact"/>
                    <w:jc w:val="both"/>
                    <w:rPr>
                      <w:sz w:val="21"/>
                      <w:szCs w:val="20"/>
                    </w:rPr>
                  </w:pPr>
                  <w:r>
                    <w:rPr>
                      <w:rFonts w:hint="eastAsia"/>
                      <w:sz w:val="21"/>
                      <w:szCs w:val="20"/>
                    </w:rPr>
                    <w:t>完成</w:t>
                  </w:r>
                </w:p>
              </w:tc>
            </w:tr>
          </w:tbl>
          <w:p>
            <w:pPr>
              <w:pStyle w:val="2"/>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25" w:type="dxa"/>
            <w:vMerge w:val="restart"/>
          </w:tcPr>
          <w:p>
            <w:r>
              <w:rPr>
                <w:rFonts w:hint="eastAsia"/>
                <w:color w:val="000000"/>
                <w:szCs w:val="21"/>
              </w:rPr>
              <w:t>Q6.3  </w:t>
            </w:r>
          </w:p>
        </w:tc>
        <w:tc>
          <w:tcPr>
            <w:tcW w:w="780" w:type="dxa"/>
          </w:tcPr>
          <w:p>
            <w:r>
              <w:rPr>
                <w:rFonts w:hint="eastAsia"/>
              </w:rPr>
              <w:t>文件名称</w:t>
            </w:r>
          </w:p>
        </w:tc>
        <w:tc>
          <w:tcPr>
            <w:tcW w:w="9259" w:type="dxa"/>
            <w:vAlign w:val="center"/>
          </w:tcPr>
          <w:p>
            <w:r>
              <w:rPr>
                <w:rFonts w:hint="eastAsia"/>
              </w:rPr>
              <w:t>如：手册第6.3条款、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 xml:space="preserve">□主要设备设施 □主要检测设备 </w:t>
            </w:r>
            <w:r>
              <w:rPr>
                <w:rFonts w:hint="eastAsia" w:ascii="MS Mincho" w:hAnsi="MS Mincho" w:eastAsia="MS Mincho" w:cs="MS Mincho"/>
              </w:rPr>
              <w:t>☑</w:t>
            </w:r>
            <w:r>
              <w:rPr>
                <w:rFonts w:hint="eastAsia" w:ascii="宋体" w:hAnsi="宋体" w:cs="宋体"/>
              </w:rPr>
              <w:t>无变更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pPr>
                    <w:jc w:val="center"/>
                  </w:pPr>
                  <w:r>
                    <w:rPr>
                      <w:rFonts w:hint="eastAsia"/>
                    </w:rPr>
                    <w:t>体系变更的内容说明</w:t>
                  </w:r>
                </w:p>
              </w:tc>
              <w:tc>
                <w:tcPr>
                  <w:tcW w:w="6647" w:type="dxa"/>
                  <w:gridSpan w:val="2"/>
                </w:tcPr>
                <w:p>
                  <w:pPr>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vAlign w:val="center"/>
                </w:tcPr>
                <w:p>
                  <w:pPr>
                    <w:jc w:val="center"/>
                  </w:pPr>
                  <w:r>
                    <w:rPr>
                      <w:rFonts w:hint="eastAsia"/>
                    </w:rPr>
                    <w:t>评价内容</w:t>
                  </w:r>
                </w:p>
              </w:tc>
              <w:tc>
                <w:tcPr>
                  <w:tcW w:w="3632" w:type="dxa"/>
                  <w:vAlign w:val="center"/>
                </w:tcPr>
                <w:p>
                  <w:pPr>
                    <w:jc w:val="center"/>
                  </w:pPr>
                  <w:r>
                    <w:rPr>
                      <w:rFonts w:hint="eastAsia"/>
                    </w:rPr>
                    <w:t>评价具体描述</w:t>
                  </w:r>
                </w:p>
              </w:tc>
              <w:tc>
                <w:tcPr>
                  <w:tcW w:w="3015" w:type="dxa"/>
                  <w:vAlign w:val="center"/>
                </w:tcPr>
                <w:p>
                  <w:pPr>
                    <w:jc w:val="center"/>
                  </w:pPr>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vAlign w:val="center"/>
                </w:tcPr>
                <w:p>
                  <w:pPr>
                    <w:jc w:val="center"/>
                  </w:pPr>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vAlign w:val="center"/>
                </w:tcPr>
                <w:p>
                  <w:pPr>
                    <w:jc w:val="center"/>
                  </w:pPr>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vAlign w:val="center"/>
                </w:tcPr>
                <w:p>
                  <w:pPr>
                    <w:jc w:val="center"/>
                  </w:pPr>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vAlign w:val="center"/>
                </w:tcPr>
                <w:p>
                  <w:pPr>
                    <w:jc w:val="center"/>
                  </w:pPr>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vAlign w:val="center"/>
                </w:tcPr>
                <w:p>
                  <w:pPr>
                    <w:jc w:val="center"/>
                  </w:pPr>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25" w:type="dxa"/>
            <w:vMerge w:val="restart"/>
          </w:tcPr>
          <w:p>
            <w:r>
              <w:rPr>
                <w:rFonts w:hint="eastAsia"/>
                <w:color w:val="000000"/>
                <w:szCs w:val="21"/>
              </w:rPr>
              <w:t>Q7.1 .1 E7.1 </w:t>
            </w:r>
          </w:p>
        </w:tc>
        <w:tc>
          <w:tcPr>
            <w:tcW w:w="780" w:type="dxa"/>
          </w:tcPr>
          <w:p>
            <w:r>
              <w:rPr>
                <w:rFonts w:hint="eastAsia"/>
              </w:rPr>
              <w:t>文件名称</w:t>
            </w:r>
          </w:p>
        </w:tc>
        <w:tc>
          <w:tcPr>
            <w:tcW w:w="9259" w:type="dxa"/>
            <w:vAlign w:val="center"/>
          </w:tcPr>
          <w:p>
            <w:r>
              <w:rPr>
                <w:rFonts w:hint="eastAsia"/>
              </w:rPr>
              <w:t>如：管理手册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和最高管理层确定并提供所需的资源，以建立、实施、保持和持续改进质量环境管理体系。 </w:t>
            </w:r>
          </w:p>
          <w:p>
            <w:pPr>
              <w:numPr>
                <w:ilvl w:val="0"/>
                <w:numId w:val="1"/>
              </w:numPr>
              <w:rPr>
                <w:color w:val="000000"/>
                <w:szCs w:val="21"/>
              </w:rPr>
            </w:pPr>
            <w:r>
              <w:rPr>
                <w:rFonts w:hint="eastAsia"/>
                <w:color w:val="000000"/>
                <w:szCs w:val="21"/>
              </w:rPr>
              <w:t>现有内部资源的能力；</w:t>
            </w:r>
          </w:p>
          <w:p>
            <w:pPr>
              <w:ind w:firstLine="630" w:firstLineChars="300"/>
            </w:pPr>
            <w:r>
              <w:rPr>
                <w:rFonts w:hint="eastAsia"/>
              </w:rPr>
              <w:t>建筑面积</w:t>
            </w:r>
            <w:r>
              <w:rPr>
                <w:rFonts w:hint="eastAsia"/>
                <w:u w:val="single"/>
              </w:rPr>
              <w:t xml:space="preserve"> </w:t>
            </w:r>
            <w:r>
              <w:rPr>
                <w:rFonts w:hint="eastAsia"/>
                <w:highlight w:val="none"/>
                <w:u w:val="single"/>
                <w:shd w:val="clear"/>
                <w:lang w:val="en-US" w:eastAsia="zh-CN"/>
              </w:rPr>
              <w:t>2000</w:t>
            </w:r>
            <w:r>
              <w:rPr>
                <w:rFonts w:hint="eastAsia"/>
                <w:u w:val="single"/>
              </w:rPr>
              <w:t xml:space="preserve"> </w:t>
            </w:r>
            <w:r>
              <w:rPr>
                <w:rFonts w:hint="eastAsia"/>
              </w:rPr>
              <w:t>平方米；办公室</w:t>
            </w:r>
            <w:r>
              <w:rPr>
                <w:rFonts w:hint="eastAsia"/>
                <w:u w:val="single"/>
              </w:rPr>
              <w:t xml:space="preserve"> 1 </w:t>
            </w:r>
            <w:r>
              <w:rPr>
                <w:rFonts w:hint="eastAsia"/>
              </w:rPr>
              <w:t>个，生产车间</w:t>
            </w:r>
            <w:r>
              <w:rPr>
                <w:rFonts w:hint="eastAsia"/>
                <w:u w:val="single"/>
              </w:rPr>
              <w:t>1</w:t>
            </w:r>
            <w:r>
              <w:rPr>
                <w:rFonts w:hint="eastAsia"/>
              </w:rPr>
              <w:t>个</w:t>
            </w:r>
          </w:p>
          <w:p>
            <w:pPr>
              <w:rPr>
                <w:color w:val="000000" w:themeColor="text1"/>
                <w:u w:val="single"/>
              </w:rPr>
            </w:pPr>
            <w:r>
              <w:rPr>
                <w:rFonts w:hint="eastAsia"/>
              </w:rPr>
              <w:t>主要</w:t>
            </w:r>
            <w:r>
              <w:rPr>
                <w:rFonts w:hint="eastAsia"/>
                <w:color w:val="000000" w:themeColor="text1"/>
              </w:rPr>
              <w:t>生产设备有：</w:t>
            </w:r>
            <w:r>
              <w:rPr>
                <w:rFonts w:hint="eastAsia"/>
                <w:color w:val="000000" w:themeColor="text1"/>
                <w:u w:val="single"/>
              </w:rPr>
              <w:t xml:space="preserve">  </w:t>
            </w:r>
            <w:r>
              <w:rPr>
                <w:rFonts w:hint="eastAsia"/>
                <w:u w:val="single"/>
              </w:rPr>
              <w:t>卷板机、交流电焊机、</w:t>
            </w:r>
            <w:r>
              <w:rPr>
                <w:rFonts w:hint="eastAsia" w:ascii="宋体" w:hAnsi="宋体"/>
                <w:szCs w:val="21"/>
                <w:u w:val="single"/>
              </w:rPr>
              <w:t>台式砂轮机</w:t>
            </w:r>
            <w:r>
              <w:rPr>
                <w:rFonts w:hint="eastAsia"/>
                <w:color w:val="000000" w:themeColor="text1"/>
                <w:u w:val="single"/>
              </w:rPr>
              <w:t>（列举2~5种）</w:t>
            </w:r>
          </w:p>
          <w:p>
            <w:pPr>
              <w:rPr>
                <w:color w:val="000000" w:themeColor="text1"/>
              </w:rPr>
            </w:pPr>
            <w:r>
              <w:rPr>
                <w:rFonts w:hint="eastAsia"/>
                <w:color w:val="000000" w:themeColor="text1"/>
              </w:rPr>
              <w:t>特种设备：</w:t>
            </w:r>
            <w:r>
              <w:rPr>
                <w:rFonts w:hint="eastAsia"/>
                <w:color w:val="000000" w:themeColor="text1"/>
              </w:rPr>
              <w:sym w:font="Wingdings" w:char="00A8"/>
            </w:r>
            <w:r>
              <w:rPr>
                <w:rFonts w:hint="eastAsia"/>
                <w:color w:val="000000" w:themeColor="text1"/>
              </w:rPr>
              <w:t xml:space="preserve">叉车 </w:t>
            </w:r>
            <w:r>
              <w:rPr>
                <w:rFonts w:hint="eastAsia"/>
                <w:color w:val="000000" w:themeColor="text1"/>
              </w:rPr>
              <w:sym w:font="Wingdings" w:char="00FE"/>
            </w:r>
            <w:r>
              <w:rPr>
                <w:rFonts w:hint="eastAsia"/>
                <w:color w:val="000000" w:themeColor="text1"/>
              </w:rPr>
              <w:t xml:space="preserve">行车 </w:t>
            </w:r>
            <w:r>
              <w:rPr>
                <w:rFonts w:hint="eastAsia"/>
                <w:color w:val="000000" w:themeColor="text1"/>
              </w:rPr>
              <w:sym w:font="Wingdings" w:char="00A8"/>
            </w:r>
            <w:r>
              <w:rPr>
                <w:rFonts w:hint="eastAsia"/>
                <w:color w:val="000000" w:themeColor="text1"/>
              </w:rPr>
              <w:t xml:space="preserve">锅炉 </w:t>
            </w:r>
            <w:r>
              <w:rPr>
                <w:rFonts w:hint="eastAsia"/>
                <w:color w:val="000000" w:themeColor="text1"/>
              </w:rPr>
              <w:sym w:font="Wingdings" w:char="00A8"/>
            </w:r>
            <w:r>
              <w:rPr>
                <w:rFonts w:hint="eastAsia"/>
                <w:color w:val="000000" w:themeColor="text1"/>
              </w:rPr>
              <w:t xml:space="preserve">电梯  </w:t>
            </w:r>
            <w:r>
              <w:rPr>
                <w:rFonts w:hint="eastAsia"/>
                <w:color w:val="000000" w:themeColor="text1"/>
              </w:rPr>
              <w:sym w:font="Wingdings" w:char="00A8"/>
            </w:r>
            <w:r>
              <w:rPr>
                <w:rFonts w:hint="eastAsia"/>
                <w:color w:val="000000" w:themeColor="text1"/>
              </w:rPr>
              <w:t xml:space="preserve">压力容器  </w:t>
            </w:r>
            <w:r>
              <w:rPr>
                <w:rFonts w:hint="eastAsia"/>
                <w:color w:val="000000" w:themeColor="text1"/>
              </w:rPr>
              <w:sym w:font="Wingdings" w:char="00A8"/>
            </w:r>
            <w:r>
              <w:rPr>
                <w:rFonts w:hint="eastAsia"/>
                <w:color w:val="000000" w:themeColor="text1"/>
              </w:rPr>
              <w:t xml:space="preserve">压力管道  </w:t>
            </w:r>
            <w:r>
              <w:rPr>
                <w:rFonts w:hint="eastAsia"/>
                <w:color w:val="000000" w:themeColor="text1"/>
              </w:rPr>
              <w:sym w:font="Wingdings" w:char="00A8"/>
            </w:r>
            <w:r>
              <w:rPr>
                <w:rFonts w:hint="eastAsia"/>
                <w:color w:val="000000" w:themeColor="text1"/>
              </w:rPr>
              <w:t xml:space="preserve">不适用  </w:t>
            </w:r>
          </w:p>
          <w:p>
            <w:pPr>
              <w:tabs>
                <w:tab w:val="right" w:pos="9043"/>
              </w:tabs>
              <w:rPr>
                <w:color w:val="000000" w:themeColor="text1"/>
                <w:u w:val="single"/>
              </w:rPr>
            </w:pPr>
            <w:r>
              <w:rPr>
                <w:rFonts w:hint="eastAsia"/>
                <w:color w:val="000000" w:themeColor="text1"/>
              </w:rPr>
              <w:t>特种设备管理：</w:t>
            </w:r>
            <w:r>
              <w:rPr>
                <w:rFonts w:hint="eastAsia"/>
                <w:color w:val="000000" w:themeColor="text1"/>
              </w:rPr>
              <w:sym w:font="Wingdings" w:char="00FE"/>
            </w:r>
            <w:r>
              <w:rPr>
                <w:rFonts w:hint="eastAsia"/>
                <w:color w:val="000000" w:themeColor="text1"/>
              </w:rPr>
              <w:t xml:space="preserve">进行了定期检验  </w:t>
            </w:r>
            <w:r>
              <w:rPr>
                <w:rFonts w:hint="eastAsia"/>
                <w:color w:val="000000" w:themeColor="text1"/>
              </w:rPr>
              <w:sym w:font="Wingdings" w:char="00A8"/>
            </w:r>
            <w:r>
              <w:rPr>
                <w:rFonts w:hint="eastAsia"/>
                <w:color w:val="000000" w:themeColor="text1"/>
              </w:rPr>
              <w:t xml:space="preserve">不适用 </w:t>
            </w:r>
            <w:r>
              <w:rPr>
                <w:color w:val="000000" w:themeColor="text1"/>
              </w:rPr>
              <w:t xml:space="preserve">  </w:t>
            </w:r>
            <w:r>
              <w:rPr>
                <w:rFonts w:hint="eastAsia"/>
                <w:color w:val="000000" w:themeColor="text1"/>
              </w:rPr>
              <w:sym w:font="Wingdings" w:char="00A8"/>
            </w:r>
            <w:r>
              <w:rPr>
                <w:rFonts w:hint="eastAsia"/>
                <w:color w:val="000000" w:themeColor="text1"/>
              </w:rPr>
              <w:t xml:space="preserve">未进行定期检验的有： </w:t>
            </w:r>
            <w:r>
              <w:rPr>
                <w:rFonts w:hint="eastAsia"/>
                <w:color w:val="000000" w:themeColor="text1"/>
                <w:u w:val="single"/>
              </w:rPr>
              <w:t xml:space="preserve">   </w:t>
            </w:r>
            <w:r>
              <w:rPr>
                <w:rFonts w:hint="eastAsia"/>
                <w:color w:val="000000" w:themeColor="text1"/>
                <w:highlight w:val="yellow"/>
                <w:u w:val="single"/>
              </w:rPr>
              <w:t>帮和企业确认行车的检验报告</w:t>
            </w:r>
            <w:r>
              <w:rPr>
                <w:rFonts w:hint="eastAsia"/>
                <w:color w:val="000000" w:themeColor="text1"/>
                <w:u w:val="single"/>
              </w:rPr>
              <w:t xml:space="preserve">      </w:t>
            </w:r>
          </w:p>
          <w:p>
            <w:pPr>
              <w:widowControl/>
              <w:spacing w:before="40"/>
              <w:ind w:firstLine="9030" w:firstLineChars="4300"/>
              <w:jc w:val="left"/>
            </w:pPr>
            <w:r>
              <w:rPr>
                <w:rFonts w:hint="eastAsia"/>
              </w:rPr>
              <w:t xml:space="preserve"> 动力设施和辅助设施的状况，存在下列的场所：</w:t>
            </w:r>
          </w:p>
          <w:p>
            <w:pPr>
              <w:widowControl/>
              <w:spacing w:before="40"/>
              <w:jc w:val="left"/>
            </w:pPr>
            <w:r>
              <w:rPr/>
              <w:sym w:font="Wingdings" w:char="00A8"/>
            </w:r>
            <w:r>
              <w:rPr>
                <w:rFonts w:hint="eastAsia"/>
              </w:rPr>
              <w:t xml:space="preserve">污水处理站  </w:t>
            </w:r>
            <w:r>
              <w:rPr/>
              <w:sym w:font="Wingdings" w:char="00A8"/>
            </w:r>
            <w:r>
              <w:rPr>
                <w:rFonts w:hint="eastAsia"/>
              </w:rPr>
              <w:t xml:space="preserve">锅炉房（余热）  </w:t>
            </w:r>
            <w:r>
              <w:rPr/>
              <w:sym w:font="Wingdings" w:char="00A8"/>
            </w:r>
            <w:r>
              <w:rPr>
                <w:rFonts w:hint="eastAsia"/>
              </w:rPr>
              <w:t xml:space="preserve">高压配电室  </w:t>
            </w:r>
            <w:r>
              <w:rPr/>
              <w:sym w:font="Wingdings" w:char="00A8"/>
            </w:r>
            <w:r>
              <w:rPr>
                <w:rFonts w:hint="eastAsia"/>
              </w:rPr>
              <w:t xml:space="preserve">低压配电室 </w:t>
            </w:r>
            <w:r>
              <w:rPr/>
              <w:sym w:font="Wingdings" w:char="00A8"/>
            </w:r>
            <w:r>
              <w:rPr>
                <w:rFonts w:hint="eastAsia"/>
              </w:rPr>
              <w:t xml:space="preserve">空压站  </w:t>
            </w:r>
            <w:r>
              <w:rPr/>
              <w:sym w:font="Wingdings" w:char="00A8"/>
            </w:r>
            <w:r>
              <w:rPr>
                <w:rFonts w:hint="eastAsia"/>
              </w:rPr>
              <w:t xml:space="preserve">制冷站   </w:t>
            </w:r>
            <w:r>
              <w:rPr/>
              <w:sym w:font="Wingdings" w:char="00A8"/>
            </w:r>
            <w:r>
              <w:rPr>
                <w:rFonts w:hint="eastAsia"/>
              </w:rPr>
              <w:t xml:space="preserve">水处理 </w:t>
            </w:r>
          </w:p>
          <w:p>
            <w:pPr>
              <w:widowControl/>
              <w:spacing w:before="40"/>
              <w:jc w:val="left"/>
            </w:pPr>
            <w:r>
              <w:rPr/>
              <w:sym w:font="Wingdings" w:char="00A8"/>
            </w:r>
            <w:r>
              <w:rPr>
                <w:rFonts w:hint="eastAsia"/>
              </w:rPr>
              <w:t xml:space="preserve">消防中控室  </w:t>
            </w:r>
            <w:r>
              <w:rPr/>
              <w:sym w:font="Wingdings" w:char="00A8"/>
            </w:r>
            <w:r>
              <w:rPr>
                <w:rFonts w:hint="eastAsia"/>
              </w:rPr>
              <w:t xml:space="preserve">消防泵房   </w:t>
            </w:r>
            <w:r>
              <w:rPr/>
              <w:sym w:font="Wingdings" w:char="00A8"/>
            </w:r>
            <w:r>
              <w:rPr>
                <w:rFonts w:hint="eastAsia"/>
              </w:rPr>
              <w:t>除尘装置</w:t>
            </w:r>
            <w:r>
              <w:rPr/>
              <w:sym w:font="Wingdings" w:char="00A8"/>
            </w:r>
            <w:r>
              <w:rPr>
                <w:rFonts w:hint="eastAsia"/>
              </w:rPr>
              <w:t xml:space="preserve">尾气处理  </w:t>
            </w:r>
            <w:r>
              <w:rPr/>
              <w:sym w:font="Wingdings" w:char="00A8"/>
            </w:r>
            <w:r>
              <w:rPr>
                <w:rFonts w:hint="eastAsia"/>
              </w:rPr>
              <w:t xml:space="preserve">危化品库房   </w:t>
            </w:r>
            <w:r>
              <w:rPr/>
              <w:sym w:font="Wingdings" w:char="00A8"/>
            </w:r>
            <w:r>
              <w:rPr>
                <w:rFonts w:hint="eastAsia"/>
              </w:rPr>
              <w:t xml:space="preserve">危险废弃物存放处   </w:t>
            </w:r>
            <w:r>
              <w:rPr/>
              <w:sym w:font="Wingdings" w:char="00A8"/>
            </w:r>
            <w:r>
              <w:rPr>
                <w:rFonts w:hint="eastAsia"/>
              </w:rPr>
              <w:t xml:space="preserve">改建/扩建施工现场 </w:t>
            </w:r>
            <w:r>
              <w:rPr>
                <w:highlight w:val="none"/>
              </w:rPr>
              <w:sym w:font="Wingdings" w:char="00A8"/>
            </w:r>
            <w:r>
              <w:rPr>
                <w:rFonts w:hint="eastAsia"/>
                <w:highlight w:val="none"/>
              </w:rPr>
              <w:t xml:space="preserve">食堂  </w:t>
            </w:r>
            <w:r>
              <w:rPr>
                <w:highlight w:val="none"/>
              </w:rPr>
              <w:sym w:font="Wingdings" w:char="00A8"/>
            </w:r>
            <w:r>
              <w:rPr>
                <w:rFonts w:hint="eastAsia"/>
                <w:highlight w:val="none"/>
              </w:rPr>
              <w:t xml:space="preserve">宿舍  </w:t>
            </w:r>
            <w:r>
              <w:rPr>
                <w:highlight w:val="none"/>
              </w:rPr>
              <w:sym w:font="Wingdings" w:char="00A8"/>
            </w:r>
            <w:r>
              <w:rPr>
                <w:rFonts w:hint="eastAsia"/>
                <w:highlight w:val="none"/>
              </w:rPr>
              <w:t xml:space="preserve">班车  </w:t>
            </w:r>
            <w:r>
              <w:rPr>
                <w:highlight w:val="none"/>
              </w:rPr>
              <w:sym w:font="Wingdings" w:char="00A8"/>
            </w:r>
            <w:r>
              <w:rPr>
                <w:rFonts w:hint="eastAsia"/>
                <w:highlight w:val="none"/>
              </w:rPr>
              <w:t xml:space="preserve">其他—— </w:t>
            </w:r>
          </w:p>
          <w:p>
            <w:pPr>
              <w:rPr>
                <w:szCs w:val="21"/>
              </w:rPr>
            </w:pPr>
          </w:p>
          <w:p>
            <w:pPr>
              <w:rPr>
                <w:szCs w:val="21"/>
              </w:rPr>
            </w:pPr>
            <w:r>
              <w:rPr>
                <w:rFonts w:hint="eastAsia"/>
                <w:szCs w:val="21"/>
              </w:rPr>
              <w:t>还存在哪些局限和不足：</w:t>
            </w:r>
            <w:r>
              <w:rPr>
                <w:rFonts w:hint="eastAsia"/>
                <w:u w:val="single"/>
              </w:rPr>
              <w:t xml:space="preserve">   节约能源，减少固废产生                   </w:t>
            </w:r>
          </w:p>
          <w:p>
            <w:pPr>
              <w:rPr>
                <w:color w:val="000000"/>
                <w:szCs w:val="21"/>
              </w:rPr>
            </w:pPr>
          </w:p>
          <w:p>
            <w:pPr>
              <w:pStyle w:val="2"/>
            </w:pPr>
            <w:r>
              <w:rPr>
                <w:rFonts w:hint="eastAsia"/>
                <w:color w:val="000000"/>
                <w:szCs w:val="21"/>
                <w:lang w:val="en-US" w:eastAsia="zh-CN"/>
              </w:rPr>
              <w:t>查《环保职业健康安全财务支出》：环保设施经费预算共计：</w:t>
            </w:r>
            <w:r>
              <w:rPr>
                <w:rFonts w:hint="eastAsia"/>
                <w:sz w:val="24"/>
                <w:szCs w:val="24"/>
                <w:lang w:val="en-US" w:eastAsia="zh-CN"/>
              </w:rPr>
              <w:t>50</w:t>
            </w:r>
            <w:bookmarkStart w:id="0" w:name="_GoBack"/>
            <w:bookmarkEnd w:id="0"/>
            <w:r>
              <w:rPr>
                <w:rFonts w:hint="eastAsia"/>
                <w:sz w:val="24"/>
                <w:szCs w:val="24"/>
                <w:lang w:val="en-US" w:eastAsia="zh-CN"/>
              </w:rPr>
              <w:t>00</w:t>
            </w:r>
            <w:r>
              <w:rPr>
                <w:rFonts w:hint="eastAsia"/>
                <w:color w:val="000000"/>
                <w:szCs w:val="21"/>
                <w:lang w:val="en-US" w:eastAsia="zh-CN"/>
              </w:rPr>
              <w:t>元</w:t>
            </w:r>
          </w:p>
          <w:p>
            <w:pPr>
              <w:tabs>
                <w:tab w:val="left" w:pos="0"/>
              </w:tabs>
              <w:spacing w:line="400" w:lineRule="exact"/>
              <w:rPr>
                <w:rFonts w:ascii="宋体" w:hAnsi="宋体"/>
                <w:b/>
              </w:rPr>
            </w:pPr>
            <w:r>
              <w:rPr>
                <w:color w:val="000000"/>
                <w:szCs w:val="21"/>
              </w:rPr>
              <w:t>b</w:t>
            </w:r>
            <w:r>
              <w:rPr>
                <w:rFonts w:hint="eastAsia"/>
                <w:color w:val="000000"/>
                <w:szCs w:val="21"/>
              </w:rPr>
              <w:t>）需要从外部供方获得的资源：</w:t>
            </w:r>
            <w:r>
              <w:rPr>
                <w:rFonts w:hint="eastAsia"/>
              </w:rPr>
              <w:t xml:space="preserve"> </w:t>
            </w:r>
            <w:r>
              <w:rPr>
                <w:rFonts w:hint="eastAsia" w:ascii="宋体" w:hAnsi="宋体"/>
                <w:u w:val="single"/>
              </w:rPr>
              <w:t>喷漆</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000000" w:themeColor="text1"/>
              </w:rPr>
            </w:pPr>
            <w:r>
              <w:rPr>
                <w:rFonts w:hint="eastAsia"/>
                <w:color w:val="000000" w:themeColor="text1"/>
              </w:rPr>
              <w:t>意识</w:t>
            </w:r>
          </w:p>
        </w:tc>
        <w:tc>
          <w:tcPr>
            <w:tcW w:w="925" w:type="dxa"/>
            <w:vMerge w:val="restart"/>
          </w:tcPr>
          <w:p>
            <w:pPr>
              <w:rPr>
                <w:color w:val="000000" w:themeColor="text1"/>
              </w:rPr>
            </w:pPr>
            <w:r>
              <w:rPr>
                <w:rFonts w:hint="eastAsia"/>
                <w:color w:val="000000" w:themeColor="text1"/>
              </w:rPr>
              <w:t>Q7.3  E 7.3</w:t>
            </w:r>
          </w:p>
        </w:tc>
        <w:tc>
          <w:tcPr>
            <w:tcW w:w="780" w:type="dxa"/>
          </w:tcPr>
          <w:p>
            <w:pPr>
              <w:rPr>
                <w:color w:val="000000" w:themeColor="text1"/>
              </w:rPr>
            </w:pPr>
            <w:r>
              <w:rPr>
                <w:rFonts w:hint="eastAsia"/>
                <w:color w:val="000000" w:themeColor="text1"/>
              </w:rPr>
              <w:t>文件名称</w:t>
            </w:r>
          </w:p>
        </w:tc>
        <w:tc>
          <w:tcPr>
            <w:tcW w:w="9259" w:type="dxa"/>
            <w:vAlign w:val="center"/>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w:t>
            </w:r>
            <w:r>
              <w:rPr>
                <w:rFonts w:hint="eastAsia" w:ascii="宋体" w:hAnsi="宋体"/>
                <w:sz w:val="24"/>
              </w:rPr>
              <w:t>人力资源培训控制程序</w:t>
            </w:r>
            <w:r>
              <w:rPr>
                <w:rFonts w:hint="eastAsia"/>
                <w:color w:val="000000" w:themeColor="text1"/>
              </w:rPr>
              <w:t>》、</w:t>
            </w:r>
            <w:r>
              <w:rPr>
                <w:rFonts w:hint="eastAsia"/>
                <w:color w:val="000000" w:themeColor="text1"/>
              </w:rPr>
              <w:sym w:font="Wingdings" w:char="00FE"/>
            </w:r>
            <w:r>
              <w:rPr>
                <w:rFonts w:hint="eastAsia"/>
                <w:color w:val="000000" w:themeColor="text1"/>
              </w:rPr>
              <w:t>《质量手册》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Merge w:val="continue"/>
          </w:tcPr>
          <w:p/>
        </w:tc>
        <w:tc>
          <w:tcPr>
            <w:tcW w:w="925" w:type="dxa"/>
            <w:vMerge w:val="continue"/>
          </w:tcPr>
          <w:p/>
        </w:tc>
        <w:tc>
          <w:tcPr>
            <w:tcW w:w="780" w:type="dxa"/>
          </w:tcPr>
          <w:p>
            <w:pPr>
              <w:rPr>
                <w:color w:val="000000" w:themeColor="text1"/>
              </w:rPr>
            </w:pPr>
            <w:r>
              <w:rPr>
                <w:rFonts w:hint="eastAsia"/>
                <w:color w:val="000000" w:themeColor="text1"/>
              </w:rPr>
              <w:t>运行证据</w:t>
            </w:r>
          </w:p>
        </w:tc>
        <w:tc>
          <w:tcPr>
            <w:tcW w:w="9259" w:type="dxa"/>
          </w:tcPr>
          <w:p>
            <w:pPr>
              <w:pStyle w:val="2"/>
            </w:pPr>
            <w:r>
              <w:rPr>
                <w:rFonts w:hint="eastAsia"/>
              </w:rPr>
              <w:t>组织工作人员提高意识的方式：</w:t>
            </w:r>
          </w:p>
          <w:tbl>
            <w:tblPr>
              <w:tblStyle w:val="7"/>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9"/>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rPr>
                    <w:t>需要让员工知晓的内容</w:t>
                  </w:r>
                </w:p>
              </w:tc>
              <w:tc>
                <w:tcPr>
                  <w:tcW w:w="3911" w:type="dxa"/>
                </w:tcPr>
                <w:p>
                  <w:r>
                    <w:rPr>
                      <w:rFonts w:hint="eastAsia"/>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rPr>
                    <w:t>质量环境方针</w:t>
                  </w:r>
                </w:p>
              </w:tc>
              <w:tc>
                <w:tcPr>
                  <w:tcW w:w="391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rPr>
                    <w:t>与他们的工作相关的重要质量环境因素和相关的实际或潜在的环境影响</w:t>
                  </w:r>
                </w:p>
              </w:tc>
              <w:tc>
                <w:tcPr>
                  <w:tcW w:w="391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rPr>
                    <w:t>对质量环境管理体系有效性的贡献，包括提升环境绩效的贡献；</w:t>
                  </w:r>
                </w:p>
              </w:tc>
              <w:tc>
                <w:tcPr>
                  <w:tcW w:w="391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rPr>
                    <w:t>不符合质量环境管理体系要求，包括未履行组织合规义务的后果</w:t>
                  </w:r>
                </w:p>
              </w:tc>
              <w:tc>
                <w:tcPr>
                  <w:tcW w:w="391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r>
          </w:tbl>
          <w:p>
            <w:pPr>
              <w:rPr>
                <w:color w:val="FF0000"/>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tc>
        <w:tc>
          <w:tcPr>
            <w:tcW w:w="925" w:type="dxa"/>
            <w:vMerge w:val="restart"/>
          </w:tcPr>
          <w:p>
            <w:r>
              <w:rPr>
                <w:rFonts w:hint="eastAsia"/>
              </w:rPr>
              <w:t>Q9.1.1</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管理手册，</w:t>
            </w:r>
            <w:r>
              <w:rPr>
                <w:rFonts w:hint="eastAsia"/>
              </w:rPr>
              <w:sym w:font="Wingdings" w:char="00FE"/>
            </w:r>
            <w:r>
              <w:rPr>
                <w:rFonts w:hint="eastAsia"/>
              </w:rPr>
              <w:t>《</w:t>
            </w:r>
            <w:r>
              <w:rPr>
                <w:rFonts w:hint="eastAsia" w:ascii="宋体" w:hAnsi="宋体" w:cs="Arial"/>
                <w:szCs w:val="21"/>
              </w:rPr>
              <w:t>绩效的监测和测量控制程序</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组织对监视和测量的策划</w:t>
            </w:r>
          </w:p>
          <w:tbl>
            <w:tblPr>
              <w:tblStyle w:val="7"/>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89"/>
              <w:gridCol w:w="2030"/>
              <w:gridCol w:w="2043"/>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jc w:val="center"/>
                  </w:pPr>
                  <w:r>
                    <w:rPr>
                      <w:rFonts w:hint="eastAsia"/>
                    </w:rPr>
                    <w:t>监视和测量的对象</w:t>
                  </w:r>
                </w:p>
              </w:tc>
              <w:tc>
                <w:tcPr>
                  <w:tcW w:w="1489" w:type="dxa"/>
                  <w:vAlign w:val="center"/>
                </w:tcPr>
                <w:p>
                  <w:pPr>
                    <w:jc w:val="center"/>
                  </w:pPr>
                  <w:r>
                    <w:rPr>
                      <w:rFonts w:hint="eastAsia"/>
                    </w:rPr>
                    <w:t>监视、测量的方法</w:t>
                  </w:r>
                </w:p>
              </w:tc>
              <w:tc>
                <w:tcPr>
                  <w:tcW w:w="2030" w:type="dxa"/>
                  <w:vAlign w:val="center"/>
                </w:tcPr>
                <w:p>
                  <w:pPr>
                    <w:jc w:val="center"/>
                  </w:pPr>
                  <w:r>
                    <w:rPr>
                      <w:rFonts w:hint="eastAsia"/>
                    </w:rPr>
                    <w:t>监视和测量的频次和时机</w:t>
                  </w:r>
                </w:p>
              </w:tc>
              <w:tc>
                <w:tcPr>
                  <w:tcW w:w="2043" w:type="dxa"/>
                  <w:vAlign w:val="center"/>
                </w:tcPr>
                <w:p>
                  <w:pPr>
                    <w:jc w:val="center"/>
                  </w:pPr>
                  <w:r>
                    <w:rPr>
                      <w:rFonts w:hint="eastAsia"/>
                    </w:rPr>
                    <w:t>分析和评价的方法</w:t>
                  </w:r>
                </w:p>
              </w:tc>
              <w:tc>
                <w:tcPr>
                  <w:tcW w:w="1945" w:type="dxa"/>
                  <w:vAlign w:val="center"/>
                </w:tcPr>
                <w:p>
                  <w:pPr>
                    <w:jc w:val="center"/>
                  </w:pPr>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rPr>
                      <w:color w:val="000000" w:themeColor="text1"/>
                    </w:rPr>
                  </w:pPr>
                  <w:r>
                    <w:rPr>
                      <w:rFonts w:hint="eastAsia"/>
                      <w:color w:val="000000" w:themeColor="text1"/>
                    </w:rPr>
                    <w:t>产品</w:t>
                  </w:r>
                </w:p>
              </w:tc>
              <w:tc>
                <w:tcPr>
                  <w:tcW w:w="1489" w:type="dxa"/>
                  <w:vAlign w:val="center"/>
                </w:tcPr>
                <w:p>
                  <w:pPr>
                    <w:rPr>
                      <w:color w:val="000000" w:themeColor="text1"/>
                    </w:rPr>
                  </w:pPr>
                  <w:r>
                    <w:rPr>
                      <w:rFonts w:hint="eastAsia"/>
                      <w:color w:val="000000" w:themeColor="text1"/>
                    </w:rPr>
                    <w:t>产品检验</w:t>
                  </w:r>
                </w:p>
              </w:tc>
              <w:tc>
                <w:tcPr>
                  <w:tcW w:w="2030" w:type="dxa"/>
                </w:tcPr>
                <w:p>
                  <w:pPr>
                    <w:rPr>
                      <w:color w:val="000000" w:themeColor="text1"/>
                    </w:rPr>
                  </w:pPr>
                  <w:r>
                    <w:rPr>
                      <w:rFonts w:hint="eastAsia"/>
                      <w:color w:val="000000" w:themeColor="text1"/>
                      <w:szCs w:val="21"/>
                    </w:rPr>
                    <w:t>□</w:t>
                  </w:r>
                  <w:r>
                    <w:rPr>
                      <w:rFonts w:hint="eastAsia"/>
                      <w:color w:val="000000" w:themeColor="text1"/>
                    </w:rPr>
                    <w:t>见检验计划/规程</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每批</w:t>
                  </w:r>
                </w:p>
              </w:tc>
              <w:tc>
                <w:tcPr>
                  <w:tcW w:w="2043" w:type="dxa"/>
                </w:tcPr>
                <w:p>
                  <w:pPr>
                    <w:rPr>
                      <w:color w:val="000000" w:themeColor="text1"/>
                    </w:rPr>
                  </w:pPr>
                  <w:r>
                    <w:rPr>
                      <w:rFonts w:hint="eastAsia"/>
                      <w:color w:val="000000" w:themeColor="text1"/>
                    </w:rPr>
                    <w:t>对产品合格率进行统计</w:t>
                  </w:r>
                </w:p>
              </w:tc>
              <w:tc>
                <w:tcPr>
                  <w:tcW w:w="1945"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rPr>
                      <w:color w:val="000000" w:themeColor="text1"/>
                    </w:rPr>
                  </w:pPr>
                  <w:r>
                    <w:rPr>
                      <w:rFonts w:hint="eastAsia"/>
                      <w:color w:val="000000" w:themeColor="text1"/>
                    </w:rPr>
                    <w:t>过程</w:t>
                  </w:r>
                </w:p>
              </w:tc>
              <w:tc>
                <w:tcPr>
                  <w:tcW w:w="1489" w:type="dxa"/>
                  <w:vAlign w:val="center"/>
                </w:tcPr>
                <w:p>
                  <w:pPr>
                    <w:rPr>
                      <w:color w:val="000000" w:themeColor="text1"/>
                    </w:rPr>
                  </w:pPr>
                  <w:r>
                    <w:rPr>
                      <w:rFonts w:hint="eastAsia"/>
                      <w:color w:val="000000" w:themeColor="text1"/>
                    </w:rPr>
                    <w:t>现场巡视</w:t>
                  </w:r>
                </w:p>
                <w:p>
                  <w:pPr>
                    <w:rPr>
                      <w:color w:val="000000" w:themeColor="text1"/>
                    </w:rPr>
                  </w:pPr>
                  <w:r>
                    <w:rPr>
                      <w:rFonts w:hint="eastAsia"/>
                      <w:color w:val="000000" w:themeColor="text1"/>
                    </w:rPr>
                    <w:t>抽查记录</w:t>
                  </w:r>
                </w:p>
              </w:tc>
              <w:tc>
                <w:tcPr>
                  <w:tcW w:w="2030" w:type="dxa"/>
                </w:tcPr>
                <w:p>
                  <w:pPr>
                    <w:rPr>
                      <w:color w:val="000000" w:themeColor="text1"/>
                    </w:rPr>
                  </w:pPr>
                  <w:r>
                    <w:rPr>
                      <w:rFonts w:hint="eastAsia" w:ascii="MS Mincho" w:hAnsi="MS Mincho" w:eastAsia="MS Mincho" w:cs="MS Mincho"/>
                      <w:color w:val="000000" w:themeColor="text1"/>
                      <w:szCs w:val="21"/>
                    </w:rPr>
                    <w:t>☑</w:t>
                  </w:r>
                  <w:r>
                    <w:rPr>
                      <w:rFonts w:hint="eastAsia"/>
                      <w:color w:val="000000" w:themeColor="text1"/>
                    </w:rPr>
                    <w:t>定期检查</w:t>
                  </w:r>
                </w:p>
                <w:p>
                  <w:pPr>
                    <w:rPr>
                      <w:color w:val="000000" w:themeColor="text1"/>
                    </w:rPr>
                  </w:pPr>
                  <w:r>
                    <w:rPr>
                      <w:rFonts w:hint="eastAsia" w:ascii="MS Mincho" w:hAnsi="MS Mincho" w:eastAsia="MS Mincho" w:cs="MS Mincho"/>
                      <w:color w:val="000000" w:themeColor="text1"/>
                      <w:szCs w:val="21"/>
                    </w:rPr>
                    <w:t>☑</w:t>
                  </w:r>
                  <w:r>
                    <w:rPr>
                      <w:rFonts w:hint="eastAsia"/>
                      <w:color w:val="000000" w:themeColor="text1"/>
                    </w:rPr>
                    <w:t>抽查</w:t>
                  </w:r>
                </w:p>
              </w:tc>
              <w:tc>
                <w:tcPr>
                  <w:tcW w:w="2043" w:type="dxa"/>
                </w:tcPr>
                <w:p>
                  <w:pPr>
                    <w:rPr>
                      <w:color w:val="000000" w:themeColor="text1"/>
                    </w:rPr>
                  </w:pPr>
                  <w:r>
                    <w:rPr>
                      <w:rFonts w:hint="eastAsia"/>
                      <w:color w:val="000000" w:themeColor="text1"/>
                    </w:rPr>
                    <w:t>对质量目标/Cpk进行统计</w:t>
                  </w:r>
                </w:p>
              </w:tc>
              <w:tc>
                <w:tcPr>
                  <w:tcW w:w="1945"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rPr>
                      <w:color w:val="000000" w:themeColor="text1"/>
                    </w:rPr>
                  </w:pPr>
                  <w:r>
                    <w:rPr>
                      <w:rFonts w:hint="eastAsia"/>
                      <w:color w:val="000000" w:themeColor="text1"/>
                    </w:rPr>
                    <w:t>体系</w:t>
                  </w:r>
                </w:p>
              </w:tc>
              <w:tc>
                <w:tcPr>
                  <w:tcW w:w="1489" w:type="dxa"/>
                  <w:vAlign w:val="center"/>
                </w:tcPr>
                <w:p>
                  <w:pPr>
                    <w:rPr>
                      <w:color w:val="000000" w:themeColor="text1"/>
                    </w:rPr>
                  </w:pPr>
                  <w:r>
                    <w:rPr>
                      <w:rFonts w:hint="eastAsia"/>
                      <w:color w:val="000000" w:themeColor="text1"/>
                    </w:rPr>
                    <w:t>内部审核</w:t>
                  </w:r>
                </w:p>
              </w:tc>
              <w:tc>
                <w:tcPr>
                  <w:tcW w:w="2030" w:type="dxa"/>
                </w:tcPr>
                <w:p>
                  <w:pPr>
                    <w:rPr>
                      <w:color w:val="000000" w:themeColor="text1"/>
                    </w:rPr>
                  </w:pPr>
                  <w:r>
                    <w:rPr>
                      <w:rFonts w:hint="eastAsia"/>
                      <w:color w:val="000000" w:themeColor="text1"/>
                      <w:szCs w:val="21"/>
                    </w:rPr>
                    <w:t>□</w:t>
                  </w:r>
                  <w:r>
                    <w:rPr>
                      <w:rFonts w:hint="eastAsia"/>
                      <w:color w:val="000000" w:themeColor="text1"/>
                    </w:rPr>
                    <w:t>按年度内审计划</w:t>
                  </w:r>
                </w:p>
                <w:p>
                  <w:pPr>
                    <w:rPr>
                      <w:color w:val="000000" w:themeColor="text1"/>
                    </w:rPr>
                  </w:pPr>
                  <w:r>
                    <w:rPr>
                      <w:rFonts w:hint="eastAsia" w:ascii="MS Mincho" w:hAnsi="MS Mincho" w:eastAsia="MS Mincho" w:cs="MS Mincho"/>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2043" w:type="dxa"/>
                </w:tcPr>
                <w:p>
                  <w:pPr>
                    <w:rPr>
                      <w:color w:val="000000" w:themeColor="text1"/>
                    </w:rPr>
                  </w:pPr>
                  <w:r>
                    <w:rPr>
                      <w:rFonts w:hint="eastAsia"/>
                      <w:color w:val="000000" w:themeColor="text1"/>
                    </w:rPr>
                    <w:t>对内审不符合项进行分析</w:t>
                  </w:r>
                </w:p>
              </w:tc>
              <w:tc>
                <w:tcPr>
                  <w:tcW w:w="1945"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rPr>
                      <w:color w:val="000000" w:themeColor="text1"/>
                    </w:rPr>
                  </w:pPr>
                  <w:r>
                    <w:rPr>
                      <w:rFonts w:hint="eastAsia"/>
                      <w:color w:val="000000" w:themeColor="text1"/>
                    </w:rPr>
                    <w:t>体系有效性</w:t>
                  </w:r>
                </w:p>
              </w:tc>
              <w:tc>
                <w:tcPr>
                  <w:tcW w:w="1489" w:type="dxa"/>
                  <w:vAlign w:val="center"/>
                </w:tcPr>
                <w:p>
                  <w:pPr>
                    <w:rPr>
                      <w:color w:val="000000" w:themeColor="text1"/>
                    </w:rPr>
                  </w:pPr>
                  <w:r>
                    <w:rPr>
                      <w:rFonts w:hint="eastAsia"/>
                      <w:color w:val="000000" w:themeColor="text1"/>
                    </w:rPr>
                    <w:t>管理评审</w:t>
                  </w:r>
                </w:p>
              </w:tc>
              <w:tc>
                <w:tcPr>
                  <w:tcW w:w="2030" w:type="dxa"/>
                </w:tcPr>
                <w:p>
                  <w:pPr>
                    <w:rPr>
                      <w:color w:val="000000" w:themeColor="text1"/>
                    </w:rPr>
                  </w:pPr>
                  <w:r>
                    <w:rPr>
                      <w:rFonts w:hint="eastAsia" w:ascii="MS Mincho" w:hAnsi="MS Mincho" w:eastAsia="MS Mincho" w:cs="MS Mincho"/>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2043" w:type="dxa"/>
                </w:tcPr>
                <w:p>
                  <w:pPr>
                    <w:rPr>
                      <w:color w:val="000000" w:themeColor="text1"/>
                    </w:rPr>
                  </w:pPr>
                  <w:r>
                    <w:rPr>
                      <w:rFonts w:hint="eastAsia"/>
                      <w:color w:val="000000" w:themeColor="text1"/>
                    </w:rPr>
                    <w:t>对QMS存在的需要问题进行分析</w:t>
                  </w:r>
                </w:p>
              </w:tc>
              <w:tc>
                <w:tcPr>
                  <w:tcW w:w="1945"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rPr>
                      <w:color w:val="000000" w:themeColor="text1"/>
                    </w:rPr>
                  </w:pPr>
                  <w:r>
                    <w:rPr>
                      <w:rFonts w:hint="eastAsia"/>
                      <w:color w:val="000000" w:themeColor="text1"/>
                    </w:rPr>
                    <w:t>顾客满意</w:t>
                  </w:r>
                </w:p>
              </w:tc>
              <w:tc>
                <w:tcPr>
                  <w:tcW w:w="1489" w:type="dxa"/>
                  <w:vAlign w:val="center"/>
                </w:tcPr>
                <w:p>
                  <w:pPr>
                    <w:rPr>
                      <w:color w:val="000000" w:themeColor="text1"/>
                    </w:rPr>
                  </w:pPr>
                  <w:r>
                    <w:rPr>
                      <w:rFonts w:hint="eastAsia"/>
                      <w:color w:val="000000" w:themeColor="text1"/>
                    </w:rPr>
                    <w:t>问卷调查</w:t>
                  </w:r>
                </w:p>
              </w:tc>
              <w:tc>
                <w:tcPr>
                  <w:tcW w:w="2030" w:type="dxa"/>
                </w:tcPr>
                <w:p>
                  <w:pPr>
                    <w:rPr>
                      <w:color w:val="000000" w:themeColor="text1"/>
                    </w:rPr>
                  </w:pPr>
                  <w:r>
                    <w:rPr>
                      <w:rFonts w:hint="eastAsia" w:ascii="MS Mincho" w:hAnsi="MS Mincho" w:eastAsia="MS Mincho" w:cs="MS Mincho"/>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2043" w:type="dxa"/>
                </w:tcPr>
                <w:p>
                  <w:pPr>
                    <w:rPr>
                      <w:color w:val="000000" w:themeColor="text1"/>
                    </w:rPr>
                  </w:pPr>
                  <w:r>
                    <w:rPr>
                      <w:rFonts w:hint="eastAsia"/>
                      <w:color w:val="000000" w:themeColor="text1"/>
                    </w:rPr>
                    <w:t>对顾客满意度进行统计</w:t>
                  </w:r>
                </w:p>
              </w:tc>
              <w:tc>
                <w:tcPr>
                  <w:tcW w:w="1945"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25" w:type="dxa"/>
            <w:vMerge w:val="restart"/>
          </w:tcPr>
          <w:p>
            <w:r>
              <w:rPr>
                <w:rFonts w:hint="eastAsia"/>
              </w:rPr>
              <w:t>Q9.1.3</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对获得的数据和信息进行分析与评价</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928"/>
              <w:gridCol w:w="1225"/>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pPr>
                    <w:jc w:val="center"/>
                  </w:pPr>
                  <w:r>
                    <w:rPr>
                      <w:rFonts w:hint="eastAsia"/>
                    </w:rPr>
                    <w:t>分析和评价的对象</w:t>
                  </w:r>
                </w:p>
              </w:tc>
              <w:tc>
                <w:tcPr>
                  <w:tcW w:w="2651" w:type="dxa"/>
                  <w:vAlign w:val="center"/>
                </w:tcPr>
                <w:p>
                  <w:pPr>
                    <w:jc w:val="center"/>
                  </w:pPr>
                  <w:r>
                    <w:rPr>
                      <w:rFonts w:hint="eastAsia"/>
                    </w:rPr>
                    <w:t>分析和评价的方法</w:t>
                  </w:r>
                </w:p>
              </w:tc>
              <w:tc>
                <w:tcPr>
                  <w:tcW w:w="1928" w:type="dxa"/>
                  <w:vAlign w:val="center"/>
                </w:tcPr>
                <w:p>
                  <w:pPr>
                    <w:jc w:val="center"/>
                  </w:pPr>
                  <w:r>
                    <w:rPr>
                      <w:rFonts w:hint="eastAsia"/>
                    </w:rPr>
                    <w:t>分析和评价的频次和时机</w:t>
                  </w:r>
                </w:p>
              </w:tc>
              <w:tc>
                <w:tcPr>
                  <w:tcW w:w="1225" w:type="dxa"/>
                  <w:vAlign w:val="center"/>
                </w:tcPr>
                <w:p>
                  <w:pPr>
                    <w:jc w:val="center"/>
                  </w:pPr>
                  <w:r>
                    <w:rPr>
                      <w:rFonts w:hint="eastAsia"/>
                    </w:rPr>
                    <w:t>使用的统计技术</w:t>
                  </w:r>
                </w:p>
              </w:tc>
              <w:tc>
                <w:tcPr>
                  <w:tcW w:w="1314" w:type="dxa"/>
                  <w:vAlign w:val="center"/>
                </w:tcPr>
                <w:p>
                  <w:pPr>
                    <w:jc w:val="center"/>
                  </w:pPr>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产品和服务符合性</w:t>
                  </w:r>
                </w:p>
              </w:tc>
              <w:tc>
                <w:tcPr>
                  <w:tcW w:w="2651" w:type="dxa"/>
                  <w:shd w:val="clear" w:color="auto" w:fill="auto"/>
                  <w:vAlign w:val="center"/>
                </w:tcPr>
                <w:p>
                  <w:r>
                    <w:rPr>
                      <w:rFonts w:hint="eastAsia"/>
                    </w:rPr>
                    <w:t>对产品合格率统计分析</w:t>
                  </w:r>
                </w:p>
              </w:tc>
              <w:tc>
                <w:tcPr>
                  <w:tcW w:w="1928" w:type="dxa"/>
                  <w:shd w:val="clear" w:color="auto" w:fill="auto"/>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225"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顾客满意程度</w:t>
                  </w:r>
                </w:p>
              </w:tc>
              <w:tc>
                <w:tcPr>
                  <w:tcW w:w="2651" w:type="dxa"/>
                  <w:shd w:val="clear" w:color="auto" w:fill="auto"/>
                  <w:vAlign w:val="center"/>
                </w:tcPr>
                <w:p>
                  <w:r>
                    <w:rPr>
                      <w:rFonts w:hint="eastAsia"/>
                    </w:rPr>
                    <w:t>对顾客满意率进行统计</w:t>
                  </w:r>
                </w:p>
              </w:tc>
              <w:tc>
                <w:tcPr>
                  <w:tcW w:w="1928"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ascii="MS Mincho" w:hAnsi="MS Mincho" w:eastAsia="MS Mincho" w:cs="MS Mincho"/>
                      <w:color w:val="000000"/>
                      <w:szCs w:val="21"/>
                    </w:rPr>
                    <w:t>☑</w:t>
                  </w:r>
                  <w:r>
                    <w:rPr>
                      <w:rFonts w:hint="eastAsia" w:ascii="宋体" w:hAnsi="宋体" w:cs="宋体"/>
                      <w:color w:val="000000"/>
                      <w:szCs w:val="21"/>
                    </w:rPr>
                    <w:t>每年</w:t>
                  </w:r>
                </w:p>
              </w:tc>
              <w:tc>
                <w:tcPr>
                  <w:tcW w:w="1225"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质量管理体系的绩效和有效性</w:t>
                  </w:r>
                </w:p>
              </w:tc>
              <w:tc>
                <w:tcPr>
                  <w:tcW w:w="2651" w:type="dxa"/>
                  <w:shd w:val="clear" w:color="auto" w:fill="auto"/>
                  <w:vAlign w:val="center"/>
                </w:tcPr>
                <w:p>
                  <w:r>
                    <w:rPr>
                      <w:rFonts w:hint="eastAsia"/>
                    </w:rPr>
                    <w:t>对内审不符合项进行分析、整改</w:t>
                  </w:r>
                </w:p>
              </w:tc>
              <w:tc>
                <w:tcPr>
                  <w:tcW w:w="1928"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ascii="MS Mincho" w:hAnsi="MS Mincho" w:eastAsia="MS Mincho" w:cs="MS Mincho"/>
                      <w:color w:val="000000"/>
                      <w:szCs w:val="21"/>
                    </w:rPr>
                    <w:t>☑</w:t>
                  </w:r>
                  <w:r>
                    <w:rPr>
                      <w:rFonts w:hint="eastAsia" w:ascii="宋体" w:hAnsi="宋体" w:cs="宋体"/>
                      <w:color w:val="000000"/>
                      <w:szCs w:val="21"/>
                    </w:rPr>
                    <w:t>每年</w:t>
                  </w:r>
                </w:p>
              </w:tc>
              <w:tc>
                <w:tcPr>
                  <w:tcW w:w="1225"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策划是否得到有效实施</w:t>
                  </w:r>
                </w:p>
              </w:tc>
              <w:tc>
                <w:tcPr>
                  <w:tcW w:w="2651" w:type="dxa"/>
                  <w:shd w:val="clear" w:color="auto" w:fill="auto"/>
                  <w:vAlign w:val="center"/>
                </w:tcPr>
                <w:p>
                  <w:r>
                    <w:rPr>
                      <w:rFonts w:hint="eastAsia"/>
                    </w:rPr>
                    <w:t>对质量目标完成/Cpk进行统计</w:t>
                  </w:r>
                </w:p>
              </w:tc>
              <w:tc>
                <w:tcPr>
                  <w:tcW w:w="1928" w:type="dxa"/>
                  <w:shd w:val="clear" w:color="auto" w:fill="auto"/>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ascii="MS Mincho" w:hAnsi="MS Mincho" w:eastAsia="MS Mincho" w:cs="MS Mincho"/>
                      <w:color w:val="000000"/>
                      <w:szCs w:val="21"/>
                    </w:rPr>
                    <w:t>☑</w:t>
                  </w:r>
                  <w:r>
                    <w:rPr>
                      <w:rFonts w:hint="eastAsia" w:ascii="宋体" w:hAnsi="宋体" w:cs="宋体"/>
                      <w:color w:val="000000"/>
                      <w:szCs w:val="21"/>
                    </w:rPr>
                    <w:t>每年</w:t>
                  </w:r>
                </w:p>
              </w:tc>
              <w:tc>
                <w:tcPr>
                  <w:tcW w:w="1225"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针对风险和机遇所采取措施的有效性</w:t>
                  </w:r>
                </w:p>
              </w:tc>
              <w:tc>
                <w:tcPr>
                  <w:tcW w:w="2651" w:type="dxa"/>
                  <w:shd w:val="clear" w:color="auto" w:fill="auto"/>
                  <w:vAlign w:val="center"/>
                </w:tcPr>
                <w:p>
                  <w:r>
                    <w:rPr>
                      <w:rFonts w:hint="eastAsia"/>
                    </w:rPr>
                    <w:t>对质量目标完成进行统计</w:t>
                  </w:r>
                </w:p>
              </w:tc>
              <w:tc>
                <w:tcPr>
                  <w:tcW w:w="1928" w:type="dxa"/>
                  <w:shd w:val="clear" w:color="auto" w:fill="auto"/>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ascii="MS Mincho" w:hAnsi="MS Mincho" w:eastAsia="MS Mincho" w:cs="MS Mincho"/>
                      <w:color w:val="000000"/>
                      <w:szCs w:val="21"/>
                    </w:rPr>
                    <w:t>☑</w:t>
                  </w:r>
                  <w:r>
                    <w:rPr>
                      <w:rFonts w:hint="eastAsia" w:ascii="宋体" w:hAnsi="宋体" w:cs="宋体"/>
                      <w:color w:val="000000"/>
                      <w:szCs w:val="21"/>
                    </w:rPr>
                    <w:t>每年</w:t>
                  </w:r>
                </w:p>
              </w:tc>
              <w:tc>
                <w:tcPr>
                  <w:tcW w:w="1225"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外部供方的绩效</w:t>
                  </w:r>
                </w:p>
              </w:tc>
              <w:tc>
                <w:tcPr>
                  <w:tcW w:w="2651" w:type="dxa"/>
                  <w:shd w:val="clear" w:color="auto" w:fill="auto"/>
                  <w:vAlign w:val="center"/>
                </w:tcPr>
                <w:p>
                  <w:r>
                    <w:rPr>
                      <w:rFonts w:hint="eastAsia"/>
                    </w:rPr>
                    <w:t>对外部供方的供货质量和服务质量进行统计分析</w:t>
                  </w:r>
                </w:p>
              </w:tc>
              <w:tc>
                <w:tcPr>
                  <w:tcW w:w="1928" w:type="dxa"/>
                  <w:shd w:val="clear" w:color="auto" w:fill="auto"/>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ascii="MS Mincho" w:hAnsi="MS Mincho" w:eastAsia="MS Mincho" w:cs="MS Mincho"/>
                      <w:color w:val="000000"/>
                      <w:szCs w:val="21"/>
                    </w:rPr>
                    <w:t>☑</w:t>
                  </w:r>
                  <w:r>
                    <w:rPr>
                      <w:rFonts w:hint="eastAsia" w:ascii="宋体" w:hAnsi="宋体" w:cs="宋体"/>
                      <w:color w:val="000000"/>
                      <w:szCs w:val="21"/>
                    </w:rPr>
                    <w:t>每年</w:t>
                  </w:r>
                </w:p>
              </w:tc>
              <w:tc>
                <w:tcPr>
                  <w:tcW w:w="1225"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vAlign w:val="center"/>
                </w:tcPr>
                <w:p>
                  <w:r>
                    <w:rPr>
                      <w:rFonts w:hint="eastAsia"/>
                    </w:rPr>
                    <w:t>质量管理体系改进的需求</w:t>
                  </w:r>
                </w:p>
              </w:tc>
              <w:tc>
                <w:tcPr>
                  <w:tcW w:w="2651" w:type="dxa"/>
                  <w:shd w:val="clear" w:color="auto" w:fill="auto"/>
                  <w:vAlign w:val="center"/>
                </w:tcPr>
                <w:p>
                  <w:r>
                    <w:rPr>
                      <w:rFonts w:hint="eastAsia"/>
                    </w:rPr>
                    <w:t>对QMS存在的需要问题进行分析</w:t>
                  </w:r>
                </w:p>
              </w:tc>
              <w:tc>
                <w:tcPr>
                  <w:tcW w:w="1928"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ascii="MS Mincho" w:hAnsi="MS Mincho" w:eastAsia="MS Mincho" w:cs="MS Mincho"/>
                      <w:color w:val="000000"/>
                      <w:szCs w:val="21"/>
                    </w:rPr>
                    <w:t>☑</w:t>
                  </w:r>
                  <w:r>
                    <w:rPr>
                      <w:rFonts w:hint="eastAsia" w:ascii="宋体" w:hAnsi="宋体" w:cs="宋体"/>
                      <w:color w:val="000000"/>
                      <w:szCs w:val="21"/>
                    </w:rPr>
                    <w:t>每年</w:t>
                  </w:r>
                </w:p>
              </w:tc>
              <w:tc>
                <w:tcPr>
                  <w:tcW w:w="1225"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Merge w:val="restart"/>
          </w:tcPr>
          <w:p>
            <w:r>
              <w:rPr>
                <w:rFonts w:hint="eastAsia"/>
              </w:rPr>
              <w:t>管理评审</w:t>
            </w:r>
          </w:p>
        </w:tc>
        <w:tc>
          <w:tcPr>
            <w:tcW w:w="925" w:type="dxa"/>
            <w:vMerge w:val="restart"/>
          </w:tcPr>
          <w:p>
            <w:r>
              <w:rPr>
                <w:rFonts w:hint="eastAsia"/>
              </w:rPr>
              <w:t>Q9.3 E9.3</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widowControl/>
              <w:spacing w:before="40"/>
              <w:jc w:val="left"/>
              <w:rPr>
                <w:szCs w:val="18"/>
              </w:rPr>
            </w:pPr>
            <w:r>
              <w:rPr>
                <w:rFonts w:hint="eastAsia"/>
                <w:color w:val="000000" w:themeColor="text1"/>
                <w:szCs w:val="18"/>
              </w:rPr>
              <w:t>自</w:t>
            </w:r>
            <w:r>
              <w:rPr>
                <w:color w:val="000000" w:themeColor="text1"/>
              </w:rPr>
              <w:sym w:font="Wingdings" w:char="00FE"/>
            </w:r>
            <w:r>
              <w:rPr>
                <w:rFonts w:hint="eastAsia"/>
                <w:color w:val="000000" w:themeColor="text1"/>
                <w:szCs w:val="18"/>
              </w:rPr>
              <w:t>管理体系</w:t>
            </w:r>
            <w:r>
              <w:rPr>
                <w:rFonts w:hint="eastAsia"/>
                <w:szCs w:val="18"/>
              </w:rPr>
              <w:t>建立后/</w:t>
            </w:r>
            <w:r>
              <w:rPr/>
              <w:sym w:font="Wingdings" w:char="00A8"/>
            </w:r>
            <w:r>
              <w:rPr>
                <w:rFonts w:hint="eastAsia"/>
              </w:rPr>
              <w:t>近一年</w:t>
            </w:r>
            <w:r>
              <w:rPr>
                <w:rFonts w:hint="eastAsia"/>
                <w:szCs w:val="18"/>
              </w:rPr>
              <w:t>，于</w:t>
            </w:r>
            <w:r>
              <w:rPr>
                <w:rFonts w:hint="eastAsia"/>
                <w:szCs w:val="18"/>
                <w:u w:val="single"/>
              </w:rPr>
              <w:t xml:space="preserve"> 2020</w:t>
            </w:r>
            <w:r>
              <w:rPr>
                <w:szCs w:val="18"/>
                <w:u w:val="single"/>
              </w:rPr>
              <w:t xml:space="preserve"> </w:t>
            </w:r>
            <w:r>
              <w:rPr>
                <w:rFonts w:hint="eastAsia"/>
                <w:szCs w:val="18"/>
              </w:rPr>
              <w:t>年</w:t>
            </w:r>
            <w:r>
              <w:rPr>
                <w:rFonts w:hint="eastAsia"/>
                <w:szCs w:val="18"/>
                <w:u w:val="single"/>
              </w:rPr>
              <w:t xml:space="preserve"> 9</w:t>
            </w:r>
            <w:r>
              <w:rPr>
                <w:rFonts w:hint="eastAsia"/>
                <w:szCs w:val="18"/>
              </w:rPr>
              <w:t>月</w:t>
            </w:r>
            <w:r>
              <w:rPr>
                <w:rFonts w:hint="eastAsia"/>
                <w:szCs w:val="18"/>
                <w:u w:val="single"/>
              </w:rPr>
              <w:t xml:space="preserve"> 10</w:t>
            </w:r>
            <w:r>
              <w:rPr>
                <w:rFonts w:hint="eastAsia"/>
                <w:szCs w:val="18"/>
              </w:rPr>
              <w:t>日实施了管理评审；</w:t>
            </w:r>
          </w:p>
          <w:p>
            <w:pPr>
              <w:widowControl/>
              <w:spacing w:before="40"/>
              <w:jc w:val="left"/>
              <w:rPr>
                <w:color w:val="000000" w:themeColor="text1"/>
                <w:szCs w:val="18"/>
              </w:rPr>
            </w:pPr>
            <w:r>
              <w:rPr>
                <w:rFonts w:hint="eastAsia"/>
                <w:szCs w:val="18"/>
              </w:rPr>
              <w:t>查看</w:t>
            </w:r>
            <w:r>
              <w:rPr>
                <w:rFonts w:hint="eastAsia" w:ascii="MS Mincho" w:hAnsi="MS Mincho" w:eastAsia="MS Mincho" w:cs="MS Mincho"/>
                <w:szCs w:val="21"/>
              </w:rPr>
              <w:t>☑</w:t>
            </w:r>
            <w:r>
              <w:rPr>
                <w:rFonts w:hint="eastAsia" w:ascii="宋体" w:hAnsi="宋体" w:cs="宋体"/>
                <w:szCs w:val="21"/>
              </w:rPr>
              <w:t>管理评审计划</w:t>
            </w:r>
            <w:r>
              <w:rPr>
                <w:rFonts w:hint="eastAsia"/>
                <w:szCs w:val="21"/>
              </w:rPr>
              <w:t xml:space="preserve">  </w:t>
            </w:r>
            <w:r>
              <w:rPr>
                <w:rFonts w:hint="eastAsia" w:ascii="MS Mincho" w:hAnsi="MS Mincho" w:eastAsia="MS Mincho" w:cs="MS Mincho"/>
                <w:szCs w:val="21"/>
              </w:rPr>
              <w:t>☑</w:t>
            </w:r>
            <w:r>
              <w:rPr>
                <w:rFonts w:hint="eastAsia" w:ascii="宋体" w:hAnsi="宋体" w:cs="宋体"/>
                <w:szCs w:val="21"/>
              </w:rPr>
              <w:t>管理评审记录（工作总结）</w:t>
            </w:r>
            <w:r>
              <w:rPr>
                <w:rFonts w:hint="eastAsia"/>
                <w:szCs w:val="21"/>
              </w:rPr>
              <w:t xml:space="preserve">  □管理评审</w:t>
            </w:r>
            <w:r>
              <w:rPr>
                <w:rFonts w:hint="eastAsia"/>
                <w:color w:val="000000" w:themeColor="text1"/>
                <w:szCs w:val="21"/>
              </w:rPr>
              <w:t xml:space="preserve">纪要  </w:t>
            </w:r>
            <w:r>
              <w:rPr>
                <w:rFonts w:hint="eastAsia" w:ascii="MS Mincho" w:hAnsi="MS Mincho" w:eastAsia="MS Mincho" w:cs="MS Mincho"/>
                <w:color w:val="000000" w:themeColor="text1"/>
                <w:szCs w:val="21"/>
              </w:rPr>
              <w:t>☑</w:t>
            </w:r>
            <w:r>
              <w:rPr>
                <w:rFonts w:hint="eastAsia" w:ascii="宋体" w:hAnsi="宋体" w:cs="宋体"/>
                <w:color w:val="000000" w:themeColor="text1"/>
                <w:szCs w:val="21"/>
              </w:rPr>
              <w:t>管理评审报告</w:t>
            </w:r>
          </w:p>
          <w:p>
            <w:pPr>
              <w:widowControl/>
              <w:spacing w:before="40"/>
              <w:jc w:val="left"/>
              <w:rPr>
                <w:color w:val="000000" w:themeColor="text1"/>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jc w:val="center"/>
                    <w:rPr>
                      <w:color w:val="000000" w:themeColor="text1"/>
                      <w:szCs w:val="21"/>
                    </w:rPr>
                  </w:pPr>
                  <w:r>
                    <w:rPr>
                      <w:rFonts w:hint="eastAsia"/>
                      <w:color w:val="000000" w:themeColor="text1"/>
                      <w:szCs w:val="21"/>
                    </w:rPr>
                    <w:t>管理评审输入信息</w:t>
                  </w:r>
                </w:p>
              </w:tc>
              <w:tc>
                <w:tcPr>
                  <w:tcW w:w="1990" w:type="dxa"/>
                  <w:vAlign w:val="center"/>
                </w:tcPr>
                <w:p>
                  <w:pPr>
                    <w:widowControl/>
                    <w:spacing w:before="40"/>
                    <w:jc w:val="center"/>
                    <w:rPr>
                      <w:color w:val="000000" w:themeColor="text1"/>
                      <w:szCs w:val="21"/>
                    </w:rPr>
                  </w:pPr>
                  <w:r>
                    <w:rPr>
                      <w:rFonts w:hint="eastAsia"/>
                      <w:color w:val="000000" w:themeColor="text1"/>
                      <w:szCs w:val="21"/>
                    </w:rPr>
                    <w:t>评价</w:t>
                  </w:r>
                </w:p>
              </w:tc>
              <w:tc>
                <w:tcPr>
                  <w:tcW w:w="2816" w:type="dxa"/>
                  <w:vAlign w:val="center"/>
                </w:tcPr>
                <w:p>
                  <w:pPr>
                    <w:widowControl/>
                    <w:spacing w:before="40"/>
                    <w:jc w:val="center"/>
                    <w:rPr>
                      <w:color w:val="000000" w:themeColor="text1"/>
                      <w:szCs w:val="21"/>
                    </w:rPr>
                  </w:pPr>
                  <w:r>
                    <w:rPr>
                      <w:rFonts w:hint="eastAsia"/>
                      <w:color w:val="000000" w:themeColor="text1"/>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rPr>
                  </w:pPr>
                  <w:r>
                    <w:rPr>
                      <w:rFonts w:hint="eastAsia"/>
                      <w:color w:val="000000" w:themeColor="text1"/>
                    </w:rPr>
                    <w:t>以往管理评审所采取措施的情况；</w:t>
                  </w:r>
                </w:p>
              </w:tc>
              <w:tc>
                <w:tcPr>
                  <w:tcW w:w="1990" w:type="dxa"/>
                </w:tcPr>
                <w:p>
                  <w:pPr>
                    <w:widowControl/>
                    <w:spacing w:before="40"/>
                    <w:jc w:val="left"/>
                    <w:rPr>
                      <w:color w:val="000000" w:themeColor="text1"/>
                      <w:szCs w:val="21"/>
                    </w:rPr>
                  </w:pPr>
                  <w:r>
                    <w:rPr>
                      <w:rFonts w:hint="eastAsia"/>
                      <w:color w:val="000000" w:themeColor="text1"/>
                      <w:szCs w:val="21"/>
                    </w:rPr>
                    <w:t xml:space="preserve">□符合 </w:t>
                  </w:r>
                  <w:r>
                    <w:rPr>
                      <w:color w:val="000000" w:themeColor="text1"/>
                      <w:szCs w:val="21"/>
                    </w:rPr>
                    <w:t xml:space="preserve"> </w:t>
                  </w:r>
                  <w:r>
                    <w:rPr>
                      <w:rFonts w:hint="eastAsia"/>
                      <w:color w:val="000000" w:themeColor="text1"/>
                      <w:szCs w:val="21"/>
                    </w:rPr>
                    <w:t>□不符合</w:t>
                  </w:r>
                </w:p>
              </w:tc>
              <w:tc>
                <w:tcPr>
                  <w:tcW w:w="2816" w:type="dxa"/>
                </w:tcPr>
                <w:p>
                  <w:pPr>
                    <w:widowControl/>
                    <w:spacing w:before="40"/>
                    <w:jc w:val="left"/>
                    <w:rPr>
                      <w:color w:val="000000" w:themeColor="text1"/>
                      <w:szCs w:val="21"/>
                      <w:highlight w:val="cyan"/>
                    </w:rPr>
                  </w:pPr>
                  <w:r>
                    <w:rPr>
                      <w:rFonts w:hint="eastAsia"/>
                      <w:color w:val="000000" w:themeColor="text1"/>
                      <w:szCs w:val="21"/>
                    </w:rPr>
                    <w:t>初次认证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rPr>
                  </w:pPr>
                  <w:r>
                    <w:rPr>
                      <w:rFonts w:hint="eastAsia"/>
                      <w:color w:val="000000" w:themeColor="text1"/>
                    </w:rPr>
                    <w:t>与质量管理体系相关的内外部因素的变化；</w:t>
                  </w:r>
                </w:p>
              </w:tc>
              <w:tc>
                <w:tcPr>
                  <w:tcW w:w="1990"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rPr>
                  </w:pPr>
                  <w:r>
                    <w:rPr>
                      <w:rFonts w:hint="eastAsia"/>
                      <w:color w:val="000000" w:themeColor="text1"/>
                    </w:rPr>
                    <w:t>顾客满意和有关相关方的反馈及趋势</w:t>
                  </w:r>
                </w:p>
              </w:tc>
              <w:tc>
                <w:tcPr>
                  <w:tcW w:w="1990"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rPr>
                  </w:pPr>
                  <w:r>
                    <w:rPr>
                      <w:rFonts w:hint="eastAsia"/>
                      <w:color w:val="000000" w:themeColor="text1"/>
                    </w:rPr>
                    <w:t>质量目标的实现程度及趋势</w:t>
                  </w:r>
                </w:p>
              </w:tc>
              <w:tc>
                <w:tcPr>
                  <w:tcW w:w="1990"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rPr>
                  </w:pPr>
                  <w:r>
                    <w:rPr>
                      <w:rFonts w:hint="eastAsia"/>
                      <w:color w:val="000000" w:themeColor="text1"/>
                    </w:rPr>
                    <w:t>过程绩效以及产品和服务的合格情况及趋势</w:t>
                  </w:r>
                </w:p>
              </w:tc>
              <w:tc>
                <w:tcPr>
                  <w:tcW w:w="1990"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color w:val="000000" w:themeColor="text1"/>
                      <w:szCs w:val="21"/>
                    </w:rPr>
                  </w:pPr>
                  <w:r>
                    <w:rPr>
                      <w:rFonts w:hint="eastAsia"/>
                      <w:color w:val="000000" w:themeColor="text1"/>
                    </w:rPr>
                    <w:t>不合格及纠正措施及趋势</w:t>
                  </w:r>
                </w:p>
              </w:tc>
              <w:tc>
                <w:tcPr>
                  <w:tcW w:w="1990" w:type="dxa"/>
                  <w:vAlign w:val="center"/>
                </w:tcPr>
                <w:p>
                  <w:pPr>
                    <w:widowControl/>
                    <w:spacing w:before="40"/>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无质量投诉，内审不符合项已整改完成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rPr>
                  </w:pPr>
                  <w:r>
                    <w:rPr>
                      <w:rFonts w:hint="eastAsia"/>
                      <w:color w:val="000000" w:themeColor="text1"/>
                    </w:rPr>
                    <w:t>监视和测量结果及趋势</w:t>
                  </w:r>
                </w:p>
              </w:tc>
              <w:tc>
                <w:tcPr>
                  <w:tcW w:w="1990"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2020年1-8月份目标已完成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rPr>
                  </w:pPr>
                  <w:r>
                    <w:rPr>
                      <w:rFonts w:hint="eastAsia"/>
                      <w:color w:val="000000" w:themeColor="text1"/>
                    </w:rPr>
                    <w:t>内审、外部审核结果及趋势</w:t>
                  </w:r>
                </w:p>
              </w:tc>
              <w:tc>
                <w:tcPr>
                  <w:tcW w:w="1990"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color w:val="000000" w:themeColor="text1"/>
                      <w:szCs w:val="21"/>
                    </w:rPr>
                  </w:pPr>
                  <w:r>
                    <w:rPr>
                      <w:rFonts w:hint="eastAsia"/>
                      <w:color w:val="000000" w:themeColor="text1"/>
                    </w:rPr>
                    <w:t>外部供方的绩效及趋势</w:t>
                  </w:r>
                </w:p>
              </w:tc>
              <w:tc>
                <w:tcPr>
                  <w:tcW w:w="1990" w:type="dxa"/>
                  <w:vAlign w:val="center"/>
                </w:tcPr>
                <w:p>
                  <w:pPr>
                    <w:widowControl/>
                    <w:spacing w:before="40"/>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进行供应商评价，合格供方未变更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37" w:type="dxa"/>
                </w:tcPr>
                <w:p>
                  <w:pPr>
                    <w:widowControl/>
                    <w:spacing w:before="40"/>
                    <w:jc w:val="left"/>
                    <w:rPr>
                      <w:color w:val="000000" w:themeColor="text1"/>
                      <w:szCs w:val="21"/>
                    </w:rPr>
                  </w:pPr>
                  <w:r>
                    <w:rPr>
                      <w:rFonts w:hint="eastAsia"/>
                      <w:color w:val="000000" w:themeColor="text1"/>
                    </w:rPr>
                    <w:t>资源的充分性；</w:t>
                  </w:r>
                </w:p>
              </w:tc>
              <w:tc>
                <w:tcPr>
                  <w:tcW w:w="1990"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szCs w:val="21"/>
                    </w:rPr>
                  </w:pPr>
                  <w:r>
                    <w:rPr>
                      <w:rFonts w:hint="eastAsia"/>
                      <w:color w:val="000000" w:themeColor="text1"/>
                    </w:rPr>
                    <w:t>应对风险和机遇所采取措施的有效性</w:t>
                  </w:r>
                </w:p>
              </w:tc>
              <w:tc>
                <w:tcPr>
                  <w:tcW w:w="1990"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themeColor="text1"/>
                    </w:rPr>
                  </w:pPr>
                  <w:r>
                    <w:rPr>
                      <w:rFonts w:hint="eastAsia"/>
                      <w:color w:val="000000" w:themeColor="text1"/>
                    </w:rPr>
                    <w:t>改进的机会</w:t>
                  </w:r>
                </w:p>
              </w:tc>
              <w:tc>
                <w:tcPr>
                  <w:tcW w:w="1990" w:type="dxa"/>
                </w:tcPr>
                <w:p>
                  <w:pPr>
                    <w:widowControl/>
                    <w:spacing w:before="40"/>
                    <w:jc w:val="left"/>
                    <w:rPr>
                      <w:color w:val="000000" w:themeColor="text1"/>
                      <w:szCs w:val="21"/>
                    </w:rPr>
                  </w:pPr>
                  <w:r>
                    <w:rPr>
                      <w:rFonts w:hint="eastAsia" w:ascii="MS Mincho" w:hAnsi="MS Mincho" w:eastAsia="MS Mincho" w:cs="MS Mincho"/>
                      <w:color w:val="000000" w:themeColor="text1"/>
                      <w:szCs w:val="21"/>
                    </w:rPr>
                    <w:t>☑</w:t>
                  </w:r>
                  <w:r>
                    <w:rPr>
                      <w:rFonts w:hint="eastAsia" w:ascii="宋体" w:hAnsi="宋体" w:cs="宋体"/>
                      <w:color w:val="000000" w:themeColor="text1"/>
                      <w:szCs w:val="21"/>
                    </w:rPr>
                    <w:t>符合</w:t>
                  </w:r>
                  <w:r>
                    <w:rPr>
                      <w:rFonts w:hint="eastAsia"/>
                      <w:color w:val="000000" w:themeColor="text1"/>
                      <w:szCs w:val="21"/>
                    </w:rPr>
                    <w:t xml:space="preserve"> □不符合</w:t>
                  </w:r>
                </w:p>
              </w:tc>
              <w:tc>
                <w:tcPr>
                  <w:tcW w:w="2816" w:type="dxa"/>
                </w:tcPr>
                <w:p>
                  <w:pPr>
                    <w:widowControl/>
                    <w:spacing w:before="40"/>
                    <w:jc w:val="left"/>
                    <w:rPr>
                      <w:color w:val="000000" w:themeColor="text1"/>
                      <w:szCs w:val="21"/>
                    </w:rPr>
                  </w:pPr>
                  <w:r>
                    <w:rPr>
                      <w:rFonts w:hint="eastAsia"/>
                      <w:color w:val="000000" w:themeColor="text1"/>
                      <w:szCs w:val="21"/>
                    </w:rPr>
                    <w:t>招聘和培训需求</w:t>
                  </w:r>
                </w:p>
              </w:tc>
            </w:tr>
          </w:tbl>
          <w:p>
            <w:pPr>
              <w:widowControl/>
              <w:spacing w:before="40"/>
              <w:jc w:val="left"/>
              <w:rPr>
                <w:color w:val="000000" w:themeColor="text1"/>
                <w:szCs w:val="21"/>
                <w:highlight w:val="cyan"/>
              </w:rPr>
            </w:pPr>
          </w:p>
          <w:tbl>
            <w:tblPr>
              <w:tblStyle w:val="7"/>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82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pPr>
                    <w:widowControl/>
                    <w:spacing w:before="40"/>
                    <w:jc w:val="center"/>
                    <w:rPr>
                      <w:color w:val="000000" w:themeColor="text1"/>
                      <w:szCs w:val="21"/>
                    </w:rPr>
                  </w:pPr>
                  <w:r>
                    <w:rPr>
                      <w:rFonts w:hint="eastAsia"/>
                      <w:color w:val="000000" w:themeColor="text1"/>
                      <w:szCs w:val="18"/>
                    </w:rPr>
                    <w:t>管理评审输出信息</w:t>
                  </w:r>
                </w:p>
              </w:tc>
              <w:tc>
                <w:tcPr>
                  <w:tcW w:w="3827" w:type="dxa"/>
                  <w:vAlign w:val="center"/>
                </w:tcPr>
                <w:p>
                  <w:pPr>
                    <w:widowControl/>
                    <w:spacing w:before="40"/>
                    <w:jc w:val="center"/>
                    <w:rPr>
                      <w:color w:val="000000" w:themeColor="text1"/>
                      <w:szCs w:val="21"/>
                    </w:rPr>
                  </w:pPr>
                  <w:r>
                    <w:rPr>
                      <w:rFonts w:hint="eastAsia"/>
                      <w:color w:val="000000" w:themeColor="text1"/>
                      <w:szCs w:val="21"/>
                    </w:rPr>
                    <w:t>措施描述（</w:t>
                  </w:r>
                  <w:r>
                    <w:rPr>
                      <w:rFonts w:hint="eastAsia"/>
                      <w:b/>
                      <w:bCs/>
                      <w:color w:val="000000" w:themeColor="text1"/>
                      <w:szCs w:val="21"/>
                    </w:rPr>
                    <w:t>举例</w:t>
                  </w:r>
                  <w:r>
                    <w:rPr>
                      <w:rFonts w:hint="eastAsia"/>
                      <w:color w:val="000000" w:themeColor="text1"/>
                      <w:szCs w:val="21"/>
                    </w:rPr>
                    <w:t>）</w:t>
                  </w:r>
                </w:p>
              </w:tc>
              <w:tc>
                <w:tcPr>
                  <w:tcW w:w="2552" w:type="dxa"/>
                  <w:vAlign w:val="center"/>
                </w:tcPr>
                <w:p>
                  <w:pPr>
                    <w:widowControl/>
                    <w:spacing w:before="40"/>
                    <w:jc w:val="center"/>
                    <w:rPr>
                      <w:color w:val="000000" w:themeColor="text1"/>
                      <w:szCs w:val="21"/>
                    </w:rPr>
                  </w:pPr>
                  <w:r>
                    <w:rPr>
                      <w:rFonts w:hint="eastAsia"/>
                      <w:color w:val="000000" w:themeColor="text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pPr>
                    <w:widowControl/>
                    <w:spacing w:before="40"/>
                    <w:rPr>
                      <w:color w:val="000000" w:themeColor="text1"/>
                      <w:szCs w:val="21"/>
                    </w:rPr>
                  </w:pPr>
                  <w:r>
                    <w:rPr>
                      <w:rFonts w:hint="eastAsia"/>
                      <w:color w:val="000000" w:themeColor="text1"/>
                    </w:rPr>
                    <w:t>改进的机会</w:t>
                  </w:r>
                </w:p>
              </w:tc>
              <w:tc>
                <w:tcPr>
                  <w:tcW w:w="3827" w:type="dxa"/>
                  <w:vAlign w:val="center"/>
                </w:tcPr>
                <w:p>
                  <w:pPr>
                    <w:widowControl/>
                    <w:spacing w:before="40"/>
                    <w:rPr>
                      <w:rFonts w:eastAsia="仿宋_GB2312"/>
                      <w:color w:val="000000" w:themeColor="text1"/>
                      <w:szCs w:val="21"/>
                    </w:rPr>
                  </w:pPr>
                  <w:r>
                    <w:rPr>
                      <w:rFonts w:hint="eastAsia" w:ascii="宋体" w:hAnsi="宋体" w:cs="Arial"/>
                      <w:color w:val="000000" w:themeColor="text1"/>
                      <w:szCs w:val="21"/>
                    </w:rPr>
                    <w:t>加强生产及检验工作</w:t>
                  </w:r>
                </w:p>
              </w:tc>
              <w:tc>
                <w:tcPr>
                  <w:tcW w:w="2552" w:type="dxa"/>
                  <w:vAlign w:val="center"/>
                </w:tcPr>
                <w:p>
                  <w:pPr>
                    <w:widowControl/>
                    <w:spacing w:before="40"/>
                    <w:rPr>
                      <w:color w:val="000000" w:themeColor="text1"/>
                      <w:szCs w:val="21"/>
                    </w:rPr>
                  </w:pPr>
                  <w:r>
                    <w:rPr>
                      <w:rFonts w:hint="eastAsia" w:ascii="MS Mincho" w:hAnsi="MS Mincho" w:eastAsia="MS Mincho" w:cs="MS Mincho"/>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vAlign w:val="center"/>
                </w:tcPr>
                <w:p>
                  <w:pPr>
                    <w:widowControl/>
                    <w:spacing w:before="40"/>
                    <w:rPr>
                      <w:color w:val="000000" w:themeColor="text1"/>
                      <w:szCs w:val="21"/>
                    </w:rPr>
                  </w:pPr>
                  <w:r>
                    <w:rPr>
                      <w:rFonts w:hint="eastAsia"/>
                      <w:color w:val="000000" w:themeColor="text1"/>
                    </w:rPr>
                    <w:t>质量环境管理体系所需的变更</w:t>
                  </w:r>
                </w:p>
              </w:tc>
              <w:tc>
                <w:tcPr>
                  <w:tcW w:w="3827" w:type="dxa"/>
                  <w:vAlign w:val="center"/>
                </w:tcPr>
                <w:p>
                  <w:pPr>
                    <w:widowControl/>
                    <w:spacing w:before="40"/>
                    <w:rPr>
                      <w:color w:val="000000" w:themeColor="text1"/>
                      <w:szCs w:val="21"/>
                    </w:rPr>
                  </w:pPr>
                  <w:r>
                    <w:rPr>
                      <w:rFonts w:hint="eastAsia" w:ascii="宋体" w:hAnsi="宋体" w:cs="Arial"/>
                      <w:color w:val="000000" w:themeColor="text1"/>
                      <w:szCs w:val="21"/>
                    </w:rPr>
                    <w:t>增加培训计划</w:t>
                  </w:r>
                </w:p>
              </w:tc>
              <w:tc>
                <w:tcPr>
                  <w:tcW w:w="2552" w:type="dxa"/>
                  <w:vAlign w:val="center"/>
                </w:tcPr>
                <w:p>
                  <w:pPr>
                    <w:widowControl/>
                    <w:spacing w:before="40"/>
                    <w:rPr>
                      <w:color w:val="000000" w:themeColor="text1"/>
                      <w:szCs w:val="21"/>
                    </w:rPr>
                  </w:pPr>
                  <w:r>
                    <w:rPr>
                      <w:rFonts w:hint="eastAsia" w:ascii="MS Mincho" w:hAnsi="MS Mincho" w:eastAsia="MS Mincho" w:cs="MS Mincho"/>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rPr>
                    <w:t>已部分落实</w:t>
                  </w:r>
                </w:p>
              </w:tc>
            </w:tr>
          </w:tbl>
          <w:p>
            <w:pPr>
              <w:rPr>
                <w:color w:val="000000" w:themeColor="text1"/>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25" w:type="dxa"/>
            <w:vMerge w:val="restart"/>
          </w:tcPr>
          <w:p>
            <w:r>
              <w:rPr>
                <w:rFonts w:hint="eastAsia"/>
              </w:rPr>
              <w:t>Q10.1 E10.1</w:t>
            </w:r>
          </w:p>
        </w:tc>
        <w:tc>
          <w:tcPr>
            <w:tcW w:w="780" w:type="dxa"/>
          </w:tcPr>
          <w:p>
            <w:r>
              <w:rPr>
                <w:rFonts w:hint="eastAsia"/>
              </w:rPr>
              <w:t>文件名称</w:t>
            </w:r>
          </w:p>
        </w:tc>
        <w:tc>
          <w:tcPr>
            <w:tcW w:w="9259" w:type="dxa"/>
            <w:vAlign w:val="center"/>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color w:val="000000" w:themeColor="text1"/>
              </w:rPr>
            </w:pPr>
            <w:r>
              <w:rPr>
                <w:rFonts w:hint="eastAsia"/>
                <w:color w:val="000000" w:themeColor="text1"/>
              </w:rPr>
              <w:t xml:space="preserve">组织确定和选择了改进机会，并采取必要措施，以满足顾客要求和增强顾客满意。 </w:t>
            </w:r>
          </w:p>
          <w:p>
            <w:pPr>
              <w:rPr>
                <w:color w:val="000000" w:themeColor="text1"/>
              </w:rPr>
            </w:pPr>
            <w:r>
              <w:rPr>
                <w:rFonts w:hint="eastAsia"/>
                <w:color w:val="000000" w:themeColor="text1"/>
              </w:rPr>
              <w:t xml:space="preserve">这包括： </w:t>
            </w:r>
          </w:p>
          <w:p>
            <w:pPr>
              <w:rPr>
                <w:color w:val="000000" w:themeColor="text1"/>
              </w:rPr>
            </w:pPr>
            <w:r>
              <w:rPr>
                <w:rFonts w:hint="eastAsia"/>
                <w:color w:val="000000" w:themeColor="text1"/>
              </w:rPr>
              <w:sym w:font="Wingdings" w:char="00FE"/>
            </w:r>
            <w:r>
              <w:rPr>
                <w:rFonts w:hint="eastAsia"/>
                <w:color w:val="000000" w:themeColor="text1"/>
              </w:rPr>
              <w:t xml:space="preserve">改进产品和服务，以满足要求并应对未来的需求和期望； </w:t>
            </w:r>
          </w:p>
          <w:p>
            <w:pPr>
              <w:rPr>
                <w:color w:val="000000" w:themeColor="text1"/>
              </w:rPr>
            </w:pPr>
            <w:r>
              <w:rPr>
                <w:rFonts w:hint="eastAsia"/>
                <w:color w:val="000000" w:themeColor="text1"/>
              </w:rPr>
              <w:sym w:font="Wingdings" w:char="00FE"/>
            </w:r>
            <w:r>
              <w:rPr>
                <w:rFonts w:hint="eastAsia"/>
                <w:color w:val="000000" w:themeColor="text1"/>
              </w:rPr>
              <w:t xml:space="preserve">纠正、预防或减少不利影响； </w:t>
            </w:r>
          </w:p>
          <w:p>
            <w:pPr>
              <w:rPr>
                <w:color w:val="000000" w:themeColor="text1"/>
              </w:rPr>
            </w:pPr>
            <w:r>
              <w:rPr>
                <w:rFonts w:hint="eastAsia"/>
                <w:color w:val="000000" w:themeColor="text1"/>
              </w:rPr>
              <w:sym w:font="Wingdings" w:char="00FE"/>
            </w:r>
            <w:r>
              <w:rPr>
                <w:rFonts w:hint="eastAsia"/>
                <w:color w:val="000000" w:themeColor="text1"/>
              </w:rPr>
              <w:t xml:space="preserve">改进质量管理体系的绩效和有效性。 </w:t>
            </w:r>
          </w:p>
          <w:p>
            <w:pPr>
              <w:rPr>
                <w:color w:val="000000" w:themeColor="text1"/>
              </w:rPr>
            </w:pPr>
          </w:p>
          <w:p>
            <w:pPr>
              <w:rPr>
                <w:color w:val="000000" w:themeColor="text1"/>
              </w:rPr>
            </w:pPr>
            <w:r>
              <w:rPr>
                <w:rFonts w:hint="eastAsia"/>
                <w:color w:val="000000" w:themeColor="text1"/>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tc>
        <w:tc>
          <w:tcPr>
            <w:tcW w:w="925" w:type="dxa"/>
            <w:vMerge w:val="restart"/>
          </w:tcPr>
          <w:p>
            <w:r>
              <w:rPr>
                <w:rFonts w:hint="eastAsia"/>
              </w:rPr>
              <w:t>Q10.3 E10.3</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FE"/>
            </w:r>
            <w:r>
              <w:rPr>
                <w:rFonts w:hint="eastAsia"/>
              </w:rPr>
              <w:t xml:space="preserve"> 管理评审改进措施已落实</w:t>
            </w:r>
          </w:p>
          <w:p>
            <w:r>
              <w:rPr>
                <w:rFonts w:hint="eastAsia"/>
              </w:rPr>
              <w:sym w:font="Wingdings" w:char="00A8"/>
            </w:r>
            <w:r>
              <w:rPr>
                <w:rFonts w:hint="eastAsia"/>
              </w:rPr>
              <w:t xml:space="preserve"> 管理评审改进措施未落实的原因：</w:t>
            </w:r>
            <w:r>
              <w:rPr>
                <w:rFonts w:hint="eastAsia"/>
                <w:u w:val="single"/>
              </w:rPr>
              <w:t xml:space="preserve">                              </w:t>
            </w:r>
          </w:p>
        </w:tc>
        <w:tc>
          <w:tcPr>
            <w:tcW w:w="1585" w:type="dxa"/>
            <w:vMerge w:val="continue"/>
          </w:tc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6978"/>
    <w:rsid w:val="00016398"/>
    <w:rsid w:val="000237F6"/>
    <w:rsid w:val="000300C9"/>
    <w:rsid w:val="00030DC7"/>
    <w:rsid w:val="0003373A"/>
    <w:rsid w:val="000400E2"/>
    <w:rsid w:val="00062E46"/>
    <w:rsid w:val="00062EA0"/>
    <w:rsid w:val="000701E9"/>
    <w:rsid w:val="00085B5D"/>
    <w:rsid w:val="000917D9"/>
    <w:rsid w:val="00095792"/>
    <w:rsid w:val="00096C8B"/>
    <w:rsid w:val="00097AFB"/>
    <w:rsid w:val="000A55DA"/>
    <w:rsid w:val="000B7415"/>
    <w:rsid w:val="000E021B"/>
    <w:rsid w:val="000E6B21"/>
    <w:rsid w:val="000E7D77"/>
    <w:rsid w:val="000F1201"/>
    <w:rsid w:val="000F353D"/>
    <w:rsid w:val="000F60B5"/>
    <w:rsid w:val="00104228"/>
    <w:rsid w:val="0011412D"/>
    <w:rsid w:val="00116B7D"/>
    <w:rsid w:val="00117340"/>
    <w:rsid w:val="00125D6D"/>
    <w:rsid w:val="0014788D"/>
    <w:rsid w:val="001770E9"/>
    <w:rsid w:val="00182869"/>
    <w:rsid w:val="00185A6B"/>
    <w:rsid w:val="00196FD1"/>
    <w:rsid w:val="001A2D7F"/>
    <w:rsid w:val="001A6ACF"/>
    <w:rsid w:val="001B52AF"/>
    <w:rsid w:val="001B56CB"/>
    <w:rsid w:val="001C25E3"/>
    <w:rsid w:val="001C6B17"/>
    <w:rsid w:val="001D7490"/>
    <w:rsid w:val="001E1E17"/>
    <w:rsid w:val="002052D4"/>
    <w:rsid w:val="0023409C"/>
    <w:rsid w:val="00235E6B"/>
    <w:rsid w:val="00237A5E"/>
    <w:rsid w:val="002424C3"/>
    <w:rsid w:val="00243E1F"/>
    <w:rsid w:val="002443C8"/>
    <w:rsid w:val="00251074"/>
    <w:rsid w:val="00254DA1"/>
    <w:rsid w:val="002561EF"/>
    <w:rsid w:val="00264631"/>
    <w:rsid w:val="0027531E"/>
    <w:rsid w:val="00275CC5"/>
    <w:rsid w:val="00276FDA"/>
    <w:rsid w:val="00286AC2"/>
    <w:rsid w:val="002939AD"/>
    <w:rsid w:val="002961A4"/>
    <w:rsid w:val="0029798A"/>
    <w:rsid w:val="002A6DB3"/>
    <w:rsid w:val="002A7C2A"/>
    <w:rsid w:val="002B5153"/>
    <w:rsid w:val="002C1372"/>
    <w:rsid w:val="002D60C9"/>
    <w:rsid w:val="002F5B98"/>
    <w:rsid w:val="00301B6E"/>
    <w:rsid w:val="0030515C"/>
    <w:rsid w:val="00312C8F"/>
    <w:rsid w:val="00314AF6"/>
    <w:rsid w:val="00330842"/>
    <w:rsid w:val="00335B02"/>
    <w:rsid w:val="003368E3"/>
    <w:rsid w:val="00337922"/>
    <w:rsid w:val="00340867"/>
    <w:rsid w:val="00340FB7"/>
    <w:rsid w:val="0034209B"/>
    <w:rsid w:val="0034330B"/>
    <w:rsid w:val="00356EF8"/>
    <w:rsid w:val="003605DB"/>
    <w:rsid w:val="00364E73"/>
    <w:rsid w:val="00371D6C"/>
    <w:rsid w:val="00380837"/>
    <w:rsid w:val="00382665"/>
    <w:rsid w:val="00391235"/>
    <w:rsid w:val="0039248A"/>
    <w:rsid w:val="00394F57"/>
    <w:rsid w:val="003A198A"/>
    <w:rsid w:val="003B51B5"/>
    <w:rsid w:val="003B60F5"/>
    <w:rsid w:val="003C5831"/>
    <w:rsid w:val="003E67D5"/>
    <w:rsid w:val="003F734A"/>
    <w:rsid w:val="004022AC"/>
    <w:rsid w:val="00402D26"/>
    <w:rsid w:val="00410914"/>
    <w:rsid w:val="0041387D"/>
    <w:rsid w:val="00416B42"/>
    <w:rsid w:val="004217F4"/>
    <w:rsid w:val="004220B0"/>
    <w:rsid w:val="00426576"/>
    <w:rsid w:val="004277AF"/>
    <w:rsid w:val="00427C38"/>
    <w:rsid w:val="004338C2"/>
    <w:rsid w:val="0043625E"/>
    <w:rsid w:val="00436462"/>
    <w:rsid w:val="0044148B"/>
    <w:rsid w:val="00444DC1"/>
    <w:rsid w:val="00453567"/>
    <w:rsid w:val="00461103"/>
    <w:rsid w:val="00466E86"/>
    <w:rsid w:val="0048177A"/>
    <w:rsid w:val="0048201E"/>
    <w:rsid w:val="00484CA5"/>
    <w:rsid w:val="004A0AD1"/>
    <w:rsid w:val="004A2908"/>
    <w:rsid w:val="004A744E"/>
    <w:rsid w:val="004B41C5"/>
    <w:rsid w:val="004C6D72"/>
    <w:rsid w:val="004D5700"/>
    <w:rsid w:val="004D572F"/>
    <w:rsid w:val="004D74B8"/>
    <w:rsid w:val="004F1979"/>
    <w:rsid w:val="0050731B"/>
    <w:rsid w:val="00513350"/>
    <w:rsid w:val="0051351D"/>
    <w:rsid w:val="00517B7A"/>
    <w:rsid w:val="00531BE3"/>
    <w:rsid w:val="00536930"/>
    <w:rsid w:val="00550B6F"/>
    <w:rsid w:val="00552F58"/>
    <w:rsid w:val="00552FDC"/>
    <w:rsid w:val="00556785"/>
    <w:rsid w:val="005637CB"/>
    <w:rsid w:val="00564E53"/>
    <w:rsid w:val="00567484"/>
    <w:rsid w:val="00571E3E"/>
    <w:rsid w:val="00572894"/>
    <w:rsid w:val="00574939"/>
    <w:rsid w:val="005809BC"/>
    <w:rsid w:val="00581B92"/>
    <w:rsid w:val="00584F6D"/>
    <w:rsid w:val="00585D91"/>
    <w:rsid w:val="00586312"/>
    <w:rsid w:val="00596A7C"/>
    <w:rsid w:val="005D096A"/>
    <w:rsid w:val="005D30F4"/>
    <w:rsid w:val="005D5659"/>
    <w:rsid w:val="005D7DFC"/>
    <w:rsid w:val="005F0B47"/>
    <w:rsid w:val="005F6054"/>
    <w:rsid w:val="00600C20"/>
    <w:rsid w:val="00605073"/>
    <w:rsid w:val="00607E08"/>
    <w:rsid w:val="00610CE7"/>
    <w:rsid w:val="00613D1E"/>
    <w:rsid w:val="0062226C"/>
    <w:rsid w:val="0062339D"/>
    <w:rsid w:val="0062798E"/>
    <w:rsid w:val="00635FC7"/>
    <w:rsid w:val="00644FE2"/>
    <w:rsid w:val="006450EC"/>
    <w:rsid w:val="0064567B"/>
    <w:rsid w:val="00663BF1"/>
    <w:rsid w:val="006752A0"/>
    <w:rsid w:val="0067640C"/>
    <w:rsid w:val="00681734"/>
    <w:rsid w:val="006B3EFB"/>
    <w:rsid w:val="006B759D"/>
    <w:rsid w:val="006C4F65"/>
    <w:rsid w:val="006D66D7"/>
    <w:rsid w:val="006D7DC2"/>
    <w:rsid w:val="006E5586"/>
    <w:rsid w:val="006E678B"/>
    <w:rsid w:val="006E7B1D"/>
    <w:rsid w:val="006F2E79"/>
    <w:rsid w:val="006F4492"/>
    <w:rsid w:val="00703707"/>
    <w:rsid w:val="0071034F"/>
    <w:rsid w:val="00732F34"/>
    <w:rsid w:val="007348A3"/>
    <w:rsid w:val="00734F75"/>
    <w:rsid w:val="007552E3"/>
    <w:rsid w:val="00757CF7"/>
    <w:rsid w:val="00762DB5"/>
    <w:rsid w:val="007757F3"/>
    <w:rsid w:val="00776DA6"/>
    <w:rsid w:val="00782EFF"/>
    <w:rsid w:val="00792035"/>
    <w:rsid w:val="007A1943"/>
    <w:rsid w:val="007A25DB"/>
    <w:rsid w:val="007B5390"/>
    <w:rsid w:val="007B6AA1"/>
    <w:rsid w:val="007C1B48"/>
    <w:rsid w:val="007C6DAF"/>
    <w:rsid w:val="007D202F"/>
    <w:rsid w:val="007D6115"/>
    <w:rsid w:val="007E3B15"/>
    <w:rsid w:val="007E3C9D"/>
    <w:rsid w:val="007E6AEB"/>
    <w:rsid w:val="007F3EFB"/>
    <w:rsid w:val="008044CF"/>
    <w:rsid w:val="00806B87"/>
    <w:rsid w:val="00807E43"/>
    <w:rsid w:val="008106F7"/>
    <w:rsid w:val="008161D4"/>
    <w:rsid w:val="00826875"/>
    <w:rsid w:val="00831EAC"/>
    <w:rsid w:val="0083378C"/>
    <w:rsid w:val="0084588F"/>
    <w:rsid w:val="00860193"/>
    <w:rsid w:val="00865758"/>
    <w:rsid w:val="0087009C"/>
    <w:rsid w:val="00891AC2"/>
    <w:rsid w:val="00891B8B"/>
    <w:rsid w:val="008973EE"/>
    <w:rsid w:val="008A1DBB"/>
    <w:rsid w:val="008B2A14"/>
    <w:rsid w:val="008C3688"/>
    <w:rsid w:val="008C61FF"/>
    <w:rsid w:val="008E0075"/>
    <w:rsid w:val="008E01A3"/>
    <w:rsid w:val="008E7207"/>
    <w:rsid w:val="008F6C49"/>
    <w:rsid w:val="0091173F"/>
    <w:rsid w:val="00912B33"/>
    <w:rsid w:val="0091458F"/>
    <w:rsid w:val="00916D3F"/>
    <w:rsid w:val="00922C65"/>
    <w:rsid w:val="00947E2B"/>
    <w:rsid w:val="009518A4"/>
    <w:rsid w:val="0096122F"/>
    <w:rsid w:val="00971600"/>
    <w:rsid w:val="00975AB7"/>
    <w:rsid w:val="00987E37"/>
    <w:rsid w:val="009917FA"/>
    <w:rsid w:val="00992186"/>
    <w:rsid w:val="00994A4B"/>
    <w:rsid w:val="009973B4"/>
    <w:rsid w:val="009A0838"/>
    <w:rsid w:val="009C28C1"/>
    <w:rsid w:val="009E09E5"/>
    <w:rsid w:val="009E5B4F"/>
    <w:rsid w:val="009F6505"/>
    <w:rsid w:val="009F7790"/>
    <w:rsid w:val="009F7EED"/>
    <w:rsid w:val="00A05E92"/>
    <w:rsid w:val="00A25A7F"/>
    <w:rsid w:val="00A30B88"/>
    <w:rsid w:val="00A35A52"/>
    <w:rsid w:val="00A40A48"/>
    <w:rsid w:val="00A46531"/>
    <w:rsid w:val="00A46B4F"/>
    <w:rsid w:val="00A51DD5"/>
    <w:rsid w:val="00A522CA"/>
    <w:rsid w:val="00A7502C"/>
    <w:rsid w:val="00A753C3"/>
    <w:rsid w:val="00A77667"/>
    <w:rsid w:val="00A80636"/>
    <w:rsid w:val="00A911D6"/>
    <w:rsid w:val="00A94926"/>
    <w:rsid w:val="00AC13AD"/>
    <w:rsid w:val="00AC6FF3"/>
    <w:rsid w:val="00AE3774"/>
    <w:rsid w:val="00AF0AAB"/>
    <w:rsid w:val="00AF0EB3"/>
    <w:rsid w:val="00AF24E9"/>
    <w:rsid w:val="00AF53DD"/>
    <w:rsid w:val="00B0072B"/>
    <w:rsid w:val="00B05485"/>
    <w:rsid w:val="00B06DB0"/>
    <w:rsid w:val="00B12D57"/>
    <w:rsid w:val="00B203A9"/>
    <w:rsid w:val="00B24498"/>
    <w:rsid w:val="00B24A37"/>
    <w:rsid w:val="00B330B0"/>
    <w:rsid w:val="00B351D2"/>
    <w:rsid w:val="00B36044"/>
    <w:rsid w:val="00B3687F"/>
    <w:rsid w:val="00B37D03"/>
    <w:rsid w:val="00B41730"/>
    <w:rsid w:val="00B47B3A"/>
    <w:rsid w:val="00B5428E"/>
    <w:rsid w:val="00B564CD"/>
    <w:rsid w:val="00B5689A"/>
    <w:rsid w:val="00B652F5"/>
    <w:rsid w:val="00B7197E"/>
    <w:rsid w:val="00B7322E"/>
    <w:rsid w:val="00B770E5"/>
    <w:rsid w:val="00B96D4C"/>
    <w:rsid w:val="00BB2323"/>
    <w:rsid w:val="00BB4E9A"/>
    <w:rsid w:val="00BD0E27"/>
    <w:rsid w:val="00BD23BD"/>
    <w:rsid w:val="00BD262C"/>
    <w:rsid w:val="00BD6EC4"/>
    <w:rsid w:val="00BD7590"/>
    <w:rsid w:val="00BD7B89"/>
    <w:rsid w:val="00BE1F11"/>
    <w:rsid w:val="00BE588B"/>
    <w:rsid w:val="00BE6F5D"/>
    <w:rsid w:val="00BF1D65"/>
    <w:rsid w:val="00BF597E"/>
    <w:rsid w:val="00C00110"/>
    <w:rsid w:val="00C017CA"/>
    <w:rsid w:val="00C01F02"/>
    <w:rsid w:val="00C31D3B"/>
    <w:rsid w:val="00C35D6F"/>
    <w:rsid w:val="00C426DC"/>
    <w:rsid w:val="00C44528"/>
    <w:rsid w:val="00C47011"/>
    <w:rsid w:val="00C51A36"/>
    <w:rsid w:val="00C55228"/>
    <w:rsid w:val="00C603D5"/>
    <w:rsid w:val="00C63768"/>
    <w:rsid w:val="00C63C2F"/>
    <w:rsid w:val="00C7408F"/>
    <w:rsid w:val="00C740CF"/>
    <w:rsid w:val="00C75A27"/>
    <w:rsid w:val="00C908C7"/>
    <w:rsid w:val="00C92F3C"/>
    <w:rsid w:val="00C970F9"/>
    <w:rsid w:val="00CA778A"/>
    <w:rsid w:val="00CB6E76"/>
    <w:rsid w:val="00CC0DEC"/>
    <w:rsid w:val="00CE315A"/>
    <w:rsid w:val="00CE3D95"/>
    <w:rsid w:val="00CE6315"/>
    <w:rsid w:val="00CE6E3A"/>
    <w:rsid w:val="00CF2085"/>
    <w:rsid w:val="00D0627A"/>
    <w:rsid w:val="00D06F59"/>
    <w:rsid w:val="00D151C1"/>
    <w:rsid w:val="00D2392F"/>
    <w:rsid w:val="00D30ADC"/>
    <w:rsid w:val="00D402C0"/>
    <w:rsid w:val="00D42803"/>
    <w:rsid w:val="00D44755"/>
    <w:rsid w:val="00D51F12"/>
    <w:rsid w:val="00D64642"/>
    <w:rsid w:val="00D80347"/>
    <w:rsid w:val="00D8388C"/>
    <w:rsid w:val="00D861F8"/>
    <w:rsid w:val="00D864F3"/>
    <w:rsid w:val="00D935A2"/>
    <w:rsid w:val="00D9493A"/>
    <w:rsid w:val="00D95170"/>
    <w:rsid w:val="00DA2B21"/>
    <w:rsid w:val="00DA4DC7"/>
    <w:rsid w:val="00DB2454"/>
    <w:rsid w:val="00DB5DC9"/>
    <w:rsid w:val="00DB6857"/>
    <w:rsid w:val="00DC3F24"/>
    <w:rsid w:val="00E11FF8"/>
    <w:rsid w:val="00E22F60"/>
    <w:rsid w:val="00E35343"/>
    <w:rsid w:val="00E43665"/>
    <w:rsid w:val="00E44726"/>
    <w:rsid w:val="00E6224C"/>
    <w:rsid w:val="00E650E6"/>
    <w:rsid w:val="00E90200"/>
    <w:rsid w:val="00EB0164"/>
    <w:rsid w:val="00EB3D96"/>
    <w:rsid w:val="00EB3E34"/>
    <w:rsid w:val="00EB4464"/>
    <w:rsid w:val="00EB60A2"/>
    <w:rsid w:val="00EB6800"/>
    <w:rsid w:val="00EC7D2B"/>
    <w:rsid w:val="00ED0F62"/>
    <w:rsid w:val="00ED2A8B"/>
    <w:rsid w:val="00ED2F0A"/>
    <w:rsid w:val="00ED5725"/>
    <w:rsid w:val="00ED5ACE"/>
    <w:rsid w:val="00EE0528"/>
    <w:rsid w:val="00EF1A1F"/>
    <w:rsid w:val="00EF3773"/>
    <w:rsid w:val="00EF4CBB"/>
    <w:rsid w:val="00F00D8C"/>
    <w:rsid w:val="00F04BEC"/>
    <w:rsid w:val="00F07885"/>
    <w:rsid w:val="00F17D42"/>
    <w:rsid w:val="00F274B6"/>
    <w:rsid w:val="00F37EF2"/>
    <w:rsid w:val="00F40786"/>
    <w:rsid w:val="00F5025E"/>
    <w:rsid w:val="00F54865"/>
    <w:rsid w:val="00F56411"/>
    <w:rsid w:val="00F56925"/>
    <w:rsid w:val="00F67E4B"/>
    <w:rsid w:val="00F767BE"/>
    <w:rsid w:val="00F8061F"/>
    <w:rsid w:val="00F8119C"/>
    <w:rsid w:val="00F83029"/>
    <w:rsid w:val="00F84EC1"/>
    <w:rsid w:val="00F908F2"/>
    <w:rsid w:val="00F973AF"/>
    <w:rsid w:val="00FA31E4"/>
    <w:rsid w:val="00FB7B90"/>
    <w:rsid w:val="00FC5694"/>
    <w:rsid w:val="00FC6A2F"/>
    <w:rsid w:val="00FE0487"/>
    <w:rsid w:val="00FE1DF0"/>
    <w:rsid w:val="00FE34CA"/>
    <w:rsid w:val="00FE4B70"/>
    <w:rsid w:val="00FF136E"/>
    <w:rsid w:val="00FF7401"/>
    <w:rsid w:val="01260C71"/>
    <w:rsid w:val="01A321D9"/>
    <w:rsid w:val="01E27364"/>
    <w:rsid w:val="01FE18C8"/>
    <w:rsid w:val="02797701"/>
    <w:rsid w:val="02C75A20"/>
    <w:rsid w:val="032F5195"/>
    <w:rsid w:val="03A0688A"/>
    <w:rsid w:val="03A32F8E"/>
    <w:rsid w:val="03AB4A3B"/>
    <w:rsid w:val="03AC3D8E"/>
    <w:rsid w:val="03CE483E"/>
    <w:rsid w:val="03CF54E8"/>
    <w:rsid w:val="0405614C"/>
    <w:rsid w:val="04883DB3"/>
    <w:rsid w:val="04981EC9"/>
    <w:rsid w:val="04B96404"/>
    <w:rsid w:val="050D3D1E"/>
    <w:rsid w:val="056577F0"/>
    <w:rsid w:val="05705C5F"/>
    <w:rsid w:val="057753FF"/>
    <w:rsid w:val="05A05014"/>
    <w:rsid w:val="05B44859"/>
    <w:rsid w:val="05D4332F"/>
    <w:rsid w:val="05F6270F"/>
    <w:rsid w:val="0605101B"/>
    <w:rsid w:val="061B4460"/>
    <w:rsid w:val="063554F0"/>
    <w:rsid w:val="06444A1B"/>
    <w:rsid w:val="06623F73"/>
    <w:rsid w:val="067B702D"/>
    <w:rsid w:val="06994A8D"/>
    <w:rsid w:val="06AA7E97"/>
    <w:rsid w:val="06ED612A"/>
    <w:rsid w:val="07C940AF"/>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887F37"/>
    <w:rsid w:val="0BE64DFF"/>
    <w:rsid w:val="0C5423F7"/>
    <w:rsid w:val="0C8009B8"/>
    <w:rsid w:val="0CC102DA"/>
    <w:rsid w:val="0D181113"/>
    <w:rsid w:val="0D1E4D9B"/>
    <w:rsid w:val="0D270A06"/>
    <w:rsid w:val="0D4D1326"/>
    <w:rsid w:val="0D6A2C36"/>
    <w:rsid w:val="0DB35CC0"/>
    <w:rsid w:val="0E2B1BEA"/>
    <w:rsid w:val="0E385B07"/>
    <w:rsid w:val="0E49595F"/>
    <w:rsid w:val="0EB8524B"/>
    <w:rsid w:val="0F86648B"/>
    <w:rsid w:val="0F9C35C1"/>
    <w:rsid w:val="0FFA42BF"/>
    <w:rsid w:val="10062D9E"/>
    <w:rsid w:val="100B6D7F"/>
    <w:rsid w:val="100D075A"/>
    <w:rsid w:val="10694F8E"/>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9649BD"/>
    <w:rsid w:val="12A2571D"/>
    <w:rsid w:val="12A42EA7"/>
    <w:rsid w:val="12A506D3"/>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05E6F"/>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DC38FC"/>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82F54"/>
    <w:rsid w:val="1DFE02C8"/>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9933AD"/>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4C38F9"/>
    <w:rsid w:val="2BC15569"/>
    <w:rsid w:val="2BD60481"/>
    <w:rsid w:val="2BEA3FA7"/>
    <w:rsid w:val="2C0D0D35"/>
    <w:rsid w:val="2C2E44D4"/>
    <w:rsid w:val="2C6F7203"/>
    <w:rsid w:val="2C7B6C71"/>
    <w:rsid w:val="2D357F0D"/>
    <w:rsid w:val="2D4E604F"/>
    <w:rsid w:val="2D5C2AB0"/>
    <w:rsid w:val="2D7A20E6"/>
    <w:rsid w:val="2DC57805"/>
    <w:rsid w:val="2DDA0493"/>
    <w:rsid w:val="2DDF08DF"/>
    <w:rsid w:val="2DEB576D"/>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0FB5A60"/>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2350CF"/>
    <w:rsid w:val="352C738B"/>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CF4227E"/>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893BED"/>
    <w:rsid w:val="42C77562"/>
    <w:rsid w:val="432A5E11"/>
    <w:rsid w:val="433B1167"/>
    <w:rsid w:val="433E2DC7"/>
    <w:rsid w:val="435F500F"/>
    <w:rsid w:val="43B36C9F"/>
    <w:rsid w:val="43C730CD"/>
    <w:rsid w:val="441D0975"/>
    <w:rsid w:val="44A567F5"/>
    <w:rsid w:val="44CC474B"/>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6B06AB"/>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4C4BCD"/>
    <w:rsid w:val="4CA74E41"/>
    <w:rsid w:val="4CA91B51"/>
    <w:rsid w:val="4CB62537"/>
    <w:rsid w:val="4CD2365B"/>
    <w:rsid w:val="4CFB4E3C"/>
    <w:rsid w:val="4D352804"/>
    <w:rsid w:val="4D791805"/>
    <w:rsid w:val="4D8F2F88"/>
    <w:rsid w:val="4DB86BCB"/>
    <w:rsid w:val="4DD85058"/>
    <w:rsid w:val="4E0166A9"/>
    <w:rsid w:val="4E1551DB"/>
    <w:rsid w:val="4E4338E3"/>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575AF"/>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06254B"/>
    <w:rsid w:val="632045D1"/>
    <w:rsid w:val="6342544F"/>
    <w:rsid w:val="6354414C"/>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BE556C9"/>
    <w:rsid w:val="6C3014BE"/>
    <w:rsid w:val="6C5D414F"/>
    <w:rsid w:val="6C635932"/>
    <w:rsid w:val="6CA324B4"/>
    <w:rsid w:val="6CC44B47"/>
    <w:rsid w:val="6CDE17FD"/>
    <w:rsid w:val="6D1D2C91"/>
    <w:rsid w:val="6D232D3C"/>
    <w:rsid w:val="6D2F5D1E"/>
    <w:rsid w:val="6D792112"/>
    <w:rsid w:val="6E641038"/>
    <w:rsid w:val="6EA72FC2"/>
    <w:rsid w:val="6EBD0EA6"/>
    <w:rsid w:val="6F2F5C01"/>
    <w:rsid w:val="6F435405"/>
    <w:rsid w:val="6F4810D8"/>
    <w:rsid w:val="6F6D2BAA"/>
    <w:rsid w:val="6F9119BB"/>
    <w:rsid w:val="6F9A4A47"/>
    <w:rsid w:val="701710D0"/>
    <w:rsid w:val="70795456"/>
    <w:rsid w:val="709946EC"/>
    <w:rsid w:val="70B256FB"/>
    <w:rsid w:val="72080B1D"/>
    <w:rsid w:val="72226A31"/>
    <w:rsid w:val="72702455"/>
    <w:rsid w:val="728C005B"/>
    <w:rsid w:val="728F2E47"/>
    <w:rsid w:val="72973011"/>
    <w:rsid w:val="72E42D1B"/>
    <w:rsid w:val="734F0911"/>
    <w:rsid w:val="736054C4"/>
    <w:rsid w:val="736C572D"/>
    <w:rsid w:val="73A422EB"/>
    <w:rsid w:val="74103E55"/>
    <w:rsid w:val="745B622A"/>
    <w:rsid w:val="747B078E"/>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6B78D2"/>
    <w:rsid w:val="79826449"/>
    <w:rsid w:val="79D339B9"/>
    <w:rsid w:val="7A200C95"/>
    <w:rsid w:val="7A594332"/>
    <w:rsid w:val="7A8564DB"/>
    <w:rsid w:val="7AC22B97"/>
    <w:rsid w:val="7B190280"/>
    <w:rsid w:val="7B1F77A4"/>
    <w:rsid w:val="7B292799"/>
    <w:rsid w:val="7B7873E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character" w:customStyle="1" w:styleId="14">
    <w:name w:val="纯文本 Char"/>
    <w:link w:val="15"/>
    <w:qFormat/>
    <w:uiPriority w:val="0"/>
    <w:rPr>
      <w:rFonts w:ascii="宋体" w:hAnsi="Courier New" w:cs="Courier New"/>
      <w:kern w:val="2"/>
      <w:sz w:val="21"/>
      <w:szCs w:val="21"/>
    </w:rPr>
  </w:style>
  <w:style w:type="paragraph" w:customStyle="1" w:styleId="15">
    <w:name w:val="纯文本1"/>
    <w:basedOn w:val="1"/>
    <w:link w:val="14"/>
    <w:qFormat/>
    <w:uiPriority w:val="0"/>
    <w:pPr>
      <w:spacing w:line="360" w:lineRule="auto"/>
    </w:pPr>
    <w:rPr>
      <w:rFonts w:ascii="宋体" w:hAnsi="Courier New" w:cs="Courier New" w:eastAsiaTheme="minorEastAsia"/>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3FC19-B524-452C-914D-8FAF4F59D5C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1074</Words>
  <Characters>6127</Characters>
  <Lines>51</Lines>
  <Paragraphs>14</Paragraphs>
  <TotalTime>0</TotalTime>
  <ScaleCrop>false</ScaleCrop>
  <LinksUpToDate>false</LinksUpToDate>
  <CharactersWithSpaces>7187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2020-07-31T15:12:00Z</dcterms:created>
  <dc:creator>微软用户</dc:creator>
  <cp:lastModifiedBy>张磊</cp:lastModifiedBy>
  <dcterms:modified xsi:type="dcterms:W3CDTF">2020-10-24T08:38:00Z</dcterms:modified>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