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sz w:val="20"/>
                <w:lang w:val="en-US" w:eastAsia="zh-CN"/>
              </w:rPr>
              <w:t>陆菊凤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岳树亮</w:t>
            </w:r>
            <w:r>
              <w:rPr>
                <w:rFonts w:hint="eastAsia"/>
                <w:sz w:val="24"/>
                <w:szCs w:val="24"/>
                <w:lang w:eastAsia="zh-CN"/>
              </w:rPr>
              <w:t>（</w:t>
            </w:r>
            <w:r>
              <w:rPr>
                <w:rFonts w:hint="eastAsia"/>
                <w:sz w:val="24"/>
                <w:szCs w:val="24"/>
                <w:lang w:val="en-US" w:eastAsia="zh-CN"/>
              </w:rPr>
              <w:t>远程）</w:t>
            </w:r>
            <w:r>
              <w:rPr>
                <w:rFonts w:hint="eastAsia"/>
                <w:sz w:val="24"/>
                <w:szCs w:val="24"/>
              </w:rPr>
              <w:t xml:space="preserve">     审核日期：2020-</w:t>
            </w:r>
            <w:r>
              <w:rPr>
                <w:rFonts w:hint="eastAsia"/>
                <w:sz w:val="24"/>
                <w:szCs w:val="24"/>
                <w:lang w:val="en-US" w:eastAsia="zh-CN"/>
              </w:rPr>
              <w:t>10</w:t>
            </w:r>
            <w:r>
              <w:rPr>
                <w:rFonts w:hint="eastAsia"/>
                <w:sz w:val="24"/>
                <w:szCs w:val="24"/>
              </w:rPr>
              <w:t>-</w:t>
            </w:r>
            <w:r>
              <w:rPr>
                <w:rFonts w:hint="eastAsia"/>
                <w:sz w:val="24"/>
                <w:szCs w:val="24"/>
                <w:lang w:val="en-US" w:eastAsia="zh-CN"/>
              </w:rPr>
              <w:t>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rPr>
            </w:pPr>
            <w:r>
              <w:rPr>
                <w:rFonts w:hint="eastAsia"/>
              </w:rPr>
              <w:t>审核条款：</w:t>
            </w:r>
          </w:p>
          <w:p>
            <w:pPr>
              <w:rPr>
                <w:rFonts w:hint="default"/>
                <w:szCs w:val="22"/>
                <w:lang w:val="en-US"/>
              </w:rPr>
            </w:pPr>
            <w:r>
              <w:rPr>
                <w:rFonts w:hint="default"/>
                <w:lang w:val="en-US" w:eastAsia="zh-CN"/>
              </w:rPr>
              <w:t>OHS</w:t>
            </w:r>
            <w:r>
              <w:rPr>
                <w:rFonts w:hint="eastAsia"/>
                <w:lang w:val="en-US" w:eastAsia="zh-CN"/>
              </w:rPr>
              <w:t>：</w:t>
            </w:r>
            <w:r>
              <w:rPr>
                <w:rFonts w:hint="default"/>
                <w:lang w:val="en-US"/>
              </w:rPr>
              <w:t>4.1/4.2/4.3/4.4/5.1/5.2/5.3/5.4/6.1</w:t>
            </w:r>
            <w:r>
              <w:rPr>
                <w:rFonts w:hint="eastAsia"/>
                <w:lang w:val="en-US" w:eastAsia="zh-CN"/>
              </w:rPr>
              <w:t>.1/6.1.2/6.1.3/6.1.4/</w:t>
            </w:r>
            <w:r>
              <w:rPr>
                <w:rFonts w:hint="default"/>
                <w:lang w:val="en-US"/>
              </w:rPr>
              <w:t>6.2/7.1/</w:t>
            </w:r>
            <w:r>
              <w:rPr>
                <w:rFonts w:hint="default"/>
                <w:lang w:val="en-US" w:eastAsia="zh-CN"/>
              </w:rPr>
              <w:t>7</w:t>
            </w:r>
            <w:r>
              <w:rPr>
                <w:rFonts w:hint="default"/>
                <w:lang w:val="en-US"/>
              </w:rPr>
              <w:t>.</w:t>
            </w:r>
            <w:r>
              <w:rPr>
                <w:rFonts w:hint="eastAsia"/>
                <w:lang w:val="en-US" w:eastAsia="zh-CN"/>
              </w:rPr>
              <w:t>3/8.1.1/8.1.3/</w:t>
            </w:r>
            <w:r>
              <w:rPr>
                <w:rFonts w:hint="default"/>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tc>
        <w:tc>
          <w:tcPr>
            <w:tcW w:w="960" w:type="dxa"/>
            <w:vMerge w:val="restart"/>
          </w:tcPr>
          <w:p>
            <w:r>
              <w:rPr>
                <w:rFonts w:hint="eastAsia"/>
                <w:lang w:val="en-US" w:eastAsia="zh-CN"/>
              </w:rPr>
              <w:t>O</w:t>
            </w:r>
            <w:r>
              <w:rPr>
                <w:rFonts w:hint="eastAsia"/>
              </w:rPr>
              <w:t>4.1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center"/>
          </w:tcPr>
          <w:p>
            <w:pPr>
              <w:jc w:val="both"/>
              <w:rPr>
                <w:rFonts w:hint="eastAsia" w:eastAsia="宋体"/>
                <w:color w:val="auto"/>
                <w:lang w:val="en-US" w:eastAsia="zh-CN"/>
              </w:rPr>
            </w:pPr>
            <w:r>
              <w:rPr>
                <w:rFonts w:hint="eastAsia"/>
                <w:color w:val="auto"/>
                <w:lang w:val="en-US" w:eastAsia="zh-CN"/>
              </w:rPr>
              <w:t>如：管理手册、</w:t>
            </w:r>
            <w:r>
              <w:rPr>
                <w:rFonts w:hint="eastAsia"/>
                <w:color w:val="auto"/>
                <w:szCs w:val="22"/>
                <w:lang w:val="en-US" w:eastAsia="zh-CN"/>
              </w:rPr>
              <w:t>《危险源辨识和风险控制策划程序》、</w:t>
            </w:r>
            <w:r>
              <w:rPr>
                <w:rFonts w:hint="eastAsia"/>
                <w:color w:val="auto"/>
                <w:lang w:val="en-US" w:eastAsia="zh-CN"/>
              </w:rPr>
              <w:t>《组织内外部环境因素评价和识别表》</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lang w:val="en-US" w:eastAsia="zh-CN"/>
              </w:rPr>
            </w:pPr>
            <w:r>
              <w:rPr>
                <w:rFonts w:hint="eastAsia"/>
                <w:color w:val="auto"/>
                <w:szCs w:val="21"/>
                <w:lang w:val="en-US" w:eastAsia="zh-CN"/>
              </w:rPr>
              <w:t xml:space="preserve"> 与最高管理者沟通：</w:t>
            </w:r>
          </w:p>
          <w:tbl>
            <w:tblPr>
              <w:tblStyle w:val="7"/>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t>□法律法规</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社会环境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6980" w:type="dxa"/>
                  <w:vAlign w:val="center"/>
                </w:tcPr>
                <w:p>
                  <w:pPr>
                    <w:pStyle w:val="10"/>
                    <w:jc w:val="both"/>
                    <w:rPr>
                      <w:rFonts w:hint="default" w:ascii="宋体" w:hAnsi="宋体" w:cs="宋体"/>
                      <w:color w:val="auto"/>
                      <w:lang w:val="en-US" w:eastAsia="zh-CN"/>
                    </w:rPr>
                  </w:pPr>
                  <w:r>
                    <w:rPr>
                      <w:rFonts w:hint="eastAsia"/>
                      <w:color w:val="auto"/>
                    </w:rPr>
                    <w:t>国家、地方</w:t>
                  </w:r>
                  <w:r>
                    <w:rPr>
                      <w:rFonts w:hint="eastAsia"/>
                      <w:color w:val="auto"/>
                      <w:lang w:eastAsia="zh-CN"/>
                    </w:rPr>
                    <w:t>关于</w:t>
                  </w:r>
                  <w:r>
                    <w:rPr>
                      <w:rFonts w:hint="eastAsia"/>
                      <w:color w:val="auto"/>
                      <w:lang w:val="en-US" w:eastAsia="zh-CN"/>
                    </w:rPr>
                    <w:t>质量、</w:t>
                  </w:r>
                  <w:r>
                    <w:rPr>
                      <w:rFonts w:hint="eastAsia"/>
                      <w:color w:val="auto"/>
                    </w:rPr>
                    <w:t>环保</w:t>
                  </w:r>
                  <w:r>
                    <w:rPr>
                      <w:rFonts w:hint="eastAsia"/>
                      <w:color w:val="auto"/>
                      <w:lang w:eastAsia="zh-CN"/>
                    </w:rPr>
                    <w:t>、</w:t>
                  </w:r>
                  <w:r>
                    <w:rPr>
                      <w:rFonts w:hint="eastAsia"/>
                      <w:color w:val="auto"/>
                      <w:lang w:val="en-US" w:eastAsia="zh-CN"/>
                    </w:rPr>
                    <w:t>职业健康安全的</w:t>
                  </w:r>
                  <w:r>
                    <w:rPr>
                      <w:rFonts w:hint="eastAsia"/>
                      <w:color w:val="auto"/>
                    </w:rPr>
                    <w:t>要求</w:t>
                  </w:r>
                  <w:r>
                    <w:rPr>
                      <w:rFonts w:hint="eastAsia"/>
                      <w:color w:val="auto"/>
                      <w:lang w:eastAsia="zh-CN"/>
                    </w:rPr>
                    <w:t>越来越高；公司产品</w:t>
                  </w:r>
                  <w:r>
                    <w:rPr>
                      <w:rFonts w:hint="eastAsia"/>
                      <w:color w:val="auto"/>
                    </w:rPr>
                    <w:t>性能一般，</w:t>
                  </w:r>
                  <w:r>
                    <w:rPr>
                      <w:rFonts w:hint="eastAsia"/>
                      <w:color w:val="auto"/>
                      <w:lang w:eastAsia="zh-CN"/>
                    </w:rPr>
                    <w:t>竞争力</w:t>
                  </w:r>
                  <w:r>
                    <w:rPr>
                      <w:rFonts w:hint="eastAsia"/>
                      <w:color w:val="auto"/>
                    </w:rPr>
                    <w:t>不足</w:t>
                  </w:r>
                  <w:r>
                    <w:rPr>
                      <w:rFonts w:hint="eastAsia"/>
                      <w:color w:val="auto"/>
                      <w:lang w:eastAsia="zh-CN"/>
                    </w:rPr>
                    <w:t>，</w:t>
                  </w:r>
                  <w:r>
                    <w:rPr>
                      <w:rFonts w:hint="eastAsia"/>
                      <w:color w:val="auto"/>
                    </w:rPr>
                    <w:t>市场占有率较低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6980" w:type="dxa"/>
                  <w:vAlign w:val="center"/>
                </w:tcPr>
                <w:p>
                  <w:pPr>
                    <w:jc w:val="both"/>
                    <w:rPr>
                      <w:rFonts w:hint="eastAsia" w:ascii="Times New Roman" w:hAnsi="Times New Roman" w:eastAsia="宋体" w:cs="Times New Roman"/>
                      <w:color w:val="auto"/>
                      <w:kern w:val="2"/>
                      <w:sz w:val="21"/>
                      <w:highlight w:val="none"/>
                      <w:lang w:val="en-US" w:eastAsia="zh-CN" w:bidi="ar-SA"/>
                    </w:rPr>
                  </w:pPr>
                  <w:r>
                    <w:rPr>
                      <w:rFonts w:hint="eastAsia" w:ascii="宋体" w:hAnsi="宋体" w:cs="宋体"/>
                      <w:color w:val="auto"/>
                    </w:rPr>
                    <w:t>企业价值观不明确，产品技术落后</w:t>
                  </w:r>
                  <w:r>
                    <w:rPr>
                      <w:rFonts w:hint="eastAsia" w:ascii="宋体" w:hAnsi="宋体" w:cs="宋体"/>
                      <w:color w:val="auto"/>
                      <w:lang w:eastAsia="zh-CN"/>
                    </w:rPr>
                    <w:t>，</w:t>
                  </w:r>
                  <w:r>
                    <w:rPr>
                      <w:rFonts w:hint="eastAsia" w:ascii="宋体" w:hAnsi="宋体" w:cs="宋体"/>
                      <w:color w:val="auto"/>
                    </w:rPr>
                    <w:t>未建立</w:t>
                  </w:r>
                  <w:r>
                    <w:rPr>
                      <w:rFonts w:hint="eastAsia" w:ascii="宋体" w:hAnsi="宋体" w:cs="宋体"/>
                      <w:color w:val="auto"/>
                      <w:lang w:eastAsia="zh-CN"/>
                    </w:rPr>
                    <w:t>明确的</w:t>
                  </w:r>
                  <w:r>
                    <w:rPr>
                      <w:rFonts w:hint="eastAsia" w:ascii="宋体" w:hAnsi="宋体" w:cs="宋体"/>
                      <w:color w:val="auto"/>
                    </w:rPr>
                    <w:t>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生产工艺成熟，产品质量好，市场需求稳定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多为常规产品，技术储备不足</w:t>
                  </w:r>
                  <w:r>
                    <w:rPr>
                      <w:rFonts w:hint="eastAsia" w:ascii="宋体" w:hAnsi="宋体" w:cs="宋体"/>
                      <w:color w:val="auto"/>
                    </w:rPr>
                    <w:t>，产品性能、价格上</w:t>
                  </w:r>
                  <w:r>
                    <w:rPr>
                      <w:rFonts w:hint="eastAsia" w:ascii="宋体" w:hAnsi="宋体" w:cs="宋体"/>
                      <w:color w:val="auto"/>
                      <w:kern w:val="0"/>
                      <w:szCs w:val="21"/>
                    </w:rPr>
                    <w:t>缺少核心竞争力</w:t>
                  </w:r>
                  <w:r>
                    <w:rPr>
                      <w:rFonts w:hint="eastAsia"/>
                      <w:color w:val="auto"/>
                      <w:lang w:val="en-US" w:eastAsia="zh-CN"/>
                    </w:rPr>
                    <w:t>，易受国家环保政策限制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6980" w:type="dxa"/>
                  <w:vAlign w:val="center"/>
                </w:tcPr>
                <w:p>
                  <w:pPr>
                    <w:jc w:val="both"/>
                    <w:rPr>
                      <w:rFonts w:ascii="宋体" w:hAnsi="宋体" w:cs="宋体"/>
                      <w:color w:val="auto"/>
                    </w:rPr>
                  </w:pPr>
                  <w:r>
                    <w:rPr>
                      <w:rFonts w:hint="eastAsia" w:ascii="宋体" w:hAnsi="宋体" w:cs="宋体"/>
                      <w:color w:val="auto"/>
                    </w:rPr>
                    <w:t>1、产品性能、价格与先进水平</w:t>
                  </w:r>
                  <w:r>
                    <w:rPr>
                      <w:rFonts w:hint="eastAsia" w:ascii="宋体" w:hAnsi="宋体" w:cs="宋体"/>
                      <w:color w:val="auto"/>
                      <w:lang w:eastAsia="zh-CN"/>
                    </w:rPr>
                    <w:t>有较大的</w:t>
                  </w:r>
                  <w:r>
                    <w:rPr>
                      <w:rFonts w:hint="eastAsia" w:ascii="宋体" w:hAnsi="宋体" w:cs="宋体"/>
                      <w:color w:val="auto"/>
                    </w:rPr>
                    <w:t>差距，顾客在选择上处于不利地位；</w:t>
                  </w:r>
                </w:p>
                <w:p>
                  <w:pPr>
                    <w:pStyle w:val="10"/>
                    <w:jc w:val="both"/>
                    <w:rPr>
                      <w:rFonts w:hint="default"/>
                      <w:color w:val="auto"/>
                      <w:lang w:val="en-US" w:eastAsia="zh-CN"/>
                    </w:rPr>
                  </w:pPr>
                  <w:r>
                    <w:rPr>
                      <w:rFonts w:hint="eastAsia" w:ascii="宋体" w:hAnsi="宋体" w:cs="宋体"/>
                      <w:color w:val="auto"/>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6980" w:type="dxa"/>
                  <w:vAlign w:val="center"/>
                </w:tcPr>
                <w:p>
                  <w:pPr>
                    <w:jc w:val="both"/>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pStyle w:val="2"/>
                    <w:jc w:val="both"/>
                    <w:rPr>
                      <w:rFonts w:hint="default"/>
                      <w:lang w:val="en-US" w:eastAsia="zh-CN"/>
                    </w:rPr>
                  </w:pPr>
                  <w:r>
                    <w:rPr>
                      <w:rFonts w:ascii="宋体" w:hAnsi="宋体" w:cs="宋体"/>
                    </w:rPr>
                    <w:t>2</w:t>
                  </w:r>
                  <w:r>
                    <w:rPr>
                      <w:rFonts w:hint="eastAsia" w:ascii="宋体" w:hAnsi="宋体" w:cs="宋体"/>
                    </w:rPr>
                    <w:t>、通过广告宣传、客户口碑，提高品牌效应，能够促进销售提升。</w:t>
                  </w:r>
                </w:p>
              </w:tc>
            </w:tr>
          </w:tbl>
          <w:p>
            <w:pPr>
              <w:rPr>
                <w:rFonts w:hint="eastAsia"/>
                <w:color w:val="auto"/>
                <w:szCs w:val="21"/>
                <w:lang w:val="en-US" w:eastAsia="zh-CN"/>
              </w:rPr>
            </w:pPr>
          </w:p>
          <w:p>
            <w:pPr>
              <w:rPr>
                <w:rFonts w:hint="default"/>
                <w:color w:val="auto"/>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《组织内外部环境因素评价和识别表》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color w:val="auto"/>
              </w:rPr>
            </w:pPr>
            <w:bookmarkStart w:id="0" w:name="_Toc17985659"/>
            <w:r>
              <w:rPr>
                <w:rFonts w:hint="eastAsia" w:ascii="Arial" w:hAnsi="Arial"/>
                <w:color w:val="auto"/>
              </w:rPr>
              <w:t>理解工作人员和其他相关方的需求和期望</w:t>
            </w:r>
            <w:bookmarkEnd w:id="0"/>
          </w:p>
        </w:tc>
        <w:tc>
          <w:tcPr>
            <w:tcW w:w="960" w:type="dxa"/>
            <w:vMerge w:val="restart"/>
          </w:tcPr>
          <w:p>
            <w:pPr>
              <w:rPr>
                <w:color w:val="auto"/>
              </w:rPr>
            </w:pPr>
            <w:r>
              <w:rPr>
                <w:rFonts w:hint="eastAsia"/>
                <w:color w:val="auto"/>
                <w:lang w:val="en-US" w:eastAsia="zh-CN"/>
              </w:rPr>
              <w:t>O</w:t>
            </w:r>
            <w:r>
              <w:rPr>
                <w:rFonts w:hint="eastAsia"/>
                <w:color w:val="auto"/>
              </w:rPr>
              <w:t>4.2</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tcPr>
          <w:p>
            <w:pPr>
              <w:rPr>
                <w:rFonts w:hint="eastAsia"/>
                <w:color w:val="auto"/>
                <w:szCs w:val="21"/>
                <w:lang w:val="en-US" w:eastAsia="zh-CN"/>
              </w:rPr>
            </w:pP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81"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☑主管部门</w:t>
                  </w:r>
                </w:p>
              </w:tc>
              <w:tc>
                <w:tcPr>
                  <w:tcW w:w="2495"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宜兴市市场监督管理局</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center"/>
                </w:tcPr>
                <w:p>
                  <w:pPr>
                    <w:jc w:val="both"/>
                    <w:rPr>
                      <w:rFonts w:hint="default"/>
                      <w:color w:val="auto"/>
                      <w:szCs w:val="22"/>
                      <w:vertAlign w:val="baseline"/>
                      <w:lang w:val="en-US" w:eastAsia="zh-CN"/>
                    </w:rPr>
                  </w:pPr>
                  <w:r>
                    <w:rPr>
                      <w:rFonts w:hint="eastAsia"/>
                      <w:lang w:eastAsia="zh-CN"/>
                    </w:rPr>
                    <w:t>无锡市长庆化工防腐设备有限公司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顾客</w:t>
                  </w:r>
                </w:p>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val="en-US" w:eastAsia="zh-CN"/>
                    </w:rPr>
                    <w:t>（消费者）</w:t>
                  </w:r>
                </w:p>
              </w:tc>
              <w:tc>
                <w:tcPr>
                  <w:tcW w:w="2495" w:type="dxa"/>
                  <w:vAlign w:val="center"/>
                </w:tcPr>
                <w:p>
                  <w:pPr>
                    <w:jc w:val="both"/>
                    <w:rPr>
                      <w:rFonts w:hint="default"/>
                      <w:color w:val="auto"/>
                      <w:szCs w:val="22"/>
                      <w:vertAlign w:val="baseline"/>
                      <w:lang w:val="en-US" w:eastAsia="zh-CN"/>
                    </w:rPr>
                  </w:pPr>
                  <w:r>
                    <w:rPr>
                      <w:rFonts w:hint="default" w:eastAsia="宋体"/>
                      <w:lang w:val="en-US" w:eastAsia="zh-CN"/>
                    </w:rPr>
                    <w:t>东华能源（张家港）新材料有限公司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问题影响双方合约的履行</w:t>
                  </w:r>
                </w:p>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按时按质按量交付产品或服务</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szCs w:val="24"/>
                    </w:rPr>
                    <w:t>公司员工</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不发生工伤和/或职业病；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eastAsia="zh-CN"/>
                    </w:rPr>
                  </w:pPr>
                  <w:r>
                    <w:rPr>
                      <w:rFonts w:hint="eastAsia"/>
                      <w:color w:val="auto"/>
                      <w:highlight w:val="none"/>
                      <w:lang w:eastAsia="zh-CN"/>
                    </w:rPr>
                    <w:t>☑</w:t>
                  </w:r>
                  <w:r>
                    <w:rPr>
                      <w:rFonts w:hint="eastAsia"/>
                      <w:color w:val="auto"/>
                      <w:highlight w:val="none"/>
                      <w:vertAlign w:val="baseline"/>
                      <w:lang w:val="en-US" w:eastAsia="zh-CN"/>
                    </w:rPr>
                    <w:t>投资方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vertAlign w:val="baseline"/>
                      <w:lang w:val="en-US" w:eastAsia="zh-CN"/>
                    </w:rPr>
                    <w:t>——</w:t>
                  </w:r>
                </w:p>
              </w:tc>
              <w:tc>
                <w:tcPr>
                  <w:tcW w:w="3611" w:type="dxa"/>
                  <w:vAlign w:val="top"/>
                </w:tcPr>
                <w:p>
                  <w:pPr>
                    <w:rPr>
                      <w:color w:val="auto"/>
                    </w:rPr>
                  </w:pPr>
                  <w:r>
                    <w:rPr>
                      <w:rFonts w:hint="eastAsia"/>
                      <w:color w:val="auto"/>
                      <w:highlight w:val="none"/>
                      <w:lang w:eastAsia="zh-CN"/>
                    </w:rPr>
                    <w:t>☑</w:t>
                  </w:r>
                  <w:r>
                    <w:rPr>
                      <w:rFonts w:hint="eastAsia"/>
                      <w:color w:val="auto"/>
                    </w:rPr>
                    <w:t>产品优势和市场前景</w:t>
                  </w:r>
                </w:p>
                <w:p>
                  <w:pPr>
                    <w:rPr>
                      <w:rFonts w:hint="eastAsia"/>
                      <w:color w:val="auto"/>
                      <w:highlight w:val="none"/>
                      <w:lang w:eastAsia="zh-CN"/>
                    </w:rPr>
                  </w:pPr>
                  <w:r>
                    <w:rPr>
                      <w:rFonts w:hint="eastAsia"/>
                      <w:color w:val="auto"/>
                      <w:highlight w:val="none"/>
                      <w:lang w:eastAsia="zh-CN"/>
                    </w:rPr>
                    <w:t>□</w:t>
                  </w:r>
                  <w:r>
                    <w:rPr>
                      <w:rFonts w:hint="eastAsia"/>
                      <w:color w:val="auto"/>
                    </w:rPr>
                    <w:t>获得回报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lang w:val="en-US" w:eastAsia="zh-CN"/>
                    </w:rPr>
                  </w:pPr>
                  <w:r>
                    <w:rPr>
                      <w:rFonts w:hint="eastAsia"/>
                      <w:color w:val="auto"/>
                      <w:lang w:eastAsia="zh-CN"/>
                    </w:rPr>
                    <w:t>☑体系有效运行</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lang w:val="en-US" w:eastAsia="zh-CN"/>
              </w:rPr>
            </w:pPr>
          </w:p>
          <w:p>
            <w:pPr>
              <w:rPr>
                <w:rFonts w:hint="eastAsia"/>
                <w:color w:val="auto"/>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相关方期望</w:t>
            </w:r>
            <w:r>
              <w:rPr>
                <w:rFonts w:hint="eastAsia"/>
                <w:color w:val="auto"/>
                <w:lang w:eastAsia="zh-CN"/>
              </w:rPr>
              <w:t>或</w:t>
            </w:r>
            <w:r>
              <w:rPr>
                <w:rFonts w:hint="eastAsia"/>
                <w:color w:val="auto"/>
              </w:rPr>
              <w:t>需求</w:t>
            </w:r>
            <w:r>
              <w:rPr>
                <w:rFonts w:hint="eastAsia"/>
                <w:color w:val="auto"/>
                <w:lang w:eastAsia="zh-CN"/>
              </w:rPr>
              <w:t>识别表</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rPr>
                      <w:rFonts w:hint="default"/>
                      <w:vertAlign w:val="baseline"/>
                      <w:lang w:val="en-US" w:eastAsia="zh-CN"/>
                    </w:rPr>
                  </w:pPr>
                  <w:r>
                    <w:rPr>
                      <w:rFonts w:hint="eastAsia"/>
                      <w:vertAlign w:val="baseline"/>
                      <w:lang w:val="en-US" w:eastAsia="zh-CN"/>
                    </w:rPr>
                    <w:t>范围的项目</w:t>
                  </w:r>
                </w:p>
              </w:tc>
              <w:tc>
                <w:tcPr>
                  <w:tcW w:w="5348" w:type="dxa"/>
                  <w:vAlign w:val="center"/>
                </w:tcPr>
                <w:p>
                  <w:pPr>
                    <w:jc w:val="center"/>
                    <w:rPr>
                      <w:rFonts w:hint="default"/>
                      <w:vertAlign w:val="baseline"/>
                      <w:lang w:val="en-US" w:eastAsia="zh-CN"/>
                    </w:rPr>
                  </w:pPr>
                  <w:r>
                    <w:rPr>
                      <w:rFonts w:hint="eastAsia"/>
                      <w:vertAlign w:val="baseline"/>
                      <w:lang w:val="en-US" w:eastAsia="zh-CN"/>
                    </w:rPr>
                    <w:t>内容描述</w:t>
                  </w:r>
                </w:p>
              </w:tc>
              <w:tc>
                <w:tcPr>
                  <w:tcW w:w="1784" w:type="dxa"/>
                  <w:vAlign w:val="center"/>
                </w:tcPr>
                <w:p>
                  <w:pPr>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产品/服务的活动</w:t>
                  </w:r>
                </w:p>
              </w:tc>
              <w:tc>
                <w:tcPr>
                  <w:tcW w:w="5348" w:type="dxa"/>
                </w:tcPr>
                <w:p>
                  <w:pPr>
                    <w:rPr>
                      <w:rFonts w:hint="eastAsia"/>
                      <w:vertAlign w:val="baseline"/>
                      <w:lang w:val="en-US" w:eastAsia="zh-CN"/>
                    </w:rPr>
                  </w:pPr>
                  <w:r>
                    <w:rPr>
                      <w:sz w:val="20"/>
                    </w:rPr>
                    <w:t>环保（水处理）设备的生产、销售所涉及的相关职业健康安全管理活动</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经营地址</w:t>
                  </w:r>
                </w:p>
              </w:tc>
              <w:tc>
                <w:tcPr>
                  <w:tcW w:w="5348" w:type="dxa"/>
                </w:tcPr>
                <w:p>
                  <w:pPr>
                    <w:pStyle w:val="10"/>
                    <w:rPr>
                      <w:rFonts w:hint="eastAsia"/>
                      <w:vertAlign w:val="baseline"/>
                      <w:lang w:val="en-US" w:eastAsia="zh-CN"/>
                    </w:rPr>
                  </w:pPr>
                  <w:bookmarkStart w:id="1" w:name="生产地址"/>
                  <w:r>
                    <w:rPr>
                      <w:rFonts w:asciiTheme="minorEastAsia" w:hAnsiTheme="minorEastAsia" w:eastAsiaTheme="minorEastAsia"/>
                      <w:sz w:val="20"/>
                    </w:rPr>
                    <w:t>宜兴市绿园路与竹海路交汇处附近南宜兴中节能环保产业园70幢</w:t>
                  </w:r>
                  <w:bookmarkEnd w:id="1"/>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5348"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5348" w:type="dxa"/>
                </w:tcPr>
                <w:p>
                  <w:pPr>
                    <w:rPr>
                      <w:rFonts w:hint="default"/>
                      <w:vertAlign w:val="baseline"/>
                      <w:lang w:val="en-US" w:eastAsia="zh-CN"/>
                    </w:rPr>
                  </w:pPr>
                  <w:r>
                    <w:rPr>
                      <w:rFonts w:hint="eastAsia"/>
                      <w:lang w:val="en-US" w:eastAsia="zh-CN"/>
                    </w:rPr>
                    <w:sym w:font="Wingdings" w:char="00FE"/>
                  </w:r>
                  <w:r>
                    <w:rPr>
                      <w:rFonts w:hint="eastAsia"/>
                      <w:lang w:val="en-US" w:eastAsia="zh-CN"/>
                    </w:rPr>
                    <w:t xml:space="preserve"> 体系建立以来      </w:t>
                  </w:r>
                  <w:r>
                    <w:rPr>
                      <w:rFonts w:hint="eastAsia"/>
                      <w:lang w:val="en-US" w:eastAsia="zh-CN"/>
                    </w:rPr>
                    <w:sym w:font="Wingdings" w:char="00A8"/>
                  </w:r>
                  <w:r>
                    <w:rPr>
                      <w:rFonts w:hint="eastAsia"/>
                      <w:lang w:val="en-US" w:eastAsia="zh-CN"/>
                    </w:rPr>
                    <w:t xml:space="preserve"> 近三个月</w:t>
                  </w:r>
                </w:p>
              </w:tc>
              <w:tc>
                <w:tcPr>
                  <w:tcW w:w="1784"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lang w:val="en-US" w:eastAsia="zh-CN"/>
              </w:rPr>
              <w:t>O</w:t>
            </w:r>
            <w:r>
              <w:rPr>
                <w:rFonts w:hint="eastAsia"/>
              </w:rPr>
              <w:t>4.4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lang w:eastAsia="zh-CN"/>
              </w:rPr>
              <w:t>☑</w:t>
            </w:r>
            <w:r>
              <w:rPr>
                <w:rFonts w:hint="eastAsia"/>
                <w:color w:val="auto"/>
                <w:highlight w:val="none"/>
                <w:lang w:eastAsia="zh-CN"/>
              </w:rPr>
              <w:t>喷漆</w:t>
            </w:r>
            <w:r>
              <w:rPr>
                <w:rFonts w:hint="eastAsia"/>
                <w:color w:val="auto"/>
                <w:highlight w:val="none"/>
                <w:vertAlign w:val="baseline"/>
                <w:lang w:val="en-US" w:eastAsia="zh-CN"/>
              </w:rPr>
              <w:t>加工过程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szCs w:val="22"/>
                <w:lang w:val="en-US" w:eastAsia="zh-CN"/>
              </w:rPr>
            </w:pPr>
            <w:r>
              <w:rPr>
                <w:rFonts w:hint="eastAsia"/>
                <w:color w:val="000000"/>
                <w:szCs w:val="21"/>
                <w:lang w:val="en-US" w:eastAsia="zh-CN"/>
              </w:rPr>
              <w:t xml:space="preserve"> </w:t>
            </w:r>
            <w:r>
              <w:rPr>
                <w:rFonts w:hint="eastAsia"/>
                <w:vertAlign w:val="baseline"/>
              </w:rPr>
              <w:t>最高</w:t>
            </w:r>
            <w:r>
              <w:rPr>
                <w:rFonts w:hint="eastAsia"/>
                <w:szCs w:val="22"/>
              </w:rPr>
              <w:t>管理者制定</w:t>
            </w:r>
            <w:r>
              <w:rPr>
                <w:rFonts w:hint="eastAsia"/>
                <w:szCs w:val="22"/>
                <w:lang w:val="en-US" w:eastAsia="zh-CN"/>
              </w:rPr>
              <w:t>了文件化的</w:t>
            </w:r>
            <w:r>
              <w:rPr>
                <w:rFonts w:hint="eastAsia"/>
                <w:szCs w:val="22"/>
              </w:rPr>
              <w:t>职业健康安全方针</w:t>
            </w:r>
            <w:r>
              <w:rPr>
                <w:rFonts w:hint="eastAsia"/>
                <w:szCs w:val="22"/>
                <w:lang w:eastAsia="zh-CN"/>
              </w:rPr>
              <w:t>：</w:t>
            </w:r>
          </w:p>
          <w:p>
            <w:pPr>
              <w:ind w:firstLine="843" w:firstLineChars="400"/>
              <w:rPr>
                <w:rFonts w:hint="eastAsia"/>
                <w:b/>
                <w:bCs/>
                <w:szCs w:val="22"/>
                <w:u w:val="single"/>
              </w:rPr>
            </w:pPr>
            <w:r>
              <w:rPr>
                <w:rFonts w:hint="eastAsia"/>
                <w:b/>
                <w:bCs/>
                <w:szCs w:val="22"/>
                <w:u w:val="single"/>
              </w:rPr>
              <w:t>遵纪守法，安全作业，源头防范事故发生；</w:t>
            </w:r>
          </w:p>
          <w:p>
            <w:pPr>
              <w:ind w:firstLine="843" w:firstLineChars="400"/>
              <w:rPr>
                <w:rFonts w:hint="eastAsia" w:ascii="宋体" w:hAnsi="宋体"/>
                <w:b/>
                <w:bCs/>
                <w:sz w:val="21"/>
                <w:szCs w:val="21"/>
                <w:u w:val="single"/>
              </w:rPr>
            </w:pPr>
            <w:r>
              <w:rPr>
                <w:rFonts w:hint="eastAsia"/>
                <w:b/>
                <w:bCs/>
                <w:szCs w:val="22"/>
                <w:u w:val="single"/>
              </w:rPr>
              <w:t>注重防护，关爱员工，确保职业健康</w:t>
            </w:r>
            <w:r>
              <w:rPr>
                <w:rFonts w:hint="eastAsia" w:ascii="宋体" w:hAnsi="宋体"/>
                <w:b/>
                <w:bCs/>
                <w:sz w:val="21"/>
                <w:szCs w:val="21"/>
                <w:u w:val="single"/>
              </w:rPr>
              <w:t>安全。</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p>
          <w:p>
            <w:pPr>
              <w:rPr>
                <w:rFonts w:hint="eastAsia" w:eastAsia="宋体"/>
                <w:lang w:eastAsia="zh-CN"/>
              </w:rPr>
            </w:pPr>
            <w:r>
              <w:rPr>
                <w:rFonts w:hint="eastAsia"/>
                <w:shd w:val="clear"/>
                <w:lang w:eastAsia="zh-CN"/>
              </w:rPr>
              <w:t>☑</w:t>
            </w:r>
            <w:r>
              <w:rPr>
                <w:rFonts w:hint="eastAsia"/>
              </w:rPr>
              <w:t>包括满足法律法规要求和其他要求的承诺</w:t>
            </w:r>
            <w:r>
              <w:rPr>
                <w:rFonts w:hint="eastAsia"/>
                <w:lang w:eastAsia="zh-CN"/>
              </w:rPr>
              <w:t>；</w:t>
            </w:r>
          </w:p>
          <w:p>
            <w:pPr>
              <w:rPr>
                <w:rFonts w:hint="eastAsia" w:eastAsia="宋体"/>
                <w:color w:val="000000"/>
                <w:spacing w:val="0"/>
                <w:w w:val="100"/>
                <w:position w:val="0"/>
                <w:lang w:eastAsia="zh-CN"/>
              </w:rPr>
            </w:pPr>
            <w:r>
              <w:rPr>
                <w:rFonts w:hint="eastAsia"/>
                <w:shd w:val="clear"/>
                <w:lang w:eastAsia="zh-CN"/>
              </w:rPr>
              <w:t>☑</w:t>
            </w:r>
            <w:r>
              <w:rPr>
                <w:rFonts w:hint="eastAsia"/>
              </w:rPr>
              <w:t>包括消除危险源和降低职业健康安全风险的承诺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包括持续改进职业健康安全管理体系的承诺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包括工作人员及其代表（若有）的协商和参与的承诺</w:t>
            </w:r>
            <w:r>
              <w:rPr>
                <w:rFonts w:hint="eastAsia"/>
                <w:lang w:eastAsia="zh-CN"/>
              </w:rPr>
              <w:t>；</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eastAsia"/>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872"/>
              <w:gridCol w:w="207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75"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8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0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5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综合部</w:t>
                  </w:r>
                </w:p>
              </w:tc>
              <w:tc>
                <w:tcPr>
                  <w:tcW w:w="2072"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销售部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应急准备和响应</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综合部</w:t>
                  </w: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陆菊凤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lang w:val="en-US" w:eastAsia="zh-CN"/>
              </w:rPr>
              <w:t>O</w:t>
            </w:r>
            <w:r>
              <w:rPr>
                <w:rFonts w:hint="eastAsia"/>
              </w:rPr>
              <w:t>5.</w:t>
            </w:r>
            <w:r>
              <w:rPr>
                <w:rFonts w:hint="eastAsia"/>
                <w:lang w:val="en-US" w:eastAsia="zh-CN"/>
              </w:rPr>
              <w:t>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color w:val="auto"/>
                <w:lang w:val="en-US" w:eastAsia="zh-CN"/>
              </w:rPr>
              <w:sym w:font="Wingdings" w:char="00FE"/>
            </w:r>
            <w:r>
              <w:rPr>
                <w:rFonts w:hint="eastAsia"/>
                <w:color w:val="auto"/>
                <w:lang w:val="en-US" w:eastAsia="zh-CN"/>
              </w:rPr>
              <w:t>安全事务代表：</w:t>
            </w:r>
            <w:r>
              <w:rPr>
                <w:rFonts w:hint="eastAsia"/>
                <w:color w:val="auto"/>
                <w:u w:val="single"/>
                <w:lang w:val="en-US" w:eastAsia="zh-CN"/>
              </w:rPr>
              <w:t xml:space="preserve">   黄振益    </w:t>
            </w:r>
            <w:r>
              <w:rPr>
                <w:rFonts w:hint="eastAsia"/>
                <w:color w:val="auto"/>
                <w:lang w:val="en-US" w:eastAsia="zh-CN"/>
              </w:rPr>
              <w:sym w:font="Wingdings" w:char="00FE"/>
            </w:r>
            <w:r>
              <w:rPr>
                <w:rFonts w:hint="eastAsia"/>
                <w:color w:val="auto"/>
                <w:lang w:val="en-US" w:eastAsia="zh-CN"/>
              </w:rPr>
              <w:t>共</w:t>
            </w:r>
            <w:r>
              <w:rPr>
                <w:rFonts w:hint="eastAsia"/>
                <w:color w:val="auto"/>
                <w:u w:val="single"/>
                <w:lang w:val="en-US" w:eastAsia="zh-CN"/>
              </w:rPr>
              <w:t xml:space="preserve">  1  </w:t>
            </w:r>
            <w:r>
              <w:rPr>
                <w:rFonts w:hint="eastAsia"/>
                <w:color w:val="auto"/>
                <w:lang w:val="en-US" w:eastAsia="zh-CN"/>
              </w:rPr>
              <w:t>名</w:t>
            </w:r>
          </w:p>
          <w:tbl>
            <w:tblPr>
              <w:tblStyle w:val="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115"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19"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81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1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11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4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314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1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确定相关方的需求和期望</w:t>
                  </w:r>
                </w:p>
              </w:tc>
              <w:tc>
                <w:tcPr>
                  <w:tcW w:w="3140"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建立职业健康安全方针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分配组织的角色、职责和权限</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确定如何满足法律法规要求和其他要求</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制定职业健康安全目标并为其实现进行策划</w:t>
                  </w:r>
                </w:p>
              </w:tc>
              <w:tc>
                <w:tcPr>
                  <w:tcW w:w="314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确定对外包、采购和承包方的适用控制</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确定所需监视、测量和评价的内容</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策划、建立、实施和保持审核方案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确保持续改进</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291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91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12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确定其协商和参与的机制</w:t>
                  </w:r>
                </w:p>
              </w:tc>
              <w:tc>
                <w:tcPr>
                  <w:tcW w:w="2914" w:type="dxa"/>
                </w:tcPr>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辨识危险源并评价风险和机遇</w:t>
                  </w:r>
                </w:p>
              </w:tc>
              <w:tc>
                <w:tcPr>
                  <w:tcW w:w="29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确定消除危险源和降低职业健康安全风险的措施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确定能力要求、培训需求、培训和培训效果评价</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确定沟通的内容和方式</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确定控制措施及其有效的实施和应用</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调查事件和不符合并确定纠正措施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default" w:eastAsia="宋体"/>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lang w:val="en-US" w:eastAsia="zh-CN"/>
              </w:rPr>
              <w:t>应对风险和机遇的措施</w:t>
            </w:r>
          </w:p>
        </w:tc>
        <w:tc>
          <w:tcPr>
            <w:tcW w:w="960" w:type="dxa"/>
            <w:vMerge w:val="restart"/>
          </w:tcPr>
          <w:p>
            <w:pPr>
              <w:rPr>
                <w:rFonts w:hint="default"/>
                <w:lang w:val="en-US"/>
              </w:rPr>
            </w:pPr>
            <w:r>
              <w:rPr>
                <w:rFonts w:hint="eastAsia"/>
                <w:color w:val="000000"/>
                <w:szCs w:val="21"/>
                <w:lang w:val="en-US" w:eastAsia="zh-CN"/>
              </w:rPr>
              <w:t>O6.1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color w:val="auto"/>
              </w:rP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r>
              <w:rPr>
                <w:rFonts w:hint="eastAsia"/>
              </w:rPr>
              <w:t>分析风险的方法：</w:t>
            </w:r>
            <w:r>
              <w:rPr>
                <w:rFonts w:hint="eastAsia"/>
              </w:rPr>
              <w:sym w:font="Wingdings" w:char="00A8"/>
            </w:r>
            <w:r>
              <w:rPr>
                <w:rFonts w:hint="eastAsia"/>
              </w:rPr>
              <w:t>头脑风暴法</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pPr>
              <w:rPr>
                <w:rFonts w:hint="eastAsia"/>
              </w:rPr>
            </w:pPr>
            <w:r>
              <w:rPr>
                <w:rFonts w:hint="eastAsia"/>
              </w:rPr>
              <w:sym w:font="Wingdings" w:char="00FE"/>
            </w:r>
            <w:r>
              <w:rPr>
                <w:rFonts w:hint="eastAsia"/>
              </w:rPr>
              <w:t xml:space="preserve">规避风险 </w:t>
            </w:r>
            <w:r>
              <w:rPr>
                <w:rFonts w:hint="eastAsia"/>
                <w:lang w:val="en-US" w:eastAsia="zh-CN"/>
              </w:rPr>
              <w:t xml:space="preserve"> </w:t>
            </w:r>
            <w:r>
              <w:rPr>
                <w:rFonts w:hint="eastAsia"/>
              </w:rPr>
              <w:sym w:font="Wingdings" w:char="00A8"/>
            </w:r>
            <w:r>
              <w:rPr>
                <w:rFonts w:hint="eastAsia"/>
              </w:rPr>
              <w:t>为寻求机遇承担风险</w:t>
            </w:r>
            <w:r>
              <w:rPr>
                <w:rFonts w:hint="eastAsia"/>
                <w:lang w:val="en-US" w:eastAsia="zh-CN"/>
              </w:rPr>
              <w:t xml:space="preserve">  </w:t>
            </w:r>
            <w:r>
              <w:rPr>
                <w:rFonts w:hint="eastAsia"/>
              </w:rPr>
              <w:sym w:font="Wingdings" w:char="00FE"/>
            </w:r>
            <w:r>
              <w:rPr>
                <w:rFonts w:hint="eastAsia"/>
              </w:rPr>
              <w:t>消除风险源</w:t>
            </w:r>
            <w:r>
              <w:rPr>
                <w:rFonts w:hint="eastAsia"/>
                <w:lang w:val="en-US" w:eastAsia="zh-CN"/>
              </w:rPr>
              <w:t xml:space="preserve"> </w:t>
            </w:r>
            <w:r>
              <w:rPr>
                <w:rFonts w:hint="eastAsia"/>
              </w:rPr>
              <w:t xml:space="preserve"> </w:t>
            </w:r>
            <w:r>
              <w:rPr>
                <w:rFonts w:hint="eastAsia"/>
              </w:rPr>
              <w:sym w:font="Wingdings" w:char="00A8"/>
            </w:r>
            <w:r>
              <w:rPr>
                <w:rFonts w:hint="eastAsia"/>
              </w:rPr>
              <w:t>改变风险的可能性和后果</w:t>
            </w:r>
            <w:r>
              <w:rPr>
                <w:rFonts w:hint="eastAsia"/>
                <w:lang w:val="en-US" w:eastAsia="zh-CN"/>
              </w:rPr>
              <w:t xml:space="preserve">  </w:t>
            </w:r>
            <w:r>
              <w:rPr>
                <w:rFonts w:hint="eastAsia"/>
              </w:rPr>
              <w:sym w:font="Wingdings" w:char="00A8"/>
            </w:r>
            <w:r>
              <w:rPr>
                <w:rFonts w:hint="eastAsia"/>
              </w:rPr>
              <w:t>分担风险</w:t>
            </w:r>
          </w:p>
          <w:p>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1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center"/>
                  </w:pPr>
                  <w:r>
                    <w:rPr>
                      <w:rFonts w:hint="eastAsia"/>
                    </w:rPr>
                    <w:t>主要的风险描述</w:t>
                  </w:r>
                </w:p>
              </w:tc>
              <w:tc>
                <w:tcPr>
                  <w:tcW w:w="3188"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技术服务能力在行业中还</w:t>
                  </w:r>
                  <w:r>
                    <w:rPr>
                      <w:rFonts w:hint="eastAsia" w:ascii="宋体" w:hAnsi="宋体" w:cs="宋体"/>
                      <w:color w:val="auto"/>
                      <w:szCs w:val="21"/>
                      <w:lang w:val="en-US" w:eastAsia="zh-CN"/>
                    </w:rPr>
                    <w:t>有待提高</w:t>
                  </w:r>
                </w:p>
              </w:tc>
              <w:tc>
                <w:tcPr>
                  <w:tcW w:w="3188" w:type="dxa"/>
                  <w:vAlign w:val="center"/>
                </w:tcPr>
                <w:p>
                  <w:pPr>
                    <w:jc w:val="left"/>
                    <w:rPr>
                      <w:color w:val="auto"/>
                      <w:szCs w:val="21"/>
                    </w:rPr>
                  </w:pPr>
                  <w:r>
                    <w:rPr>
                      <w:rFonts w:hint="eastAsia" w:ascii="宋体" w:hAnsi="宋体" w:cs="宋体"/>
                      <w:color w:val="auto"/>
                      <w:szCs w:val="21"/>
                    </w:rPr>
                    <w:t>生产人员外部招聘和内部培训</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auto"/>
                      <w:szCs w:val="21"/>
                    </w:rPr>
                  </w:pPr>
                  <w:r>
                    <w:rPr>
                      <w:rFonts w:hint="eastAsia" w:ascii="宋体" w:hAnsi="宋体" w:cs="宋体"/>
                      <w:color w:val="auto"/>
                      <w:szCs w:val="21"/>
                    </w:rPr>
                    <w:t>资金管理未经适当审批或超越授权审批，可能出现重大差错、舞弊、欺诈（如公款私存，非法挪用或调拨资金），对公司资金安全产生影响。</w:t>
                  </w:r>
                </w:p>
              </w:tc>
              <w:tc>
                <w:tcPr>
                  <w:tcW w:w="3188" w:type="dxa"/>
                  <w:vAlign w:val="center"/>
                </w:tcPr>
                <w:p>
                  <w:pPr>
                    <w:jc w:val="left"/>
                    <w:rPr>
                      <w:color w:val="auto"/>
                      <w:szCs w:val="21"/>
                    </w:rPr>
                  </w:pPr>
                  <w:r>
                    <w:rPr>
                      <w:rFonts w:hint="eastAsia"/>
                      <w:color w:val="auto"/>
                      <w:szCs w:val="21"/>
                    </w:rPr>
                    <w:t>加强</w:t>
                  </w:r>
                  <w:r>
                    <w:rPr>
                      <w:rFonts w:hint="eastAsia" w:ascii="宋体" w:hAnsi="宋体" w:cs="宋体"/>
                      <w:color w:val="auto"/>
                      <w:szCs w:val="21"/>
                    </w:rPr>
                    <w:t>财务监管，结构优化</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auto"/>
                      <w:szCs w:val="21"/>
                    </w:rPr>
                  </w:pPr>
                  <w:r>
                    <w:rPr>
                      <w:rFonts w:hint="eastAsia" w:ascii="宋体" w:hAnsi="宋体" w:cs="宋体"/>
                      <w:color w:val="auto"/>
                      <w:szCs w:val="21"/>
                    </w:rPr>
                    <w:t>采购物资质量不稳定</w:t>
                  </w:r>
                </w:p>
              </w:tc>
              <w:tc>
                <w:tcPr>
                  <w:tcW w:w="3188" w:type="dxa"/>
                  <w:vAlign w:val="center"/>
                </w:tcPr>
                <w:p>
                  <w:pPr>
                    <w:jc w:val="left"/>
                    <w:rPr>
                      <w:color w:val="auto"/>
                      <w:szCs w:val="21"/>
                    </w:rPr>
                  </w:pPr>
                  <w:r>
                    <w:rPr>
                      <w:rFonts w:hint="eastAsia" w:ascii="宋体" w:hAnsi="宋体" w:cs="宋体"/>
                      <w:color w:val="auto"/>
                      <w:szCs w:val="21"/>
                    </w:rPr>
                    <w:t>供应商评价</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bl>
          <w:p/>
          <w:p>
            <w:r>
              <w:rPr>
                <w:rFonts w:hint="eastAsia"/>
              </w:rPr>
              <w:t xml:space="preserve">应对机遇的措施类型包括： </w:t>
            </w:r>
          </w:p>
          <w:p>
            <w:r>
              <w:rPr>
                <w:rFonts w:hint="eastAsia"/>
              </w:rPr>
              <w:sym w:font="Wingdings" w:char="00FE"/>
            </w:r>
            <w:r>
              <w:rPr>
                <w:rFonts w:hint="eastAsia"/>
              </w:rPr>
              <w:t>采用新实践</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374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主要的机遇描述</w:t>
                  </w:r>
                </w:p>
              </w:tc>
              <w:tc>
                <w:tcPr>
                  <w:tcW w:w="3747" w:type="dxa"/>
                </w:tcPr>
                <w:p>
                  <w:pPr>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应对措施</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pPr>
                    <w:rPr>
                      <w:color w:val="auto"/>
                      <w:szCs w:val="21"/>
                      <w:highlight w:val="cyan"/>
                    </w:rPr>
                  </w:pPr>
                  <w:r>
                    <w:rPr>
                      <w:rFonts w:hint="eastAsia" w:ascii="宋体" w:hAnsi="宋体" w:cs="宋体"/>
                      <w:color w:val="auto"/>
                      <w:szCs w:val="21"/>
                    </w:rPr>
                    <w:t>维修设备和检测设备完好状态的保持</w:t>
                  </w:r>
                </w:p>
              </w:tc>
              <w:tc>
                <w:tcPr>
                  <w:tcW w:w="3747" w:type="dxa"/>
                  <w:vAlign w:val="center"/>
                </w:tcPr>
                <w:p>
                  <w:pPr>
                    <w:rPr>
                      <w:color w:val="auto"/>
                      <w:szCs w:val="21"/>
                    </w:rPr>
                  </w:pPr>
                  <w:r>
                    <w:rPr>
                      <w:rFonts w:hint="eastAsia"/>
                      <w:color w:val="auto"/>
                      <w:szCs w:val="21"/>
                    </w:rPr>
                    <w:t>制定维护保养校验制度</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vAlign w:val="center"/>
                </w:tcPr>
                <w:p>
                  <w:pPr>
                    <w:rPr>
                      <w:rFonts w:ascii="宋体" w:hAnsi="宋体" w:cs="宋体"/>
                      <w:color w:val="auto"/>
                      <w:szCs w:val="21"/>
                    </w:rPr>
                  </w:pPr>
                  <w:r>
                    <w:rPr>
                      <w:rFonts w:hint="eastAsia" w:ascii="宋体" w:hAnsi="宋体" w:cs="宋体"/>
                      <w:color w:val="auto"/>
                    </w:rPr>
                    <w:t>国家政策有利于优质产品市场发展</w:t>
                  </w:r>
                </w:p>
              </w:tc>
              <w:tc>
                <w:tcPr>
                  <w:tcW w:w="3747" w:type="dxa"/>
                  <w:vAlign w:val="center"/>
                </w:tcPr>
                <w:p>
                  <w:pPr>
                    <w:rPr>
                      <w:rFonts w:ascii="宋体" w:hAnsi="宋体" w:cs="宋体"/>
                      <w:color w:val="auto"/>
                      <w:szCs w:val="21"/>
                    </w:rPr>
                  </w:pPr>
                  <w:r>
                    <w:rPr>
                      <w:rFonts w:hint="eastAsia" w:ascii="宋体" w:hAnsi="宋体" w:cs="宋体"/>
                      <w:color w:val="auto"/>
                    </w:rPr>
                    <w:t>及时了解和收集国家有关政策，吃透政策精神，掌握发展机遇</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bl>
          <w:p/>
          <w:p>
            <w:r>
              <w:rPr>
                <w:rFonts w:hint="eastAsia"/>
              </w:rPr>
              <w:t>组织</w:t>
            </w:r>
            <w:r>
              <w:rPr>
                <w:rFonts w:hint="eastAsia"/>
                <w:lang w:val="en-US" w:eastAsia="zh-CN"/>
              </w:rPr>
              <w:t>职业健康安全</w:t>
            </w:r>
            <w:r>
              <w:rPr>
                <w:rFonts w:hint="eastAsia"/>
              </w:rPr>
              <w:t>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w:t>
            </w:r>
            <w:r>
              <w:rPr>
                <w:rFonts w:hint="eastAsia"/>
                <w:lang w:val="en-US" w:eastAsia="zh-CN"/>
              </w:rPr>
              <w:t>影响职业健康安全</w:t>
            </w:r>
            <w:r>
              <w:rPr>
                <w:rFonts w:hint="eastAsia"/>
              </w:rPr>
              <w:t>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未达标排放 </w:t>
            </w:r>
            <w:r>
              <w:rPr>
                <w:rFonts w:hint="eastAsia"/>
                <w:u w:val="single"/>
              </w:rPr>
              <w:sym w:font="Wingdings" w:char="00A8"/>
            </w:r>
            <w:r>
              <w:rPr>
                <w:rFonts w:hint="eastAsia"/>
                <w:u w:val="single"/>
                <w:lang w:val="en-US" w:eastAsia="zh-CN"/>
              </w:rPr>
              <w:t>爆炸</w:t>
            </w:r>
            <w:r>
              <w:rPr>
                <w:rFonts w:hint="eastAsia"/>
                <w:u w:val="single"/>
              </w:rPr>
              <w:t xml:space="preserve">                      </w:t>
            </w:r>
          </w:p>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FE"/>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FE"/>
            </w:r>
            <w:r>
              <w:rPr>
                <w:rFonts w:hint="eastAsia"/>
                <w:lang w:val="en-US" w:eastAsia="zh-CN"/>
              </w:rPr>
              <w:t xml:space="preserve">辅助活动   </w:t>
            </w:r>
            <w:r>
              <w:rPr>
                <w:rFonts w:hint="default"/>
                <w:lang w:val="en-US" w:eastAsia="zh-CN"/>
              </w:rPr>
              <w:sym w:font="Wingdings" w:char="00FE"/>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FE"/>
            </w:r>
            <w:r>
              <w:rPr>
                <w:rFonts w:hint="eastAsia"/>
                <w:lang w:val="en-US" w:eastAsia="zh-CN"/>
              </w:rPr>
              <w:t xml:space="preserve">物体打击  </w:t>
            </w:r>
            <w:r>
              <w:rPr>
                <w:rFonts w:hint="default"/>
                <w:lang w:val="en-US" w:eastAsia="zh-CN"/>
              </w:rPr>
              <w:sym w:font="Wingdings" w:char="00FE"/>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FE"/>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A8"/>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FE"/>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火灾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FE"/>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6"/>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971"/>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197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571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禁止私拉乱接、加强用电管理，定期检修设备，检查电源线是否老化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灼烧</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操作现场禁止吸烟，安全用电；对易燃溶剂或物料加强管理；现场配备消防器材；加强人员培训和应急演练；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机械伤害</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人身伤害</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定期检修设备防护装置，加强人员培训，特殊岗位和特种作业人员持证上岗，应急准备</w:t>
                  </w:r>
                </w:p>
              </w:tc>
            </w:tr>
          </w:tbl>
          <w:p>
            <w:pPr>
              <w:pStyle w:val="10"/>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87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8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225"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22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3"/>
              <w:gridCol w:w="367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36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设备检修，保持生产装置的正常运行</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3"/>
                <w:numId w:val="0"/>
              </w:numPr>
            </w:pPr>
            <w:bookmarkStart w:id="4"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4"/>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112"/>
              <w:gridCol w:w="14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411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48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1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6/13/24/25/26/27/28/30/31/33条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大气污染防治法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5/12/13/20/21/36/42/45/62条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环境噪声污染防治法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kern w:val="2"/>
                      <w:szCs w:val="24"/>
                      <w:highlight w:val="none"/>
                      <w:lang w:val="en-GB" w:eastAsia="zh-CN"/>
                    </w:rPr>
                  </w:pPr>
                  <w:r>
                    <w:rPr>
                      <w:rFonts w:hint="eastAsia" w:ascii="宋体" w:hAnsi="宋体"/>
                      <w:kern w:val="2"/>
                      <w:szCs w:val="24"/>
                      <w:highlight w:val="none"/>
                      <w:lang w:val="en-US" w:eastAsia="zh-CN"/>
                    </w:rPr>
                    <w:t>第7/14/16/25/33条款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噪声防护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GB" w:eastAsia="zh-CN" w:bidi="ar-SA"/>
                    </w:rPr>
                  </w:pPr>
                  <w:r>
                    <w:rPr>
                      <w:rFonts w:hint="eastAsia" w:ascii="宋体" w:hAnsi="宋体"/>
                      <w:kern w:val="2"/>
                      <w:szCs w:val="24"/>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水污染防治法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第5/13/15/22/28/29/32/35条款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4112"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Times New Roman"/>
                      <w:kern w:val="2"/>
                      <w:sz w:val="21"/>
                      <w:szCs w:val="24"/>
                      <w:highlight w:val="none"/>
                      <w:lang w:val="en-US" w:eastAsia="zh-CN" w:bidi="ar-SA"/>
                    </w:rPr>
                  </w:pPr>
                </w:p>
              </w:tc>
              <w:tc>
                <w:tcPr>
                  <w:tcW w:w="1480"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p>
              </w:tc>
            </w:tr>
          </w:tbl>
          <w:p>
            <w:pPr>
              <w:rPr>
                <w:rFonts w:hint="eastAsia"/>
                <w:vertAlign w:val="baseline"/>
                <w:lang w:val="en-US" w:eastAsia="zh-CN"/>
              </w:rPr>
            </w:pP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不适用   </w:t>
            </w:r>
          </w:p>
          <w:p>
            <w:pPr>
              <w:rPr>
                <w:rFonts w:hint="eastAsia"/>
                <w:vertAlign w:val="baseli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如：管理手册第6.1.4条款、《管理方案》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2864"/>
              <w:gridCol w:w="113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2864"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3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55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286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44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2448"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火灾事故发生率为0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lang w:eastAsia="zh-CN"/>
                    </w:rPr>
                    <w:t>触电事故</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color w:val="auto"/>
                      <w:lang w:eastAsia="zh-CN"/>
                    </w:rPr>
                  </w:pPr>
                  <w:r>
                    <w:rPr>
                      <w:rFonts w:hint="eastAsia"/>
                      <w:color w:val="auto"/>
                      <w:lang w:eastAsia="zh-CN"/>
                    </w:rPr>
                    <w:t>人身伤害</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如：管理手册第7.1条款、</w:t>
            </w:r>
          </w:p>
        </w:tc>
        <w:tc>
          <w:tcPr>
            <w:tcW w:w="1585" w:type="dxa"/>
            <w:vMerge w:val="restart"/>
          </w:tcPr>
          <w:p>
            <w:pPr>
              <w:rPr>
                <w:rFonts w:hint="default"/>
                <w:color w:val="FF0000"/>
                <w:lang w:val="en-US"/>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auto"/>
                <w:szCs w:val="21"/>
                <w:lang w:val="en-US" w:eastAsia="zh-CN"/>
              </w:rPr>
            </w:pPr>
            <w:r>
              <w:rPr>
                <w:rFonts w:hint="eastAsia"/>
                <w:color w:val="000000"/>
                <w:szCs w:val="21"/>
                <w:lang w:val="en-US" w:eastAsia="zh-CN"/>
              </w:rPr>
              <w:t>现</w:t>
            </w:r>
            <w:r>
              <w:rPr>
                <w:rFonts w:hint="eastAsia"/>
                <w:color w:val="auto"/>
                <w:szCs w:val="21"/>
                <w:lang w:val="en-US" w:eastAsia="zh-CN"/>
              </w:rPr>
              <w:t>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color w:val="auto"/>
                <w:vertAlign w:val="baseline"/>
                <w:lang w:val="en-US" w:eastAsia="zh-CN"/>
              </w:rPr>
            </w:pPr>
            <w:r>
              <w:rPr>
                <w:rFonts w:hint="eastAsia"/>
                <w:color w:val="auto"/>
                <w:vertAlign w:val="baseline"/>
                <w:lang w:val="en-US" w:eastAsia="zh-CN"/>
              </w:rPr>
              <w:t>建筑面积</w:t>
            </w:r>
            <w:r>
              <w:rPr>
                <w:rFonts w:hint="eastAsia"/>
                <w:color w:val="auto"/>
                <w:u w:val="single"/>
                <w:vertAlign w:val="baseline"/>
                <w:lang w:val="en-US" w:eastAsia="zh-CN"/>
              </w:rPr>
              <w:t xml:space="preserve"> 2000 </w:t>
            </w:r>
            <w:r>
              <w:rPr>
                <w:rFonts w:hint="eastAsia"/>
                <w:color w:val="auto"/>
                <w:vertAlign w:val="baseline"/>
                <w:lang w:val="en-US" w:eastAsia="zh-CN"/>
              </w:rPr>
              <w:t>平方米。</w:t>
            </w:r>
          </w:p>
          <w:p>
            <w:pPr>
              <w:widowControl/>
              <w:numPr>
                <w:ilvl w:val="0"/>
                <w:numId w:val="0"/>
              </w:numPr>
              <w:spacing w:before="40"/>
              <w:jc w:val="left"/>
              <w:rPr>
                <w:rFonts w:hint="default" w:eastAsia="宋体"/>
                <w:color w:val="auto"/>
                <w:lang w:val="en-US" w:eastAsia="zh-CN"/>
              </w:rPr>
            </w:pPr>
            <w:r>
              <w:rPr>
                <w:rFonts w:hint="eastAsia"/>
                <w:color w:val="auto"/>
              </w:rPr>
              <w:t>动力设施和辅助设施</w:t>
            </w:r>
            <w:r>
              <w:rPr>
                <w:rFonts w:hint="eastAsia"/>
                <w:color w:val="auto"/>
                <w:lang w:val="en-US" w:eastAsia="zh-CN"/>
              </w:rPr>
              <w:t>的状况，存在下列的场所：</w:t>
            </w:r>
          </w:p>
          <w:p>
            <w:pPr>
              <w:widowControl/>
              <w:numPr>
                <w:ilvl w:val="0"/>
                <w:numId w:val="0"/>
              </w:numPr>
              <w:spacing w:before="40"/>
              <w:ind w:firstLine="210" w:firstLineChars="100"/>
              <w:jc w:val="left"/>
              <w:rPr>
                <w:rFonts w:hint="eastAsia"/>
                <w:color w:val="auto"/>
              </w:rPr>
            </w:pPr>
            <w:r>
              <w:rPr>
                <w:rFonts w:hint="default"/>
                <w:color w:val="auto"/>
                <w:lang w:val="en-US" w:eastAsia="zh-CN"/>
              </w:rPr>
              <w:sym w:font="Wingdings" w:char="00A8"/>
            </w:r>
            <w:r>
              <w:rPr>
                <w:rFonts w:hint="eastAsia"/>
                <w:color w:val="auto"/>
              </w:rPr>
              <w:t>污水处理站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锅炉房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高压配电室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低压配电室</w:t>
            </w:r>
            <w:r>
              <w:rPr>
                <w:rFonts w:hint="eastAsia"/>
                <w:color w:val="auto"/>
                <w:lang w:val="en-US" w:eastAsia="zh-CN"/>
              </w:rPr>
              <w:t xml:space="preserve"> </w:t>
            </w:r>
            <w:r>
              <w:rPr>
                <w:rFonts w:hint="default"/>
                <w:color w:val="auto"/>
                <w:lang w:val="en-US" w:eastAsia="zh-CN"/>
              </w:rPr>
              <w:sym w:font="Wingdings" w:char="00A8"/>
            </w:r>
            <w:r>
              <w:rPr>
                <w:rFonts w:hint="eastAsia"/>
                <w:color w:val="auto"/>
              </w:rPr>
              <w:t>空压站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制冷站</w:t>
            </w:r>
            <w:r>
              <w:rPr>
                <w:rFonts w:hint="eastAsia"/>
                <w:color w:val="auto"/>
                <w:lang w:val="en-US" w:eastAsia="zh-CN"/>
              </w:rPr>
              <w:t xml:space="preserve">   </w:t>
            </w:r>
            <w:r>
              <w:rPr>
                <w:rFonts w:hint="default"/>
                <w:color w:val="auto"/>
                <w:lang w:val="en-US" w:eastAsia="zh-CN"/>
              </w:rPr>
              <w:sym w:font="Wingdings" w:char="00A8"/>
            </w:r>
            <w:r>
              <w:rPr>
                <w:rFonts w:hint="eastAsia"/>
                <w:color w:val="auto"/>
              </w:rPr>
              <w:t>消防中控室</w:t>
            </w:r>
          </w:p>
          <w:p>
            <w:pPr>
              <w:widowControl/>
              <w:numPr>
                <w:ilvl w:val="0"/>
                <w:numId w:val="0"/>
              </w:numPr>
              <w:spacing w:before="40"/>
              <w:ind w:left="210" w:leftChars="100" w:firstLine="0" w:firstLineChars="0"/>
              <w:jc w:val="left"/>
              <w:rPr>
                <w:rFonts w:hint="default" w:eastAsia="宋体"/>
                <w:color w:val="auto"/>
                <w:lang w:val="en-US" w:eastAsia="zh-CN"/>
              </w:rPr>
            </w:pPr>
            <w:r>
              <w:rPr>
                <w:rFonts w:hint="default"/>
                <w:color w:val="auto"/>
                <w:lang w:val="en-US" w:eastAsia="zh-CN"/>
              </w:rPr>
              <w:sym w:font="Wingdings" w:char="00A8"/>
            </w:r>
            <w:r>
              <w:rPr>
                <w:rFonts w:hint="eastAsia"/>
                <w:color w:val="auto"/>
              </w:rPr>
              <w:t>消防泵房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除尘装置</w:t>
            </w:r>
            <w:r>
              <w:rPr>
                <w:rFonts w:hint="eastAsia"/>
                <w:color w:val="auto"/>
                <w:lang w:val="en-US" w:eastAsia="zh-CN"/>
              </w:rPr>
              <w:t xml:space="preserve"> </w:t>
            </w:r>
            <w:r>
              <w:rPr>
                <w:rFonts w:hint="default"/>
                <w:color w:val="auto"/>
                <w:lang w:val="en-US" w:eastAsia="zh-CN"/>
              </w:rPr>
              <w:sym w:font="Wingdings" w:char="00A8"/>
            </w:r>
            <w:r>
              <w:rPr>
                <w:rFonts w:hint="eastAsia"/>
                <w:color w:val="auto"/>
              </w:rPr>
              <w:t>尾气处理</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危化品库房</w:t>
            </w:r>
            <w:r>
              <w:rPr>
                <w:rFonts w:hint="eastAsia"/>
                <w:color w:val="auto"/>
                <w:lang w:val="en-US" w:eastAsia="zh-CN"/>
              </w:rPr>
              <w:t xml:space="preserve">   </w:t>
            </w:r>
            <w:r>
              <w:rPr>
                <w:rFonts w:hint="default"/>
                <w:color w:val="auto"/>
                <w:lang w:val="en-US" w:eastAsia="zh-CN"/>
              </w:rPr>
              <w:sym w:font="Wingdings" w:char="00A8"/>
            </w:r>
            <w:r>
              <w:rPr>
                <w:rFonts w:hint="eastAsia"/>
                <w:color w:val="auto"/>
              </w:rPr>
              <w:t>危险废弃物存放处</w:t>
            </w:r>
            <w:r>
              <w:rPr>
                <w:rFonts w:hint="eastAsia"/>
                <w:color w:val="auto"/>
                <w:lang w:val="en-US" w:eastAsia="zh-CN"/>
              </w:rPr>
              <w:t xml:space="preserve">   </w:t>
            </w:r>
            <w:r>
              <w:rPr>
                <w:rFonts w:hint="default"/>
                <w:color w:val="auto"/>
                <w:lang w:val="en-US" w:eastAsia="zh-CN"/>
              </w:rPr>
              <w:sym w:font="Wingdings" w:char="00A8"/>
            </w:r>
            <w:r>
              <w:rPr>
                <w:rFonts w:hint="eastAsia"/>
                <w:color w:val="auto"/>
              </w:rPr>
              <w:t>改建/扩建施工现场</w:t>
            </w:r>
            <w:r>
              <w:rPr>
                <w:rFonts w:hint="eastAsia"/>
                <w:color w:val="auto"/>
                <w:lang w:val="en-US" w:eastAsia="zh-CN"/>
              </w:rPr>
              <w:t xml:space="preserve"> </w:t>
            </w:r>
            <w:r>
              <w:rPr>
                <w:rFonts w:hint="default"/>
                <w:color w:val="auto"/>
                <w:lang w:val="en-US" w:eastAsia="zh-CN"/>
              </w:rPr>
              <w:sym w:font="Wingdings" w:char="00A8"/>
            </w:r>
            <w:r>
              <w:rPr>
                <w:rFonts w:hint="eastAsia"/>
                <w:color w:val="auto"/>
              </w:rPr>
              <w:t>食堂</w:t>
            </w:r>
            <w:r>
              <w:rPr>
                <w:rFonts w:hint="eastAsia"/>
                <w:color w:val="auto"/>
                <w:lang w:val="en-US" w:eastAsia="zh-CN"/>
              </w:rPr>
              <w:t xml:space="preserve">  </w:t>
            </w:r>
            <w:r>
              <w:rPr>
                <w:rFonts w:hint="default"/>
                <w:color w:val="auto"/>
                <w:lang w:val="en-US" w:eastAsia="zh-CN"/>
              </w:rPr>
              <w:sym w:font="Wingdings" w:char="00A8"/>
            </w:r>
            <w:r>
              <w:rPr>
                <w:rFonts w:hint="eastAsia"/>
                <w:color w:val="auto"/>
              </w:rPr>
              <w:t>宿舍</w:t>
            </w:r>
            <w:r>
              <w:rPr>
                <w:rFonts w:hint="eastAsia"/>
                <w:color w:val="auto"/>
                <w:lang w:val="en-US" w:eastAsia="zh-CN"/>
              </w:rPr>
              <w:t xml:space="preserve">  </w:t>
            </w:r>
            <w:r>
              <w:rPr>
                <w:rFonts w:hint="default"/>
                <w:color w:val="auto"/>
                <w:lang w:val="en-US" w:eastAsia="zh-CN"/>
              </w:rPr>
              <w:sym w:font="Wingdings" w:char="00A8"/>
            </w:r>
            <w:r>
              <w:rPr>
                <w:rFonts w:hint="eastAsia"/>
                <w:color w:val="auto"/>
              </w:rPr>
              <w:t>班车</w:t>
            </w:r>
            <w:r>
              <w:rPr>
                <w:rFonts w:hint="eastAsia"/>
                <w:color w:val="auto"/>
                <w:lang w:val="en-US" w:eastAsia="zh-CN"/>
              </w:rPr>
              <w:t xml:space="preserve">  </w:t>
            </w:r>
            <w:r>
              <w:rPr>
                <w:rFonts w:hint="default"/>
                <w:color w:val="auto"/>
                <w:lang w:val="en-US" w:eastAsia="zh-CN"/>
              </w:rPr>
              <w:sym w:font="Wingdings" w:char="00A8"/>
            </w:r>
            <w:r>
              <w:rPr>
                <w:rFonts w:hint="eastAsia"/>
                <w:color w:val="auto"/>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rPr>
                <w:rFonts w:hint="eastAsia"/>
                <w:color w:val="auto"/>
                <w:u w:val="single"/>
                <w:vertAlign w:val="baseline"/>
                <w:lang w:val="en-US" w:eastAsia="zh-CN"/>
              </w:rPr>
            </w:pPr>
            <w:r>
              <w:rPr>
                <w:rFonts w:hint="eastAsia"/>
                <w:color w:val="auto"/>
                <w:vertAlign w:val="baseline"/>
                <w:lang w:val="en-US" w:eastAsia="zh-CN"/>
              </w:rPr>
              <w:t>主要生产设备有：</w:t>
            </w:r>
            <w:r>
              <w:rPr>
                <w:rFonts w:hint="eastAsia"/>
                <w:color w:val="auto"/>
                <w:u w:val="single"/>
                <w:vertAlign w:val="baseline"/>
                <w:lang w:val="en-US" w:eastAsia="zh-CN"/>
              </w:rPr>
              <w:t xml:space="preserve"> </w:t>
            </w:r>
            <w:r>
              <w:rPr>
                <w:rFonts w:hint="eastAsia"/>
                <w:u w:val="single"/>
              </w:rPr>
              <w:t>卷板机</w:t>
            </w:r>
            <w:r>
              <w:rPr>
                <w:rFonts w:hint="eastAsia"/>
                <w:u w:val="single"/>
                <w:lang w:eastAsia="zh-CN"/>
              </w:rPr>
              <w:t>、</w:t>
            </w:r>
            <w:r>
              <w:rPr>
                <w:rFonts w:hint="eastAsia"/>
                <w:u w:val="single"/>
              </w:rPr>
              <w:t>交流电焊机</w:t>
            </w:r>
            <w:r>
              <w:rPr>
                <w:rFonts w:hint="eastAsia"/>
                <w:u w:val="single"/>
                <w:lang w:eastAsia="zh-CN"/>
              </w:rPr>
              <w:t>、</w:t>
            </w:r>
            <w:r>
              <w:rPr>
                <w:rFonts w:hint="eastAsia" w:ascii="宋体" w:hAnsi="宋体"/>
                <w:sz w:val="21"/>
                <w:szCs w:val="21"/>
                <w:u w:val="single"/>
              </w:rPr>
              <w:t>台式砂轮机</w:t>
            </w:r>
            <w:r>
              <w:rPr>
                <w:rFonts w:hint="eastAsia" w:ascii="宋体" w:hAnsi="宋体"/>
                <w:sz w:val="21"/>
                <w:szCs w:val="21"/>
                <w:u w:val="single"/>
                <w:lang w:eastAsia="zh-CN"/>
              </w:rPr>
              <w:t>、</w:t>
            </w:r>
            <w:r>
              <w:rPr>
                <w:rFonts w:hint="eastAsia" w:ascii="宋体" w:hAnsi="宋体"/>
                <w:sz w:val="21"/>
                <w:szCs w:val="21"/>
                <w:u w:val="single"/>
              </w:rPr>
              <w:t>逆变式空气等离子弧切割机</w:t>
            </w:r>
            <w:r>
              <w:rPr>
                <w:rFonts w:hint="eastAsia"/>
                <w:color w:val="auto"/>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w:t>
            </w:r>
            <w:r>
              <w:rPr>
                <w:rFonts w:hint="eastAsia"/>
                <w:u w:val="single"/>
                <w:vertAlign w:val="baseline"/>
                <w:lang w:val="en-US" w:eastAsia="zh-CN"/>
              </w:rPr>
              <w:t xml:space="preserve">   钢卷尺、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物流运输、</w:t>
            </w:r>
            <w:r>
              <w:rPr>
                <w:rFonts w:hint="eastAsia"/>
                <w:color w:val="auto"/>
                <w:highlight w:val="none"/>
                <w:u w:val="single"/>
                <w:vertAlign w:val="baseline"/>
                <w:lang w:val="en-US" w:eastAsia="zh-CN"/>
              </w:rPr>
              <w:t>喷漆工序外包</w:t>
            </w:r>
            <w:r>
              <w:rPr>
                <w:rFonts w:hint="eastAsia"/>
                <w:color w:val="FF0000"/>
                <w:u w:val="single"/>
                <w:vertAlign w:val="baseline"/>
                <w:lang w:val="en-US" w:eastAsia="zh-CN"/>
              </w:rPr>
              <w:t xml:space="preserve"> </w:t>
            </w:r>
            <w:r>
              <w:rPr>
                <w:rFonts w:hint="eastAsia"/>
                <w:u w:val="single"/>
                <w:vertAlign w:val="baseline"/>
                <w:lang w:val="en-US" w:eastAsia="zh-CN"/>
              </w:rPr>
              <w:t xml:space="preserve">   </w:t>
            </w:r>
          </w:p>
          <w:p>
            <w:pPr>
              <w:numPr>
                <w:ilvl w:val="0"/>
                <w:numId w:val="2"/>
              </w:numPr>
              <w:ind w:left="0" w:leftChars="0" w:firstLine="0" w:firstLineChars="0"/>
            </w:pPr>
            <w:bookmarkStart w:id="5" w:name="_GoBack"/>
            <w:r>
              <w:rPr>
                <w:rFonts w:hint="eastAsia"/>
                <w:color w:val="000000"/>
                <w:szCs w:val="21"/>
                <w:lang w:val="en-US" w:eastAsia="zh-CN"/>
              </w:rPr>
              <w:t>查《环保职业健康安全财务支出》：劳保用品、体检、社保、培训等经费预算共计：</w:t>
            </w:r>
            <w:r>
              <w:rPr>
                <w:rFonts w:hint="eastAsia"/>
                <w:sz w:val="24"/>
                <w:szCs w:val="24"/>
                <w:lang w:val="en-US" w:eastAsia="zh-CN"/>
              </w:rPr>
              <w:t>18200</w:t>
            </w:r>
            <w:r>
              <w:rPr>
                <w:rFonts w:hint="eastAsia"/>
                <w:color w:val="000000"/>
                <w:szCs w:val="21"/>
                <w:lang w:val="en-US" w:eastAsia="zh-CN"/>
              </w:rPr>
              <w:t>元</w:t>
            </w:r>
            <w:bookmarkEnd w:id="5"/>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b/>
                <w:bCs/>
                <w:color w:val="auto"/>
                <w:lang w:val="en-US" w:eastAsia="zh-CN"/>
              </w:rPr>
            </w:pPr>
            <w:r>
              <w:rPr>
                <w:rFonts w:hint="eastAsia"/>
                <w:b/>
                <w:bCs/>
                <w:color w:val="auto"/>
                <w:lang w:val="en-US" w:eastAsia="zh-CN"/>
              </w:rPr>
              <w:t>意识</w:t>
            </w:r>
          </w:p>
        </w:tc>
        <w:tc>
          <w:tcPr>
            <w:tcW w:w="960" w:type="dxa"/>
            <w:vMerge w:val="restart"/>
          </w:tcPr>
          <w:p>
            <w:pPr>
              <w:rPr>
                <w:b/>
                <w:bCs/>
                <w:color w:val="auto"/>
              </w:rPr>
            </w:pPr>
            <w:r>
              <w:rPr>
                <w:rFonts w:hint="eastAsia"/>
                <w:b/>
                <w:bCs/>
                <w:color w:val="auto"/>
                <w:lang w:val="en-US" w:eastAsia="zh-CN"/>
              </w:rPr>
              <w:t>O</w:t>
            </w:r>
            <w:r>
              <w:rPr>
                <w:rFonts w:hint="eastAsia"/>
                <w:b/>
                <w:bCs/>
                <w:color w:val="auto"/>
              </w:rPr>
              <w:t>7.</w:t>
            </w:r>
            <w:r>
              <w:rPr>
                <w:rFonts w:hint="eastAsia"/>
                <w:b/>
                <w:bCs/>
                <w:color w:val="auto"/>
                <w:lang w:val="en-US" w:eastAsia="zh-CN"/>
              </w:rPr>
              <w:t>3</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color w:val="auto"/>
              </w:rPr>
            </w:pPr>
            <w:r>
              <w:rPr>
                <w:rFonts w:hint="eastAsia"/>
                <w:color w:val="auto"/>
                <w:lang w:val="en-US" w:eastAsia="zh-CN"/>
              </w:rPr>
              <w:t>如：《人力资源</w:t>
            </w:r>
            <w:r>
              <w:rPr>
                <w:rFonts w:hint="eastAsia"/>
                <w:color w:val="auto"/>
              </w:rPr>
              <w:t>控制</w:t>
            </w:r>
            <w:r>
              <w:rPr>
                <w:rFonts w:hint="eastAsia"/>
                <w:color w:val="auto"/>
                <w:lang w:val="en-US" w:eastAsia="zh-CN"/>
              </w:rPr>
              <w:t>程序》、《</w:t>
            </w:r>
            <w:r>
              <w:rPr>
                <w:rFonts w:hint="eastAsia"/>
                <w:color w:val="auto"/>
                <w:szCs w:val="22"/>
              </w:rPr>
              <w:t>培训控制</w:t>
            </w:r>
            <w:r>
              <w:rPr>
                <w:rFonts w:hint="eastAsia"/>
                <w:color w:val="auto"/>
                <w:szCs w:val="22"/>
                <w:lang w:val="en-US" w:eastAsia="zh-CN"/>
              </w:rPr>
              <w:t>程序</w:t>
            </w:r>
            <w:r>
              <w:rPr>
                <w:rFonts w:hint="eastAsia"/>
                <w:color w:val="auto"/>
                <w:lang w:val="en-US" w:eastAsia="zh-CN"/>
              </w:rPr>
              <w:t>》</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rPr>
            </w:pPr>
            <w:r>
              <w:rPr>
                <w:rFonts w:hint="eastAsia"/>
                <w:color w:val="auto"/>
              </w:rPr>
              <w:t>组织工作人员</w:t>
            </w:r>
            <w:r>
              <w:rPr>
                <w:rFonts w:hint="eastAsia"/>
                <w:color w:val="auto"/>
                <w:lang w:val="en-US" w:eastAsia="zh-CN"/>
              </w:rPr>
              <w:t>提高</w:t>
            </w:r>
            <w:r>
              <w:rPr>
                <w:rFonts w:hint="eastAsia"/>
                <w:color w:val="auto"/>
              </w:rPr>
              <w:t>职业健康安全</w:t>
            </w:r>
            <w:r>
              <w:rPr>
                <w:rFonts w:hint="eastAsia"/>
                <w:color w:val="auto"/>
                <w:lang w:val="en-US" w:eastAsia="zh-CN"/>
              </w:rPr>
              <w:t>意识的方式</w:t>
            </w:r>
            <w:r>
              <w:rPr>
                <w:rFonts w:hint="eastAsia"/>
                <w:color w:val="auto"/>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386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2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3868"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151" w:type="dxa"/>
                </w:tcPr>
                <w:p>
                  <w:pPr>
                    <w:jc w:val="center"/>
                    <w:rPr>
                      <w:rFonts w:hint="eastAsia" w:eastAsia="宋体"/>
                      <w:color w:val="auto"/>
                      <w:highlight w:val="none"/>
                      <w:vertAlign w:val="baseline"/>
                      <w:lang w:eastAsia="zh-CN"/>
                    </w:rPr>
                  </w:pPr>
                  <w:r>
                    <w:rPr>
                      <w:rFonts w:hint="eastAsia"/>
                      <w:color w:val="auto"/>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024" w:type="dxa"/>
                </w:tcPr>
                <w:p>
                  <w:pPr>
                    <w:rPr>
                      <w:rFonts w:hint="eastAsia"/>
                      <w:color w:val="auto"/>
                      <w:highlight w:val="none"/>
                      <w:vertAlign w:val="baseline"/>
                    </w:rPr>
                  </w:pPr>
                  <w:r>
                    <w:rPr>
                      <w:rFonts w:hint="eastAsia"/>
                      <w:color w:val="auto"/>
                      <w:highlight w:val="none"/>
                    </w:rPr>
                    <w:t>职业健康安全方针和职业健康安全目标</w:t>
                  </w:r>
                </w:p>
              </w:tc>
              <w:tc>
                <w:tcPr>
                  <w:tcW w:w="3868" w:type="dxa"/>
                  <w:vAlign w:val="center"/>
                </w:tcPr>
                <w:p>
                  <w:pPr>
                    <w:jc w:val="both"/>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与其相关的事件和调查结果</w:t>
                  </w:r>
                </w:p>
              </w:tc>
              <w:tc>
                <w:tcPr>
                  <w:tcW w:w="38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rPr>
                  </w:pPr>
                  <w:r>
                    <w:rPr>
                      <w:rFonts w:hint="eastAsia"/>
                      <w:color w:val="auto"/>
                      <w:highlight w:val="none"/>
                    </w:rPr>
                    <w:t>与其相关的危险源、职业健康安全风险和所确定的措施</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3868"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151" w:type="dxa"/>
                </w:tcPr>
                <w:p>
                  <w:pPr>
                    <w:rPr>
                      <w:rFonts w:hint="eastAsia"/>
                      <w:color w:val="auto"/>
                      <w:highlight w:val="none"/>
                      <w:vertAlign w:val="baseline"/>
                    </w:rPr>
                  </w:pPr>
                </w:p>
              </w:tc>
            </w:tr>
          </w:tbl>
          <w:p>
            <w:pPr>
              <w:rPr>
                <w:rFonts w:hint="default"/>
                <w:color w:val="auto"/>
                <w:lang w:val="en-US" w:eastAsia="zh-CN"/>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vMerge w:val="restart"/>
            <w:vAlign w:val="top"/>
          </w:tcPr>
          <w:p>
            <w:pPr>
              <w:rPr>
                <w:rFonts w:hint="eastAsia"/>
                <w:color w:val="auto"/>
              </w:rPr>
            </w:pPr>
            <w:r>
              <w:rPr>
                <w:rFonts w:hint="eastAsia"/>
                <w:color w:val="auto"/>
                <w:lang w:val="en-US" w:eastAsia="zh-CN"/>
              </w:rPr>
              <w:t>运行</w:t>
            </w:r>
            <w:r>
              <w:rPr>
                <w:rFonts w:hint="eastAsia"/>
                <w:color w:val="auto"/>
              </w:rPr>
              <w:t>控制</w:t>
            </w:r>
          </w:p>
          <w:p>
            <w:pPr>
              <w:rPr>
                <w:color w:val="auto"/>
              </w:rPr>
            </w:pPr>
          </w:p>
        </w:tc>
        <w:tc>
          <w:tcPr>
            <w:tcW w:w="960" w:type="dxa"/>
            <w:vMerge w:val="restart"/>
            <w:vAlign w:val="top"/>
          </w:tcPr>
          <w:p>
            <w:pPr>
              <w:rPr>
                <w:color w:val="auto"/>
              </w:rPr>
            </w:pPr>
            <w:r>
              <w:rPr>
                <w:rFonts w:hint="eastAsia"/>
                <w:color w:val="auto"/>
                <w:szCs w:val="21"/>
                <w:lang w:val="en-US" w:eastAsia="zh-CN"/>
              </w:rPr>
              <w:t>O8.1.1</w:t>
            </w: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w:t>
            </w:r>
            <w:r>
              <w:rPr>
                <w:rFonts w:hint="eastAsia"/>
                <w:color w:val="auto"/>
                <w:szCs w:val="22"/>
                <w:lang w:val="en-US" w:eastAsia="zh-CN"/>
              </w:rPr>
              <w:t>《环境、安全运行控制程序》、《工艺流程图》</w:t>
            </w:r>
            <w:r>
              <w:rPr>
                <w:rFonts w:hint="eastAsia"/>
                <w:color w:val="auto"/>
                <w:lang w:val="en-US" w:eastAsia="zh-CN"/>
              </w:rPr>
              <w:t>、《作业指导书》</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1"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highlight w:val="none"/>
              </w:rPr>
            </w:pPr>
            <w:r>
              <w:rPr>
                <w:rFonts w:hint="eastAsia"/>
                <w:color w:val="auto"/>
                <w:highlight w:val="none"/>
              </w:rPr>
              <w:t>组织应在</w:t>
            </w:r>
            <w:r>
              <w:rPr>
                <w:rFonts w:hint="eastAsia"/>
                <w:color w:val="auto"/>
                <w:highlight w:val="none"/>
                <w:lang w:val="en-US" w:eastAsia="zh-CN"/>
              </w:rPr>
              <w:t>生产过程中</w:t>
            </w:r>
            <w:r>
              <w:rPr>
                <w:rFonts w:hint="eastAsia"/>
                <w:color w:val="auto"/>
                <w:highlight w:val="none"/>
              </w:rPr>
              <w:t>进行</w:t>
            </w:r>
            <w:r>
              <w:rPr>
                <w:rFonts w:hint="eastAsia"/>
                <w:color w:val="auto"/>
                <w:highlight w:val="none"/>
                <w:lang w:val="en-US" w:eastAsia="zh-CN"/>
              </w:rPr>
              <w:t>危险源的控制</w:t>
            </w:r>
            <w:r>
              <w:rPr>
                <w:rFonts w:hint="eastAsia"/>
                <w:color w:val="auto"/>
                <w:highlight w:val="none"/>
              </w:rPr>
              <w:t>。</w:t>
            </w:r>
          </w:p>
          <w:p>
            <w:pPr>
              <w:rPr>
                <w:rFonts w:hint="eastAsia"/>
                <w:color w:val="auto"/>
                <w:highlight w:val="none"/>
                <w:lang w:val="en-US" w:eastAsia="zh-CN"/>
              </w:rPr>
            </w:pPr>
            <w:r>
              <w:rPr>
                <w:rFonts w:hint="eastAsia"/>
                <w:color w:val="auto"/>
                <w:highlight w:val="none"/>
                <w:lang w:val="en-US" w:eastAsia="zh-CN"/>
              </w:rPr>
              <w:t>产品/服务1：</w:t>
            </w:r>
          </w:p>
          <w:p>
            <w:pPr>
              <w:rPr>
                <w:rFonts w:hint="eastAsia"/>
                <w:color w:val="auto"/>
                <w:highlight w:val="none"/>
                <w:lang w:val="en-US" w:eastAsia="zh-CN"/>
              </w:rPr>
            </w:pPr>
            <w:r>
              <w:rPr>
                <w:rFonts w:hint="eastAsia"/>
                <w:color w:val="auto"/>
                <w:highlight w:val="none"/>
                <w:lang w:val="en-US" w:eastAsia="zh-CN"/>
              </w:rPr>
              <w:t>查看</w:t>
            </w:r>
            <w:r>
              <w:rPr>
                <w:rFonts w:hint="eastAsia"/>
                <w:color w:val="auto"/>
                <w:highlight w:val="none"/>
                <w:lang w:val="en-US" w:eastAsia="zh-CN"/>
              </w:rPr>
              <w:sym w:font="Wingdings" w:char="00FE"/>
            </w:r>
            <w:r>
              <w:rPr>
                <w:rFonts w:hint="eastAsia"/>
                <w:color w:val="auto"/>
                <w:highlight w:val="none"/>
                <w:lang w:val="en-US" w:eastAsia="zh-CN"/>
              </w:rPr>
              <w:t xml:space="preserve">《工艺流程图》 </w:t>
            </w:r>
            <w:r>
              <w:rPr>
                <w:rFonts w:hint="eastAsia"/>
                <w:color w:val="auto"/>
                <w:highlight w:val="none"/>
                <w:lang w:val="en-US" w:eastAsia="zh-CN"/>
              </w:rPr>
              <w:sym w:font="Wingdings" w:char="00FE"/>
            </w:r>
            <w:r>
              <w:rPr>
                <w:rFonts w:hint="eastAsia"/>
                <w:color w:val="auto"/>
                <w:highlight w:val="none"/>
                <w:lang w:val="en-US" w:eastAsia="zh-CN"/>
              </w:rPr>
              <w:t>《操作规程》：</w:t>
            </w:r>
          </w:p>
          <w:p>
            <w:pPr>
              <w:rPr>
                <w:rFonts w:hint="default"/>
                <w:lang w:val="en-US" w:eastAsia="zh-CN"/>
              </w:rPr>
            </w:pPr>
            <w:r>
              <w:rPr>
                <w:rFonts w:hint="eastAsia"/>
                <w:lang w:val="en-US" w:eastAsia="zh-CN"/>
              </w:rPr>
              <w:t>生产工艺：采购原材料---主题设备设计---钢材下料---切割---焊接成型---组装---喷漆---检验---出厂</w:t>
            </w:r>
          </w:p>
          <w:p>
            <w:pPr>
              <w:numPr>
                <w:ilvl w:val="0"/>
                <w:numId w:val="0"/>
              </w:numPr>
              <w:bidi w:val="0"/>
              <w:rPr>
                <w:rFonts w:hint="eastAsia"/>
                <w:color w:val="FF0000"/>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询问生产废水是否含有一类污染物，</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有，说明：</w:t>
            </w:r>
            <w:r>
              <w:rPr>
                <w:rFonts w:hint="eastAsia"/>
                <w:color w:val="auto"/>
                <w:highlight w:val="none"/>
                <w:u w:val="single"/>
                <w:vertAlign w:val="baseline"/>
                <w:lang w:val="en-US" w:eastAsia="zh-CN"/>
              </w:rPr>
              <w:t xml:space="preserve">             </w:t>
            </w:r>
          </w:p>
          <w:p>
            <w:pPr>
              <w:rPr>
                <w:rFonts w:hint="default"/>
                <w:color w:val="auto"/>
                <w:szCs w:val="21"/>
                <w:highlight w:val="none"/>
                <w:lang w:val="en-US" w:eastAsia="zh-CN"/>
              </w:rPr>
            </w:pPr>
            <w:r>
              <w:rPr>
                <w:rFonts w:hint="eastAsia"/>
                <w:color w:val="auto"/>
                <w:highlight w:val="none"/>
                <w:lang w:val="en-US" w:eastAsia="zh-CN"/>
              </w:rPr>
              <w:t>车间处理方式：</w:t>
            </w:r>
            <w:r>
              <w:rPr>
                <w:rFonts w:hint="eastAsia"/>
                <w:color w:val="auto"/>
                <w:szCs w:val="21"/>
                <w:highlight w:val="none"/>
                <w:lang w:eastAsia="zh-CN"/>
              </w:rPr>
              <w:t>□</w:t>
            </w:r>
            <w:r>
              <w:rPr>
                <w:rFonts w:hint="eastAsia"/>
                <w:color w:val="auto"/>
                <w:highlight w:val="none"/>
                <w:vertAlign w:val="baseline"/>
                <w:lang w:val="en-US" w:eastAsia="zh-CN"/>
              </w:rPr>
              <w:t xml:space="preserve">循环使用 </w:t>
            </w:r>
            <w:r>
              <w:rPr>
                <w:rFonts w:hint="eastAsia"/>
                <w:color w:val="auto"/>
                <w:szCs w:val="21"/>
                <w:highlight w:val="none"/>
                <w:lang w:eastAsia="zh-CN"/>
              </w:rPr>
              <w:t>□</w:t>
            </w:r>
            <w:r>
              <w:rPr>
                <w:rFonts w:hint="eastAsia"/>
                <w:color w:val="auto"/>
                <w:highlight w:val="none"/>
                <w:vertAlign w:val="baseline"/>
                <w:lang w:val="en-US" w:eastAsia="zh-CN"/>
              </w:rPr>
              <w:t xml:space="preserve">排入公司内部污水处理站 </w:t>
            </w:r>
            <w:r>
              <w:rPr>
                <w:rFonts w:hint="eastAsia"/>
                <w:color w:val="auto"/>
                <w:szCs w:val="21"/>
                <w:highlight w:val="none"/>
                <w:lang w:eastAsia="zh-CN"/>
              </w:rPr>
              <w:t>□</w:t>
            </w:r>
            <w:r>
              <w:rPr>
                <w:rFonts w:hint="eastAsia"/>
                <w:color w:val="auto"/>
                <w:szCs w:val="21"/>
                <w:highlight w:val="none"/>
                <w:lang w:val="en-US" w:eastAsia="zh-CN"/>
              </w:rPr>
              <w:t xml:space="preserve">排入市政管网 </w:t>
            </w:r>
            <w:r>
              <w:rPr>
                <w:rFonts w:hint="eastAsia"/>
                <w:color w:val="auto"/>
                <w:szCs w:val="21"/>
                <w:highlight w:val="none"/>
                <w:lang w:eastAsia="zh-CN"/>
              </w:rPr>
              <w:t>□</w:t>
            </w:r>
            <w:r>
              <w:rPr>
                <w:rFonts w:hint="eastAsia"/>
                <w:color w:val="auto"/>
                <w:szCs w:val="21"/>
                <w:highlight w:val="none"/>
                <w:lang w:val="en-US" w:eastAsia="zh-CN"/>
              </w:rPr>
              <w:t>车间排口处理</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u w:val="none"/>
                <w:lang w:eastAsia="zh-CN"/>
              </w:rPr>
              <w:t>□</w:t>
            </w:r>
            <w:r>
              <w:rPr>
                <w:rFonts w:hint="eastAsia"/>
                <w:color w:val="auto"/>
                <w:highlight w:val="none"/>
                <w:vertAlign w:val="baseline"/>
                <w:lang w:val="en-US" w:eastAsia="zh-CN"/>
              </w:rPr>
              <w:t>有</w:t>
            </w:r>
          </w:p>
          <w:p>
            <w:pPr>
              <w:rPr>
                <w:rFonts w:hint="default"/>
                <w:color w:val="auto"/>
                <w:highlight w:val="none"/>
                <w:u w:val="singl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粉尘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酸性气体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碱性气体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VOC  </w:t>
            </w:r>
            <w:r>
              <w:rPr>
                <w:rFonts w:hint="eastAsia"/>
                <w:color w:val="auto"/>
                <w:szCs w:val="21"/>
                <w:highlight w:val="none"/>
                <w:u w:val="none"/>
                <w:lang w:eastAsia="zh-CN"/>
              </w:rPr>
              <w:t>□其他：</w:t>
            </w:r>
            <w:r>
              <w:rPr>
                <w:rFonts w:hint="eastAsia"/>
                <w:color w:val="auto"/>
                <w:highlight w:val="none"/>
                <w:u w:val="none"/>
                <w:vertAlign w:val="baseline"/>
                <w:lang w:val="en-US" w:eastAsia="zh-CN"/>
              </w:rPr>
              <w:t xml:space="preserve">        </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询问生产车间是否有较大噪声排放，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lang w:eastAsia="zh-CN"/>
              </w:rPr>
              <w:t>□</w:t>
            </w:r>
            <w:r>
              <w:rPr>
                <w:rFonts w:hint="eastAsia"/>
                <w:color w:val="auto"/>
                <w:highlight w:val="none"/>
                <w:u w:val="none"/>
                <w:vertAlign w:val="baseline"/>
                <w:lang w:val="en-US" w:eastAsia="zh-CN"/>
              </w:rPr>
              <w:t xml:space="preserve">设备运转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压缩空气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锻造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询问减少噪声危害的措施：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设备减震  </w:t>
            </w:r>
            <w:r>
              <w:rPr>
                <w:rFonts w:hint="eastAsia"/>
                <w:color w:val="auto"/>
                <w:szCs w:val="21"/>
                <w:highlight w:val="none"/>
                <w:u w:val="none"/>
                <w:lang w:eastAsia="zh-CN"/>
              </w:rPr>
              <w:t>□</w:t>
            </w:r>
            <w:r>
              <w:rPr>
                <w:rFonts w:hint="eastAsia"/>
                <w:color w:val="auto"/>
                <w:szCs w:val="21"/>
                <w:highlight w:val="none"/>
                <w:u w:val="none"/>
                <w:lang w:val="en-US" w:eastAsia="zh-CN"/>
              </w:rPr>
              <w:t xml:space="preserve">隔离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戴耳塞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p>
          <w:p>
            <w:pPr>
              <w:rPr>
                <w:rFonts w:hint="eastAsia"/>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询问生产车间是否有害废气排放，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原材料产生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工序产生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设备泄露 </w:t>
            </w:r>
            <w:r>
              <w:rPr>
                <w:rFonts w:hint="eastAsia"/>
                <w:color w:val="auto"/>
                <w:szCs w:val="21"/>
                <w:highlight w:val="none"/>
                <w:u w:val="none"/>
                <w:lang w:eastAsia="zh-CN"/>
              </w:rPr>
              <w:t>□</w:t>
            </w:r>
            <w:r>
              <w:rPr>
                <w:rFonts w:hint="eastAsia"/>
                <w:color w:val="auto"/>
                <w:szCs w:val="21"/>
                <w:highlight w:val="none"/>
                <w:u w:val="none"/>
                <w:lang w:val="en-US" w:eastAsia="zh-CN"/>
              </w:rPr>
              <w:t xml:space="preserve">其他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询问减少废气危害的措施：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设备密封 </w:t>
            </w:r>
            <w:r>
              <w:rPr>
                <w:rFonts w:hint="eastAsia"/>
                <w:color w:val="auto"/>
                <w:szCs w:val="21"/>
                <w:highlight w:val="none"/>
                <w:u w:val="none"/>
                <w:lang w:eastAsia="zh-CN"/>
              </w:rPr>
              <w:t>□</w:t>
            </w:r>
            <w:r>
              <w:rPr>
                <w:rFonts w:hint="eastAsia"/>
                <w:color w:val="auto"/>
                <w:szCs w:val="21"/>
                <w:highlight w:val="none"/>
                <w:u w:val="none"/>
                <w:lang w:val="en-US" w:eastAsia="zh-CN"/>
              </w:rPr>
              <w:t>人员隔离</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戴口罩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pStyle w:val="10"/>
              <w:rPr>
                <w:rFonts w:hint="default"/>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询问生产车间是否使用危险化学品，</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widowControl/>
              <w:numPr>
                <w:ilvl w:val="0"/>
                <w:numId w:val="0"/>
              </w:numPr>
              <w:spacing w:before="40"/>
              <w:jc w:val="left"/>
              <w:rPr>
                <w:rFonts w:hint="eastAsia"/>
                <w:color w:val="auto"/>
                <w:highlight w:val="none"/>
                <w:lang w:val="en-US" w:eastAsia="zh-CN"/>
              </w:rPr>
            </w:pPr>
            <w:r>
              <w:rPr>
                <w:rFonts w:hint="eastAsia"/>
                <w:color w:val="auto"/>
                <w:highlight w:val="none"/>
                <w:vertAlign w:val="baseline"/>
                <w:lang w:val="en-US" w:eastAsia="zh-CN"/>
              </w:rPr>
              <w:t>危化品的特性：</w:t>
            </w:r>
            <w:r>
              <w:rPr>
                <w:rFonts w:hint="default"/>
                <w:color w:val="auto"/>
                <w:highlight w:val="none"/>
                <w:lang w:val="en-US" w:eastAsia="zh-CN"/>
              </w:rPr>
              <w:sym w:font="Wingdings" w:char="00A8"/>
            </w:r>
            <w:r>
              <w:rPr>
                <w:rFonts w:hint="eastAsia"/>
                <w:color w:val="auto"/>
                <w:highlight w:val="none"/>
                <w:lang w:val="en-US" w:eastAsia="zh-CN"/>
              </w:rPr>
              <w:t xml:space="preserve">易燃   </w:t>
            </w:r>
            <w:r>
              <w:rPr>
                <w:rFonts w:hint="default"/>
                <w:color w:val="auto"/>
                <w:highlight w:val="none"/>
                <w:lang w:val="en-US" w:eastAsia="zh-CN"/>
              </w:rPr>
              <w:sym w:font="Wingdings" w:char="00A8"/>
            </w:r>
            <w:r>
              <w:rPr>
                <w:rFonts w:hint="eastAsia"/>
                <w:color w:val="auto"/>
                <w:highlight w:val="none"/>
                <w:lang w:val="en-US" w:eastAsia="zh-CN"/>
              </w:rPr>
              <w:t xml:space="preserve">易爆    </w:t>
            </w:r>
            <w:r>
              <w:rPr>
                <w:rFonts w:hint="default"/>
                <w:color w:val="auto"/>
                <w:highlight w:val="none"/>
                <w:lang w:val="en-US" w:eastAsia="zh-CN"/>
              </w:rPr>
              <w:sym w:font="Wingdings" w:char="00A8"/>
            </w:r>
            <w:r>
              <w:rPr>
                <w:rFonts w:hint="eastAsia"/>
                <w:color w:val="auto"/>
                <w:highlight w:val="none"/>
                <w:lang w:val="en-US" w:eastAsia="zh-CN"/>
              </w:rPr>
              <w:t xml:space="preserve">腐蚀性   </w:t>
            </w:r>
            <w:r>
              <w:rPr>
                <w:rFonts w:hint="default"/>
                <w:color w:val="auto"/>
                <w:highlight w:val="none"/>
                <w:lang w:val="en-US" w:eastAsia="zh-CN"/>
              </w:rPr>
              <w:sym w:font="Wingdings" w:char="00A8"/>
            </w:r>
            <w:r>
              <w:rPr>
                <w:rFonts w:hint="eastAsia"/>
                <w:color w:val="auto"/>
                <w:highlight w:val="none"/>
                <w:lang w:val="en-US" w:eastAsia="zh-CN"/>
              </w:rPr>
              <w:t xml:space="preserve">有毒   </w:t>
            </w:r>
            <w:r>
              <w:rPr>
                <w:rFonts w:hint="default"/>
                <w:color w:val="auto"/>
                <w:highlight w:val="none"/>
                <w:lang w:val="en-US" w:eastAsia="zh-CN"/>
              </w:rPr>
              <w:sym w:font="Wingdings" w:char="00A8"/>
            </w:r>
            <w:r>
              <w:rPr>
                <w:rFonts w:hint="eastAsia"/>
                <w:color w:val="auto"/>
                <w:highlight w:val="none"/>
                <w:lang w:val="en-US" w:eastAsia="zh-CN"/>
              </w:rPr>
              <w:t xml:space="preserve">有害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default"/>
                <w:color w:val="auto"/>
                <w:highlight w:val="none"/>
                <w:vertAlign w:val="baseline"/>
                <w:lang w:val="en-US" w:eastAsia="zh-CN"/>
              </w:rPr>
            </w:pPr>
            <w:r>
              <w:rPr>
                <w:rFonts w:hint="eastAsia"/>
                <w:color w:val="auto"/>
                <w:highlight w:val="none"/>
                <w:vertAlign w:val="baseline"/>
                <w:lang w:val="en-US" w:eastAsia="zh-CN"/>
              </w:rPr>
              <w:t>查看相关MSDS或告知牌的发放和使用情况，</w:t>
            </w: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p>
            <w:pPr>
              <w:rPr>
                <w:rFonts w:hint="eastAsia"/>
                <w:color w:val="auto"/>
                <w:highlight w:val="none"/>
                <w:u w:val="single"/>
                <w:lang w:val="en-US" w:eastAsia="zh-CN"/>
              </w:rPr>
            </w:pPr>
            <w:r>
              <w:rPr>
                <w:rFonts w:hint="eastAsia"/>
                <w:color w:val="auto"/>
                <w:highlight w:val="none"/>
                <w:lang w:val="en-US" w:eastAsia="zh-CN"/>
              </w:rPr>
              <w:t>查看车间危化品管理的情况（适用时）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76"/>
              <w:gridCol w:w="150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危化品名称</w:t>
                  </w:r>
                </w:p>
              </w:tc>
              <w:tc>
                <w:tcPr>
                  <w:tcW w:w="87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是否有MSDS</w:t>
                  </w:r>
                </w:p>
              </w:tc>
              <w:tc>
                <w:tcPr>
                  <w:tcW w:w="1507"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危害特性</w:t>
                  </w:r>
                </w:p>
              </w:tc>
              <w:tc>
                <w:tcPr>
                  <w:tcW w:w="16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控制措施要求</w:t>
                  </w:r>
                </w:p>
              </w:tc>
              <w:tc>
                <w:tcPr>
                  <w:tcW w:w="1566" w:type="dxa"/>
                  <w:vAlign w:val="center"/>
                </w:tcPr>
                <w:p>
                  <w:pPr>
                    <w:jc w:val="both"/>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措施落实情况</w:t>
                  </w:r>
                </w:p>
              </w:tc>
              <w:tc>
                <w:tcPr>
                  <w:tcW w:w="204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r>
                    <w:rPr>
                      <w:rFonts w:hint="eastAsia"/>
                      <w:color w:val="auto"/>
                      <w:highlight w:val="none"/>
                      <w:vertAlign w:val="baseline"/>
                      <w:lang w:val="en-US" w:eastAsia="zh-CN"/>
                    </w:rPr>
                    <w:t>无</w:t>
                  </w: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bl>
          <w:p>
            <w:pPr>
              <w:rPr>
                <w:rFonts w:hint="default" w:ascii="Times New Roman" w:hAnsi="Times New Roman" w:eastAsia="宋体" w:cs="Times New Roman"/>
                <w:color w:val="auto"/>
                <w:kern w:val="2"/>
                <w:sz w:val="21"/>
                <w:highlight w:val="cyan"/>
                <w:lang w:val="en-US" w:eastAsia="zh-CN" w:bidi="ar-SA"/>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如：管理手册第8.1.3条款、</w:t>
            </w:r>
          </w:p>
        </w:tc>
        <w:tc>
          <w:tcPr>
            <w:tcW w:w="1585" w:type="dxa"/>
            <w:vMerge w:val="restart"/>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306"/>
              <w:gridCol w:w="2272"/>
              <w:gridCol w:w="126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306"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2272"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1208"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306" w:type="dxa"/>
                </w:tcPr>
                <w:p>
                  <w:pPr>
                    <w:rPr>
                      <w:rFonts w:hint="default"/>
                      <w:color w:val="auto"/>
                      <w:highlight w:val="none"/>
                      <w:vertAlign w:val="baseline"/>
                      <w:lang w:val="en-US" w:eastAsia="zh-CN"/>
                    </w:rPr>
                  </w:pPr>
                </w:p>
              </w:tc>
              <w:tc>
                <w:tcPr>
                  <w:tcW w:w="2272" w:type="dxa"/>
                </w:tcPr>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临时性</w:t>
                  </w:r>
                  <w:r>
                    <w:rPr>
                      <w:rFonts w:hint="eastAsia"/>
                      <w:color w:val="auto"/>
                      <w:highlight w:val="none"/>
                      <w:lang w:val="en-US" w:eastAsia="zh-CN"/>
                    </w:rPr>
                    <w:t xml:space="preserve"> </w:t>
                  </w: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1208" w:type="dxa"/>
                </w:tcPr>
                <w:p>
                  <w:pPr>
                    <w:rPr>
                      <w:rFonts w:hint="default"/>
                      <w:color w:val="auto"/>
                      <w:highlight w:val="none"/>
                      <w:vertAlign w:val="baseline"/>
                      <w:lang w:val="en-US" w:eastAsia="zh-CN"/>
                    </w:rPr>
                  </w:pPr>
                </w:p>
              </w:tc>
            </w:tr>
          </w:tbl>
          <w:p>
            <w:pPr>
              <w:rPr>
                <w:rFonts w:hint="eastAsia"/>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b/>
                <w:bCs/>
                <w:color w:val="auto"/>
                <w:highlight w:val="none"/>
                <w:lang w:eastAsia="zh-CN"/>
              </w:rPr>
            </w:pPr>
            <w:r>
              <w:rPr>
                <w:rFonts w:hint="eastAsia"/>
                <w:b/>
                <w:bCs/>
                <w:color w:val="auto"/>
                <w:highlight w:val="none"/>
              </w:rPr>
              <w:t>监视和测量</w:t>
            </w:r>
          </w:p>
        </w:tc>
        <w:tc>
          <w:tcPr>
            <w:tcW w:w="960" w:type="dxa"/>
            <w:vMerge w:val="restart"/>
          </w:tcPr>
          <w:p>
            <w:pPr>
              <w:rPr>
                <w:rFonts w:hint="eastAsia" w:eastAsia="宋体"/>
                <w:b/>
                <w:bCs/>
                <w:color w:val="auto"/>
                <w:highlight w:val="none"/>
                <w:lang w:eastAsia="zh-CN"/>
              </w:rPr>
            </w:pPr>
            <w:r>
              <w:rPr>
                <w:rFonts w:hint="eastAsia"/>
                <w:b/>
                <w:bCs/>
                <w:color w:val="auto"/>
                <w:highlight w:val="none"/>
                <w:lang w:val="en-US" w:eastAsia="zh-CN"/>
              </w:rPr>
              <w:t>O9</w:t>
            </w:r>
            <w:r>
              <w:rPr>
                <w:rFonts w:hint="eastAsia"/>
                <w:b/>
                <w:bCs/>
                <w:color w:val="auto"/>
                <w:highlight w:val="none"/>
              </w:rPr>
              <w:t>.1.</w:t>
            </w:r>
            <w:r>
              <w:rPr>
                <w:rFonts w:hint="eastAsia"/>
                <w:b/>
                <w:bCs/>
                <w:color w:val="auto"/>
                <w:highlight w:val="none"/>
                <w:lang w:val="en-US" w:eastAsia="zh-CN"/>
              </w:rPr>
              <w:t>1</w:t>
            </w:r>
          </w:p>
        </w:tc>
        <w:tc>
          <w:tcPr>
            <w:tcW w:w="74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highlight w:val="none"/>
                <w:lang w:val="en-US" w:eastAsia="zh-CN"/>
              </w:rPr>
              <w:t>《</w:t>
            </w:r>
            <w:r>
              <w:rPr>
                <w:rFonts w:hint="eastAsia" w:ascii="宋体" w:hAnsi="宋体" w:cs="Arial"/>
                <w:color w:val="auto"/>
                <w:szCs w:val="21"/>
              </w:rPr>
              <w:t>绩效的监测和测量控制程序</w:t>
            </w:r>
            <w:r>
              <w:rPr>
                <w:rFonts w:hint="eastAsia"/>
                <w:color w:val="auto"/>
                <w:highlight w:val="none"/>
                <w:lang w:val="en-US" w:eastAsia="zh-CN"/>
              </w:rPr>
              <w:t>》、</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w:t>
            </w:r>
            <w:r>
              <w:rPr>
                <w:rFonts w:hint="eastAsia"/>
                <w:color w:val="auto"/>
                <w:highlight w:val="none"/>
                <w:lang w:val="en-US" w:eastAsia="zh-CN"/>
              </w:rPr>
              <w:t>手册</w:t>
            </w:r>
          </w:p>
        </w:tc>
        <w:tc>
          <w:tcPr>
            <w:tcW w:w="1585" w:type="dxa"/>
            <w:vMerge w:val="restart"/>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736"/>
              <w:gridCol w:w="1869"/>
              <w:gridCol w:w="17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736"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69" w:type="dxa"/>
                  <w:vAlign w:val="center"/>
                </w:tcPr>
                <w:p>
                  <w:pPr>
                    <w:jc w:val="center"/>
                    <w:rPr>
                      <w:rFonts w:hint="eastAsia"/>
                      <w:color w:val="auto"/>
                      <w:highlight w:val="none"/>
                      <w:lang w:val="en-US" w:eastAsia="zh-CN"/>
                    </w:rPr>
                  </w:pPr>
                  <w:r>
                    <w:rPr>
                      <w:rFonts w:hint="eastAsia"/>
                      <w:color w:val="auto"/>
                      <w:highlight w:val="none"/>
                      <w:lang w:val="en-US" w:eastAsia="zh-CN"/>
                    </w:rPr>
                    <w:t>监视和测量的频次和时机</w:t>
                  </w:r>
                </w:p>
              </w:tc>
              <w:tc>
                <w:tcPr>
                  <w:tcW w:w="1780"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vAlign w:val="center"/>
                </w:tcPr>
                <w:p>
                  <w:pPr>
                    <w:jc w:val="cente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满足法律法规要求和其他要求的程度；</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6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default"/>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center"/>
                </w:tcPr>
                <w:p>
                  <w:pPr>
                    <w:jc w:val="both"/>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实现组织职业健康安全目标的进展情况</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6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center"/>
                </w:tcPr>
                <w:p>
                  <w:pPr>
                    <w:widowControl/>
                    <w:spacing w:before="40"/>
                    <w:jc w:val="both"/>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vAlign w:val="center"/>
                </w:tcPr>
                <w:p>
                  <w:pPr>
                    <w:jc w:val="both"/>
                    <w:rPr>
                      <w:rFonts w:hint="eastAsia"/>
                      <w:color w:val="auto"/>
                      <w:highlight w:val="none"/>
                    </w:rPr>
                  </w:pPr>
                  <w:r>
                    <w:rPr>
                      <w:rFonts w:hint="eastAsia"/>
                      <w:color w:val="auto"/>
                      <w:highlight w:val="none"/>
                    </w:rPr>
                    <w:t>运行控制和其他控制的有效性</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eastAsia"/>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每季度</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69" w:type="dxa"/>
                  <w:vAlign w:val="center"/>
                </w:tcPr>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b/>
                <w:bCs/>
                <w:color w:val="auto"/>
                <w:lang w:val="en-US" w:eastAsia="zh-CN"/>
              </w:rPr>
            </w:pPr>
            <w:r>
              <w:rPr>
                <w:rFonts w:hint="eastAsia"/>
                <w:b/>
                <w:bCs/>
                <w:color w:val="auto"/>
                <w:lang w:val="en-US" w:eastAsia="zh-CN"/>
              </w:rPr>
              <w:t>管理评审</w:t>
            </w:r>
          </w:p>
        </w:tc>
        <w:tc>
          <w:tcPr>
            <w:tcW w:w="960" w:type="dxa"/>
            <w:vMerge w:val="restart"/>
          </w:tcPr>
          <w:p>
            <w:pPr>
              <w:rPr>
                <w:rFonts w:hint="default" w:eastAsia="宋体"/>
                <w:b/>
                <w:bCs/>
                <w:color w:val="auto"/>
                <w:lang w:val="en-US" w:eastAsia="zh-CN"/>
              </w:rPr>
            </w:pPr>
            <w:r>
              <w:rPr>
                <w:rFonts w:hint="eastAsia"/>
                <w:b/>
                <w:bCs/>
                <w:color w:val="auto"/>
                <w:lang w:val="en-US" w:eastAsia="zh-CN"/>
              </w:rPr>
              <w:t>O9.3</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lang w:val="en-US" w:eastAsia="zh-CN" w:bidi="ar-SA"/>
              </w:rPr>
            </w:pPr>
            <w:r>
              <w:rPr>
                <w:rFonts w:hint="eastAsia"/>
                <w:color w:val="auto"/>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lang w:val="en-US" w:eastAsia="zh-CN"/>
              </w:rPr>
              <w:t xml:space="preserve">《管理评审控制程序》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管理手册第9.3章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3" w:hRule="atLeast"/>
        </w:trPr>
        <w:tc>
          <w:tcPr>
            <w:tcW w:w="2160" w:type="dxa"/>
            <w:vMerge w:val="continue"/>
          </w:tcPr>
          <w:p>
            <w:pPr>
              <w:rPr>
                <w:rFonts w:hint="default" w:eastAsia="宋体"/>
                <w:color w:val="auto"/>
                <w:lang w:val="en-US" w:eastAsia="zh-CN"/>
              </w:rPr>
            </w:pPr>
          </w:p>
        </w:tc>
        <w:tc>
          <w:tcPr>
            <w:tcW w:w="960" w:type="dxa"/>
            <w:vMerge w:val="continue"/>
          </w:tcPr>
          <w:p>
            <w:pPr>
              <w:rPr>
                <w:color w:val="auto"/>
              </w:rPr>
            </w:pPr>
          </w:p>
        </w:tc>
        <w:tc>
          <w:tcPr>
            <w:tcW w:w="745" w:type="dxa"/>
          </w:tcPr>
          <w:p>
            <w:pPr>
              <w:rPr>
                <w:color w:val="auto"/>
              </w:rPr>
            </w:pPr>
            <w:r>
              <w:rPr>
                <w:rFonts w:hint="eastAsia"/>
                <w:color w:val="auto"/>
                <w:lang w:val="en-US" w:eastAsia="zh-CN"/>
              </w:rPr>
              <w:t>运行证据</w:t>
            </w:r>
          </w:p>
        </w:tc>
        <w:tc>
          <w:tcPr>
            <w:tcW w:w="9259" w:type="dxa"/>
          </w:tcPr>
          <w:p>
            <w:pPr>
              <w:widowControl/>
              <w:spacing w:before="40"/>
              <w:jc w:val="left"/>
              <w:rPr>
                <w:rFonts w:hint="eastAsia"/>
                <w:color w:val="auto"/>
                <w:szCs w:val="18"/>
              </w:rPr>
            </w:pPr>
            <w:r>
              <w:rPr>
                <w:rFonts w:hint="eastAsia"/>
                <w:color w:val="auto"/>
                <w:szCs w:val="18"/>
              </w:rPr>
              <w:t>自</w:t>
            </w:r>
            <w:r>
              <w:rPr>
                <w:rFonts w:hint="default"/>
                <w:color w:val="auto"/>
                <w:lang w:val="en-US" w:eastAsia="zh-CN"/>
              </w:rPr>
              <w:sym w:font="Wingdings" w:char="00FE"/>
            </w:r>
            <w:r>
              <w:rPr>
                <w:rFonts w:hint="eastAsia"/>
                <w:color w:val="auto"/>
                <w:szCs w:val="18"/>
              </w:rPr>
              <w:t>管理体系建立后</w:t>
            </w:r>
            <w:r>
              <w:rPr>
                <w:rFonts w:hint="eastAsia"/>
                <w:color w:val="auto"/>
                <w:szCs w:val="18"/>
                <w:lang w:val="en-US" w:eastAsia="zh-CN"/>
              </w:rPr>
              <w:t>/</w:t>
            </w:r>
            <w:r>
              <w:rPr>
                <w:rFonts w:hint="default"/>
                <w:color w:val="auto"/>
                <w:lang w:val="en-US" w:eastAsia="zh-CN"/>
              </w:rPr>
              <w:sym w:font="Wingdings" w:char="00A8"/>
            </w:r>
            <w:r>
              <w:rPr>
                <w:rFonts w:hint="eastAsia"/>
                <w:color w:val="auto"/>
                <w:lang w:val="en-US" w:eastAsia="zh-CN"/>
              </w:rPr>
              <w:t>近一年</w:t>
            </w:r>
            <w:r>
              <w:rPr>
                <w:rFonts w:hint="eastAsia"/>
                <w:color w:val="auto"/>
                <w:szCs w:val="18"/>
              </w:rPr>
              <w:t>，于</w:t>
            </w:r>
            <w:r>
              <w:rPr>
                <w:rFonts w:hint="eastAsia"/>
                <w:color w:val="auto"/>
                <w:szCs w:val="18"/>
                <w:u w:val="single"/>
              </w:rPr>
              <w:t xml:space="preserve"> </w:t>
            </w:r>
            <w:r>
              <w:rPr>
                <w:rFonts w:hint="eastAsia"/>
                <w:color w:val="auto"/>
                <w:szCs w:val="18"/>
                <w:u w:val="single"/>
                <w:lang w:val="en-US" w:eastAsia="zh-CN"/>
              </w:rPr>
              <w:t>2020</w:t>
            </w:r>
            <w:r>
              <w:rPr>
                <w:color w:val="auto"/>
                <w:szCs w:val="18"/>
                <w:u w:val="single"/>
              </w:rPr>
              <w:t xml:space="preserve"> </w:t>
            </w:r>
            <w:r>
              <w:rPr>
                <w:rFonts w:hint="eastAsia"/>
                <w:color w:val="auto"/>
                <w:szCs w:val="18"/>
              </w:rPr>
              <w:t>年</w:t>
            </w:r>
            <w:r>
              <w:rPr>
                <w:rFonts w:hint="eastAsia"/>
                <w:color w:val="auto"/>
                <w:szCs w:val="18"/>
                <w:u w:val="single"/>
              </w:rPr>
              <w:t xml:space="preserve"> </w:t>
            </w:r>
            <w:r>
              <w:rPr>
                <w:rFonts w:hint="eastAsia"/>
                <w:color w:val="auto"/>
                <w:szCs w:val="18"/>
                <w:u w:val="single"/>
                <w:lang w:val="en-US" w:eastAsia="zh-CN"/>
              </w:rPr>
              <w:t>9</w:t>
            </w:r>
            <w:r>
              <w:rPr>
                <w:rFonts w:hint="eastAsia"/>
                <w:color w:val="auto"/>
                <w:szCs w:val="18"/>
              </w:rPr>
              <w:t>月</w:t>
            </w:r>
            <w:r>
              <w:rPr>
                <w:rFonts w:hint="eastAsia"/>
                <w:color w:val="auto"/>
                <w:szCs w:val="18"/>
                <w:u w:val="single"/>
              </w:rPr>
              <w:t xml:space="preserve"> </w:t>
            </w:r>
            <w:r>
              <w:rPr>
                <w:rFonts w:hint="eastAsia"/>
                <w:color w:val="auto"/>
                <w:szCs w:val="18"/>
                <w:u w:val="single"/>
                <w:lang w:val="en-US" w:eastAsia="zh-CN"/>
              </w:rPr>
              <w:t>10</w:t>
            </w:r>
            <w:r>
              <w:rPr>
                <w:color w:val="auto"/>
                <w:szCs w:val="18"/>
                <w:u w:val="single"/>
              </w:rPr>
              <w:t xml:space="preserve"> </w:t>
            </w:r>
            <w:r>
              <w:rPr>
                <w:rFonts w:hint="eastAsia"/>
                <w:color w:val="auto"/>
                <w:szCs w:val="18"/>
              </w:rPr>
              <w:t>日实施了管理评审；</w:t>
            </w:r>
          </w:p>
          <w:p>
            <w:pPr>
              <w:widowControl/>
              <w:spacing w:before="40"/>
              <w:jc w:val="left"/>
              <w:rPr>
                <w:rFonts w:hint="eastAsia" w:eastAsia="宋体"/>
                <w:color w:val="auto"/>
                <w:szCs w:val="18"/>
                <w:lang w:val="en-US" w:eastAsia="zh-CN"/>
              </w:rPr>
            </w:pPr>
            <w:r>
              <w:rPr>
                <w:rFonts w:hint="eastAsia"/>
                <w:color w:val="auto"/>
                <w:szCs w:val="18"/>
                <w:lang w:val="en-US" w:eastAsia="zh-CN"/>
              </w:rPr>
              <w:t>查看</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计划  </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记录（工作总结）  </w:t>
            </w:r>
            <w:r>
              <w:rPr>
                <w:rFonts w:hint="eastAsia"/>
                <w:color w:val="auto"/>
                <w:szCs w:val="21"/>
              </w:rPr>
              <w:t>□管理评审</w:t>
            </w:r>
            <w:r>
              <w:rPr>
                <w:rFonts w:hint="eastAsia"/>
                <w:color w:val="auto"/>
                <w:szCs w:val="21"/>
                <w:lang w:val="en-US" w:eastAsia="zh-CN"/>
              </w:rPr>
              <w:t xml:space="preserve">纪要  </w:t>
            </w:r>
            <w:r>
              <w:rPr>
                <w:rFonts w:hint="eastAsia"/>
                <w:color w:val="auto"/>
                <w:szCs w:val="21"/>
                <w:lang w:eastAsia="zh-CN"/>
              </w:rPr>
              <w:t>☑</w:t>
            </w:r>
            <w:r>
              <w:rPr>
                <w:rFonts w:hint="eastAsia"/>
                <w:color w:val="auto"/>
                <w:szCs w:val="21"/>
              </w:rPr>
              <w:t>管理评审</w:t>
            </w:r>
            <w:r>
              <w:rPr>
                <w:rFonts w:hint="eastAsia"/>
                <w:color w:val="auto"/>
                <w:szCs w:val="21"/>
                <w:lang w:val="en-US" w:eastAsia="zh-CN"/>
              </w:rPr>
              <w:t>报告</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2"/>
                      <w:highlight w:val="none"/>
                      <w:lang w:val="en-US" w:eastAsia="zh-CN"/>
                    </w:rPr>
                    <w:t>为管理体系建立以来的第一次评审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新增部分法规，监管日趋严格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近期职业健康安全目标已完成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2020年无处罚、内审不符合项已整改完成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加强员工培训，加深标准理解</w:t>
                  </w:r>
                </w:p>
              </w:tc>
            </w:tr>
          </w:tbl>
          <w:p>
            <w:pPr>
              <w:widowControl/>
              <w:spacing w:before="40"/>
              <w:jc w:val="left"/>
              <w:rPr>
                <w:rFonts w:hint="default"/>
                <w:color w:val="auto"/>
                <w:szCs w:val="21"/>
                <w:lang w:val="en-US" w:eastAsia="zh-CN"/>
              </w:rPr>
            </w:pPr>
          </w:p>
          <w:p>
            <w:pPr>
              <w:widowControl/>
              <w:spacing w:before="40"/>
              <w:jc w:val="left"/>
              <w:rPr>
                <w:rFonts w:hint="default"/>
                <w:color w:val="auto"/>
                <w:szCs w:val="21"/>
                <w:highlight w:val="cyan"/>
                <w:u w:val="single"/>
                <w:lang w:val="en-US" w:eastAsia="zh-CN"/>
              </w:rPr>
            </w:pPr>
            <w:r>
              <w:rPr>
                <w:rFonts w:hint="eastAsia"/>
                <w:color w:val="auto"/>
                <w:szCs w:val="21"/>
                <w:highlight w:val="none"/>
                <w:vertAlign w:val="baseline"/>
                <w:lang w:val="en-US" w:eastAsia="zh-CN"/>
              </w:rPr>
              <w:t>对</w:t>
            </w:r>
            <w:r>
              <w:rPr>
                <w:rFonts w:hint="eastAsia"/>
                <w:color w:val="auto"/>
              </w:rPr>
              <w:t>职业健康安全</w:t>
            </w:r>
            <w:r>
              <w:rPr>
                <w:rFonts w:hint="eastAsia"/>
                <w:color w:val="auto"/>
                <w:szCs w:val="21"/>
                <w:highlight w:val="none"/>
                <w:vertAlign w:val="baseline"/>
                <w:lang w:val="en-US" w:eastAsia="zh-CN"/>
              </w:rPr>
              <w:t>管理体系的持续适宜性，充分性，有效性的结论。</w:t>
            </w:r>
            <w:r>
              <w:rPr>
                <w:rFonts w:hint="eastAsia"/>
                <w:color w:val="auto"/>
                <w:szCs w:val="21"/>
                <w:lang w:eastAsia="zh-CN"/>
              </w:rPr>
              <w:t>☑</w:t>
            </w:r>
            <w:r>
              <w:rPr>
                <w:rFonts w:hint="eastAsia"/>
                <w:color w:val="auto"/>
                <w:highlight w:val="none"/>
                <w:lang w:val="en-US" w:eastAsia="zh-CN"/>
              </w:rPr>
              <w:t>满足</w:t>
            </w:r>
            <w:r>
              <w:rPr>
                <w:rFonts w:hint="eastAsia"/>
                <w:color w:val="auto"/>
                <w:szCs w:val="21"/>
                <w:lang w:val="en-US" w:eastAsia="zh-CN"/>
              </w:rPr>
              <w:t xml:space="preserve"> </w:t>
            </w:r>
            <w:r>
              <w:rPr>
                <w:rFonts w:hint="eastAsia"/>
                <w:color w:val="auto"/>
                <w:szCs w:val="21"/>
              </w:rPr>
              <w:t>□</w:t>
            </w:r>
            <w:r>
              <w:rPr>
                <w:rFonts w:hint="eastAsia"/>
                <w:color w:val="auto"/>
                <w:highlight w:val="none"/>
                <w:lang w:val="en-US" w:eastAsia="zh-CN"/>
              </w:rPr>
              <w:t>不满足，说明</w:t>
            </w:r>
            <w:r>
              <w:rPr>
                <w:rFonts w:hint="eastAsia"/>
                <w:color w:val="auto"/>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center"/>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加强员工培训</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暂无变更需要</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基本满足体系运行需要</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持续改进，提高一体化运行质量</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根据法规要求修正经营方式和经营侧重点，及时调整，提升服务质量、安全</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color w:val="auto"/>
                <w:highlight w:val="cyan"/>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改进措施未落实的原因：</w:t>
            </w:r>
            <w:r>
              <w:rPr>
                <w:rFonts w:hint="eastAsia"/>
                <w:color w:val="auto"/>
                <w:highlight w:val="none"/>
                <w:u w:val="single"/>
                <w:lang w:val="en-US" w:eastAsia="zh-CN"/>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b/>
                <w:bCs/>
                <w:color w:val="auto"/>
                <w:lang w:val="en-US" w:eastAsia="zh-CN"/>
              </w:rPr>
            </w:pPr>
            <w:r>
              <w:rPr>
                <w:rFonts w:hint="eastAsia"/>
                <w:b/>
                <w:bCs/>
                <w:color w:val="auto"/>
                <w:lang w:val="en-US" w:eastAsia="zh-CN"/>
              </w:rPr>
              <w:t>改进</w:t>
            </w:r>
          </w:p>
        </w:tc>
        <w:tc>
          <w:tcPr>
            <w:tcW w:w="960" w:type="dxa"/>
            <w:vMerge w:val="restart"/>
          </w:tcPr>
          <w:p>
            <w:pPr>
              <w:rPr>
                <w:rFonts w:hint="default" w:eastAsia="宋体"/>
                <w:b/>
                <w:bCs/>
                <w:color w:val="auto"/>
                <w:lang w:val="en-US" w:eastAsia="zh-CN"/>
              </w:rPr>
            </w:pPr>
            <w:r>
              <w:rPr>
                <w:rFonts w:hint="eastAsia"/>
                <w:b/>
                <w:bCs/>
                <w:color w:val="auto"/>
                <w:lang w:val="en-US" w:eastAsia="zh-CN"/>
              </w:rPr>
              <w:t>Q10.1</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jc w:val="both"/>
              <w:rPr>
                <w:rFonts w:hint="default"/>
                <w:color w:val="auto"/>
                <w:lang w:val="en-US" w:eastAsia="zh-CN"/>
              </w:rPr>
            </w:pPr>
            <w:r>
              <w:rPr>
                <w:rFonts w:hint="eastAsia"/>
                <w:color w:val="auto"/>
                <w:lang w:val="en-US" w:eastAsia="zh-CN"/>
              </w:rPr>
              <w:t>如：</w:t>
            </w:r>
            <w:r>
              <w:rPr>
                <w:rFonts w:hint="eastAsia"/>
                <w:color w:val="auto"/>
              </w:rPr>
              <w:sym w:font="Wingdings" w:char="00FE"/>
            </w:r>
            <w:r>
              <w:rPr>
                <w:rFonts w:hint="eastAsia"/>
                <w:color w:val="auto"/>
                <w:lang w:val="en-US" w:eastAsia="zh-CN"/>
              </w:rPr>
              <w:t>管理手册10.1章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lang w:val="en-US" w:eastAsia="zh-CN"/>
              </w:rPr>
            </w:pPr>
            <w:r>
              <w:rPr>
                <w:rFonts w:hint="eastAsia"/>
                <w:color w:val="auto"/>
                <w:highlight w:val="none"/>
                <w:lang w:val="en-US" w:eastAsia="zh-CN"/>
              </w:rPr>
              <w:t>组织确定了改进机会，并采取必要措施，以实现其职业健康安全管理体系的预期结果。</w:t>
            </w:r>
          </w:p>
          <w:p>
            <w:pPr>
              <w:rPr>
                <w:rFonts w:hint="eastAsia"/>
                <w:color w:val="auto"/>
                <w:highlight w:val="none"/>
                <w:lang w:val="en-US" w:eastAsia="zh-CN"/>
              </w:rPr>
            </w:pPr>
            <w:r>
              <w:rPr>
                <w:rFonts w:hint="eastAsia"/>
                <w:color w:val="auto"/>
                <w:highlight w:val="none"/>
                <w:lang w:val="en-US" w:eastAsia="zh-CN"/>
              </w:rPr>
              <w:t xml:space="preserve">这包括：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改进产品和服务，以满足相关方要求并应对其需求和期望；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纠正、预防或减少不利影响；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改进职业健康安全管理体系的绩效和有效性。 </w:t>
            </w:r>
          </w:p>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 xml:space="preserve">改进包括：纠正、纠正措施、持续改进、突破性变革、创新和重组。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b/>
                <w:bCs/>
                <w:color w:val="auto"/>
                <w:lang w:val="en-US" w:eastAsia="zh-CN"/>
              </w:rPr>
            </w:pPr>
            <w:r>
              <w:rPr>
                <w:rFonts w:hint="eastAsia"/>
                <w:b/>
                <w:bCs/>
                <w:color w:val="auto"/>
                <w:lang w:val="en-US" w:eastAsia="zh-CN"/>
              </w:rPr>
              <w:t>持续改进</w:t>
            </w:r>
          </w:p>
        </w:tc>
        <w:tc>
          <w:tcPr>
            <w:tcW w:w="960" w:type="dxa"/>
            <w:vMerge w:val="restart"/>
          </w:tcPr>
          <w:p>
            <w:pPr>
              <w:rPr>
                <w:rFonts w:hint="default" w:eastAsia="宋体"/>
                <w:b/>
                <w:bCs/>
                <w:color w:val="auto"/>
                <w:lang w:val="en-US" w:eastAsia="zh-CN"/>
              </w:rPr>
            </w:pPr>
            <w:r>
              <w:rPr>
                <w:rFonts w:hint="eastAsia"/>
                <w:b/>
                <w:bCs/>
                <w:color w:val="auto"/>
                <w:lang w:val="en-US" w:eastAsia="zh-CN"/>
              </w:rPr>
              <w:t>O10.3</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rPr>
                <w:rFonts w:hint="eastAsia"/>
                <w:color w:val="auto"/>
                <w:lang w:val="en-US" w:eastAsia="zh-CN"/>
              </w:rPr>
            </w:pPr>
            <w:r>
              <w:rPr>
                <w:rFonts w:hint="eastAsia"/>
                <w:color w:val="auto"/>
                <w:lang w:val="en-US" w:eastAsia="zh-CN"/>
              </w:rPr>
              <w:t>如</w:t>
            </w:r>
            <w:r>
              <w:rPr>
                <w:rFonts w:hint="eastAsia"/>
                <w:color w:val="auto"/>
                <w:szCs w:val="22"/>
                <w:highlight w:val="none"/>
                <w:lang w:val="en-US" w:eastAsia="zh-CN"/>
              </w:rPr>
              <w:t>：</w:t>
            </w:r>
            <w:r>
              <w:rPr>
                <w:rFonts w:hint="eastAsia"/>
                <w:color w:val="auto"/>
                <w:szCs w:val="22"/>
                <w:highlight w:val="none"/>
              </w:rPr>
              <w:t>《不合格控制程序》</w:t>
            </w:r>
            <w:r>
              <w:rPr>
                <w:rFonts w:hint="eastAsia"/>
                <w:color w:val="auto"/>
                <w:szCs w:val="22"/>
                <w:highlight w:val="none"/>
                <w:lang w:eastAsia="zh-CN"/>
              </w:rPr>
              <w:t>、</w:t>
            </w:r>
            <w:r>
              <w:rPr>
                <w:rFonts w:hint="eastAsia"/>
                <w:color w:val="auto"/>
                <w:szCs w:val="22"/>
                <w:highlight w:val="none"/>
              </w:rPr>
              <w:t>《纠正措施和预防措施控制程序》</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提升职业健康安全绩效</w:t>
                  </w:r>
                </w:p>
              </w:tc>
              <w:tc>
                <w:tcPr>
                  <w:tcW w:w="3305" w:type="dxa"/>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center"/>
                </w:tcPr>
                <w:p>
                  <w:pPr>
                    <w:jc w:val="both"/>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rPr>
            </w:pPr>
          </w:p>
          <w:p>
            <w:pPr>
              <w:rPr>
                <w:rFonts w:hint="default"/>
                <w:color w:val="auto"/>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p>
          <w:p>
            <w:pPr>
              <w:rPr>
                <w:rFonts w:hint="default"/>
                <w:color w:val="auto"/>
                <w:lang w:val="en-US" w:eastAsia="zh-CN"/>
              </w:rPr>
            </w:pPr>
          </w:p>
        </w:tc>
        <w:tc>
          <w:tcPr>
            <w:tcW w:w="1585" w:type="dxa"/>
            <w:vMerge w:val="continue"/>
          </w:tcPr>
          <w:p>
            <w:pPr>
              <w:rPr>
                <w:color w:val="auto"/>
              </w:rPr>
            </w:pPr>
          </w:p>
        </w:tc>
      </w:tr>
    </w:tbl>
    <w:p>
      <w:pPr>
        <w:rPr>
          <w:color w:val="auto"/>
        </w:rPr>
      </w:pPr>
    </w:p>
    <w:p>
      <w:pPr>
        <w:pStyle w:val="4"/>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0FD1E31"/>
    <w:rsid w:val="010054DC"/>
    <w:rsid w:val="01260C71"/>
    <w:rsid w:val="0148246F"/>
    <w:rsid w:val="01AF1EDF"/>
    <w:rsid w:val="01E27364"/>
    <w:rsid w:val="02113B23"/>
    <w:rsid w:val="021E04B6"/>
    <w:rsid w:val="02203F02"/>
    <w:rsid w:val="0228580F"/>
    <w:rsid w:val="026A697D"/>
    <w:rsid w:val="028120F9"/>
    <w:rsid w:val="02C75A20"/>
    <w:rsid w:val="03085664"/>
    <w:rsid w:val="031F693E"/>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2164BC"/>
    <w:rsid w:val="05422E8D"/>
    <w:rsid w:val="05505823"/>
    <w:rsid w:val="056577F0"/>
    <w:rsid w:val="056A75E8"/>
    <w:rsid w:val="05705C5F"/>
    <w:rsid w:val="059C20C3"/>
    <w:rsid w:val="05A05014"/>
    <w:rsid w:val="05F6270F"/>
    <w:rsid w:val="05FA6F6F"/>
    <w:rsid w:val="0605101B"/>
    <w:rsid w:val="06120F24"/>
    <w:rsid w:val="0618393F"/>
    <w:rsid w:val="061B4460"/>
    <w:rsid w:val="067B702D"/>
    <w:rsid w:val="06994A8D"/>
    <w:rsid w:val="06AA1BFF"/>
    <w:rsid w:val="06AA7E97"/>
    <w:rsid w:val="06E85FFE"/>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4532B6"/>
    <w:rsid w:val="0A793506"/>
    <w:rsid w:val="0A8371C4"/>
    <w:rsid w:val="0A904067"/>
    <w:rsid w:val="0ABC216E"/>
    <w:rsid w:val="0AC7305D"/>
    <w:rsid w:val="0ACA6ED2"/>
    <w:rsid w:val="0AEF4D8D"/>
    <w:rsid w:val="0B022581"/>
    <w:rsid w:val="0B0C5CAD"/>
    <w:rsid w:val="0B10795D"/>
    <w:rsid w:val="0B3A4AAA"/>
    <w:rsid w:val="0B736E2A"/>
    <w:rsid w:val="0B824AD5"/>
    <w:rsid w:val="0BB576F1"/>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DEA5962"/>
    <w:rsid w:val="0E021A5E"/>
    <w:rsid w:val="0E1F5BBC"/>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931EC4"/>
    <w:rsid w:val="12A2571D"/>
    <w:rsid w:val="12A42EA7"/>
    <w:rsid w:val="12A506D3"/>
    <w:rsid w:val="131C6135"/>
    <w:rsid w:val="13296CDD"/>
    <w:rsid w:val="134A729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5FB4AE2"/>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125059"/>
    <w:rsid w:val="1B281F5C"/>
    <w:rsid w:val="1B3E35A7"/>
    <w:rsid w:val="1B462375"/>
    <w:rsid w:val="1B5E3B97"/>
    <w:rsid w:val="1B6B0728"/>
    <w:rsid w:val="1BBF5C04"/>
    <w:rsid w:val="1C392A3A"/>
    <w:rsid w:val="1C683E38"/>
    <w:rsid w:val="1CB1322F"/>
    <w:rsid w:val="1CB51621"/>
    <w:rsid w:val="1CEB1474"/>
    <w:rsid w:val="1CF3399B"/>
    <w:rsid w:val="1CFD2AFE"/>
    <w:rsid w:val="1D0B42B9"/>
    <w:rsid w:val="1D2E4D12"/>
    <w:rsid w:val="1D4D4A00"/>
    <w:rsid w:val="1DAE3E96"/>
    <w:rsid w:val="1DB254FE"/>
    <w:rsid w:val="1DC4038A"/>
    <w:rsid w:val="1DF36090"/>
    <w:rsid w:val="1DFE25B1"/>
    <w:rsid w:val="1E3D6E5E"/>
    <w:rsid w:val="1E511FFA"/>
    <w:rsid w:val="1E675439"/>
    <w:rsid w:val="1E752FA2"/>
    <w:rsid w:val="1E846B0F"/>
    <w:rsid w:val="1E8A1FBA"/>
    <w:rsid w:val="1EAD0360"/>
    <w:rsid w:val="1ED54C09"/>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4D7B11"/>
    <w:rsid w:val="205905F2"/>
    <w:rsid w:val="205B3801"/>
    <w:rsid w:val="207644C2"/>
    <w:rsid w:val="20A856C1"/>
    <w:rsid w:val="20BE1D38"/>
    <w:rsid w:val="20E1795A"/>
    <w:rsid w:val="20F232A3"/>
    <w:rsid w:val="21A07B88"/>
    <w:rsid w:val="21A34258"/>
    <w:rsid w:val="21C87DD9"/>
    <w:rsid w:val="21D24208"/>
    <w:rsid w:val="22655A28"/>
    <w:rsid w:val="226B2F60"/>
    <w:rsid w:val="227B5AC7"/>
    <w:rsid w:val="22813299"/>
    <w:rsid w:val="229F2D1A"/>
    <w:rsid w:val="22C9638E"/>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0E6622"/>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2E239A"/>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D3142C"/>
    <w:rsid w:val="2B0D2F04"/>
    <w:rsid w:val="2B1D2572"/>
    <w:rsid w:val="2B206A2D"/>
    <w:rsid w:val="2B4C1179"/>
    <w:rsid w:val="2B5D0EFC"/>
    <w:rsid w:val="2B6C36BA"/>
    <w:rsid w:val="2B7B0583"/>
    <w:rsid w:val="2BA00560"/>
    <w:rsid w:val="2BA33BC4"/>
    <w:rsid w:val="2BA51385"/>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1C32FE"/>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EC2939"/>
    <w:rsid w:val="34F92D63"/>
    <w:rsid w:val="350707D4"/>
    <w:rsid w:val="3545030D"/>
    <w:rsid w:val="35527F1F"/>
    <w:rsid w:val="355F017B"/>
    <w:rsid w:val="356E7CA4"/>
    <w:rsid w:val="357914C0"/>
    <w:rsid w:val="35826A82"/>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14C37"/>
    <w:rsid w:val="37B82B0E"/>
    <w:rsid w:val="37D8509F"/>
    <w:rsid w:val="380178E9"/>
    <w:rsid w:val="38363F4B"/>
    <w:rsid w:val="386866FF"/>
    <w:rsid w:val="38803663"/>
    <w:rsid w:val="389A539F"/>
    <w:rsid w:val="38B37216"/>
    <w:rsid w:val="38BD5C7F"/>
    <w:rsid w:val="38C5580C"/>
    <w:rsid w:val="38EC325F"/>
    <w:rsid w:val="38ED59BA"/>
    <w:rsid w:val="39065B84"/>
    <w:rsid w:val="39286E54"/>
    <w:rsid w:val="394A5FEF"/>
    <w:rsid w:val="395956D6"/>
    <w:rsid w:val="398946BB"/>
    <w:rsid w:val="399117DD"/>
    <w:rsid w:val="39972637"/>
    <w:rsid w:val="399B386E"/>
    <w:rsid w:val="39D7104B"/>
    <w:rsid w:val="39DC06E8"/>
    <w:rsid w:val="3A0E0B2A"/>
    <w:rsid w:val="3A160597"/>
    <w:rsid w:val="3A27570A"/>
    <w:rsid w:val="3A3E0D9F"/>
    <w:rsid w:val="3A5573DE"/>
    <w:rsid w:val="3A734128"/>
    <w:rsid w:val="3AAB1306"/>
    <w:rsid w:val="3ABA391F"/>
    <w:rsid w:val="3ABB3480"/>
    <w:rsid w:val="3ABD0173"/>
    <w:rsid w:val="3AC172FF"/>
    <w:rsid w:val="3ACE23E2"/>
    <w:rsid w:val="3AE97FFD"/>
    <w:rsid w:val="3AEC3267"/>
    <w:rsid w:val="3B0D014A"/>
    <w:rsid w:val="3B227AA7"/>
    <w:rsid w:val="3B4241C0"/>
    <w:rsid w:val="3B5F0280"/>
    <w:rsid w:val="3BAB4C5D"/>
    <w:rsid w:val="3BE26288"/>
    <w:rsid w:val="3BEE1D6F"/>
    <w:rsid w:val="3BF1473C"/>
    <w:rsid w:val="3CA475E5"/>
    <w:rsid w:val="3CA717F2"/>
    <w:rsid w:val="3CC445CD"/>
    <w:rsid w:val="3CC56579"/>
    <w:rsid w:val="3CED4B6C"/>
    <w:rsid w:val="3D073283"/>
    <w:rsid w:val="3D24558C"/>
    <w:rsid w:val="3DA465C1"/>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B15113"/>
    <w:rsid w:val="43B1553C"/>
    <w:rsid w:val="43C730CD"/>
    <w:rsid w:val="44350F69"/>
    <w:rsid w:val="44A567F5"/>
    <w:rsid w:val="45237F18"/>
    <w:rsid w:val="453B1EBC"/>
    <w:rsid w:val="45604A9C"/>
    <w:rsid w:val="45635AEC"/>
    <w:rsid w:val="45864327"/>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4FD43F7C"/>
    <w:rsid w:val="503C3BCC"/>
    <w:rsid w:val="506E2D2A"/>
    <w:rsid w:val="507C26C1"/>
    <w:rsid w:val="50804466"/>
    <w:rsid w:val="50C41CF1"/>
    <w:rsid w:val="51217DA6"/>
    <w:rsid w:val="51294703"/>
    <w:rsid w:val="51425A27"/>
    <w:rsid w:val="5158757E"/>
    <w:rsid w:val="51642DA6"/>
    <w:rsid w:val="51C25C55"/>
    <w:rsid w:val="521A5D1E"/>
    <w:rsid w:val="523624DE"/>
    <w:rsid w:val="5265766D"/>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122C8"/>
    <w:rsid w:val="53DB2F56"/>
    <w:rsid w:val="53F51637"/>
    <w:rsid w:val="54124FEF"/>
    <w:rsid w:val="541C4B67"/>
    <w:rsid w:val="54226378"/>
    <w:rsid w:val="54857908"/>
    <w:rsid w:val="54E7536E"/>
    <w:rsid w:val="550429BE"/>
    <w:rsid w:val="55151B82"/>
    <w:rsid w:val="552A2893"/>
    <w:rsid w:val="55436287"/>
    <w:rsid w:val="556B045B"/>
    <w:rsid w:val="557D4E77"/>
    <w:rsid w:val="55C375DD"/>
    <w:rsid w:val="56026B10"/>
    <w:rsid w:val="56156439"/>
    <w:rsid w:val="56270CFC"/>
    <w:rsid w:val="563A02F6"/>
    <w:rsid w:val="56643532"/>
    <w:rsid w:val="568B5A7B"/>
    <w:rsid w:val="56B04283"/>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CF73E4"/>
    <w:rsid w:val="58D46744"/>
    <w:rsid w:val="58EE7231"/>
    <w:rsid w:val="590D059A"/>
    <w:rsid w:val="59161F0B"/>
    <w:rsid w:val="592802C2"/>
    <w:rsid w:val="59476C7C"/>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E827A8"/>
    <w:rsid w:val="5AF377C8"/>
    <w:rsid w:val="5AF525A3"/>
    <w:rsid w:val="5AF97A41"/>
    <w:rsid w:val="5B0449BC"/>
    <w:rsid w:val="5B513157"/>
    <w:rsid w:val="5B517209"/>
    <w:rsid w:val="5B544EB3"/>
    <w:rsid w:val="5B6A33DD"/>
    <w:rsid w:val="5B7C5AEB"/>
    <w:rsid w:val="5BA75CC0"/>
    <w:rsid w:val="5BF04FFA"/>
    <w:rsid w:val="5C241AEE"/>
    <w:rsid w:val="5C314608"/>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90F45"/>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D737BC"/>
    <w:rsid w:val="60E47C4C"/>
    <w:rsid w:val="61326FB1"/>
    <w:rsid w:val="61384C31"/>
    <w:rsid w:val="6151193F"/>
    <w:rsid w:val="61857CB5"/>
    <w:rsid w:val="61A537D2"/>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8E1C37"/>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46C49"/>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2C51E3"/>
    <w:rsid w:val="68494570"/>
    <w:rsid w:val="68B54AF7"/>
    <w:rsid w:val="68BB527D"/>
    <w:rsid w:val="68C96D98"/>
    <w:rsid w:val="68CA009F"/>
    <w:rsid w:val="68D402C9"/>
    <w:rsid w:val="68D670D7"/>
    <w:rsid w:val="68E43EF4"/>
    <w:rsid w:val="695B5920"/>
    <w:rsid w:val="696C231C"/>
    <w:rsid w:val="696D3E06"/>
    <w:rsid w:val="69B35A0D"/>
    <w:rsid w:val="69CA05FB"/>
    <w:rsid w:val="69CC607C"/>
    <w:rsid w:val="69EA1163"/>
    <w:rsid w:val="69F96768"/>
    <w:rsid w:val="6A016FC2"/>
    <w:rsid w:val="6A287F98"/>
    <w:rsid w:val="6A657B3D"/>
    <w:rsid w:val="6A9D0952"/>
    <w:rsid w:val="6AB40496"/>
    <w:rsid w:val="6ABD1D5E"/>
    <w:rsid w:val="6AC0289E"/>
    <w:rsid w:val="6AE83D10"/>
    <w:rsid w:val="6AF33939"/>
    <w:rsid w:val="6B0F60AF"/>
    <w:rsid w:val="6B795D62"/>
    <w:rsid w:val="6B8174D3"/>
    <w:rsid w:val="6B894EA4"/>
    <w:rsid w:val="6B9F34F9"/>
    <w:rsid w:val="6BC747F5"/>
    <w:rsid w:val="6BD35CE4"/>
    <w:rsid w:val="6BD82AE5"/>
    <w:rsid w:val="6BF66D35"/>
    <w:rsid w:val="6C1272FC"/>
    <w:rsid w:val="6C3014BE"/>
    <w:rsid w:val="6C5D414F"/>
    <w:rsid w:val="6C77423E"/>
    <w:rsid w:val="6C943419"/>
    <w:rsid w:val="6C9C2F85"/>
    <w:rsid w:val="6CDE17FD"/>
    <w:rsid w:val="6CF21452"/>
    <w:rsid w:val="6D05389E"/>
    <w:rsid w:val="6D1D2C91"/>
    <w:rsid w:val="6D232D3C"/>
    <w:rsid w:val="6D2F5D1E"/>
    <w:rsid w:val="6D5B4A2E"/>
    <w:rsid w:val="6D5F58FE"/>
    <w:rsid w:val="6D792112"/>
    <w:rsid w:val="6DA004EB"/>
    <w:rsid w:val="6DBC23AF"/>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2C3663"/>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3E560EC"/>
    <w:rsid w:val="74103E55"/>
    <w:rsid w:val="74456E15"/>
    <w:rsid w:val="745B622A"/>
    <w:rsid w:val="74B71006"/>
    <w:rsid w:val="74CC0EA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31331"/>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88089C"/>
    <w:rsid w:val="7DDF563D"/>
    <w:rsid w:val="7DE208A3"/>
    <w:rsid w:val="7E0A78B3"/>
    <w:rsid w:val="7E2912F3"/>
    <w:rsid w:val="7E6305EF"/>
    <w:rsid w:val="7E8D50F9"/>
    <w:rsid w:val="7EDA5201"/>
    <w:rsid w:val="7F370F60"/>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Id w:val="1"/>
      </w:numPr>
      <w:outlineLvl w:val="4"/>
    </w:pPr>
  </w:style>
  <w:style w:type="paragraph" w:customStyle="1" w:styleId="18">
    <w:name w:val="二级条标题"/>
    <w:basedOn w:val="19"/>
    <w:next w:val="16"/>
    <w:qFormat/>
    <w:uiPriority w:val="0"/>
    <w:pPr>
      <w:numPr>
        <w:ilvl w:val="3"/>
        <w:numId w:val="1"/>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2020-10-24T08:38:10Z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