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565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10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受审核部门：综合部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胡佳</w:t>
            </w:r>
          </w:p>
        </w:tc>
        <w:tc>
          <w:tcPr>
            <w:tcW w:w="127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310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 李青</w:t>
            </w:r>
            <w:r>
              <w:rPr>
                <w:color w:val="1F2DA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审核日期：2020-10-14（远程）</w:t>
            </w: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31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left="1200" w:hanging="1200" w:hangingChars="500"/>
              <w:jc w:val="left"/>
              <w:rPr>
                <w:rFonts w:cs="Arial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cs="Arial"/>
                <w:szCs w:val="21"/>
              </w:rPr>
              <w:t xml:space="preserve">6.1.2/6.1.3/6.1.4/6.2/7.2/7.4/7.5/8.1/8.2/9.1.1/9.1.2/9.2 /10.2  </w:t>
            </w: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环境目标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</w:rPr>
              <w:t>《分解目标》</w:t>
            </w:r>
          </w:p>
        </w:tc>
        <w:tc>
          <w:tcPr>
            <w:tcW w:w="1279" w:type="dxa"/>
            <w:vMerge w:val="restart"/>
          </w:tcPr>
          <w:p>
            <w:r>
              <w:rPr>
                <w:rFonts w:hint="eastAsia"/>
              </w:rPr>
              <w:t>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组织建立了与方针一致的文件化的管理目标。为实现总环境目标而建立的各层级环境目标具体、有针对性、可测量并且可实现。</w:t>
            </w:r>
          </w:p>
          <w:p>
            <w:r>
              <w:rPr>
                <w:rFonts w:hint="eastAsia"/>
              </w:rPr>
              <w:t>分解环境目标实现情况的评价，及其测量方法是：</w:t>
            </w:r>
          </w:p>
          <w:tbl>
            <w:tblPr>
              <w:tblStyle w:val="5"/>
              <w:tblW w:w="1470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7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2" w:hRule="atLeast"/>
              </w:trPr>
              <w:tc>
                <w:tcPr>
                  <w:tcW w:w="9259" w:type="dxa"/>
                </w:tcPr>
                <w:p>
                  <w:r>
                    <w:rPr>
                      <w:rFonts w:hint="eastAsia"/>
                    </w:rPr>
                    <w:t>组织建立了与方针一致的文件化的管理目标。                                                                                                 为实现总环境目标而建立的各层级环境目标具体、有针对性、可测量并且可实现。</w:t>
                  </w:r>
                </w:p>
                <w:p>
                  <w:r>
                    <w:rPr>
                      <w:rFonts w:hint="eastAsia"/>
                    </w:rPr>
                    <w:t>总环境目标实现情况的评价，及其测量方法是：</w:t>
                  </w:r>
                </w:p>
                <w:tbl>
                  <w:tblPr>
                    <w:tblStyle w:val="5"/>
                    <w:tblW w:w="0" w:type="auto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507"/>
                    <w:gridCol w:w="1820"/>
                    <w:gridCol w:w="1350"/>
                    <w:gridCol w:w="177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507" w:type="dxa"/>
                        <w:shd w:val="clear" w:color="auto" w:fill="auto"/>
                      </w:tcPr>
                      <w:p>
                        <w:pPr>
                          <w:rPr>
                            <w:rFonts w:ascii="宋体" w:hAnsi="宋体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Cs w:val="24"/>
                          </w:rPr>
                          <w:t>环境目标</w:t>
                        </w:r>
                      </w:p>
                    </w:tc>
                    <w:tc>
                      <w:tcPr>
                        <w:tcW w:w="1820" w:type="dxa"/>
                        <w:shd w:val="clear" w:color="auto" w:fill="auto"/>
                      </w:tcPr>
                      <w:p>
                        <w:pPr>
                          <w:rPr>
                            <w:rFonts w:ascii="宋体" w:hAnsi="宋体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Cs w:val="24"/>
                          </w:rPr>
                          <w:t>环境控制参数</w:t>
                        </w:r>
                      </w:p>
                    </w:tc>
                    <w:tc>
                      <w:tcPr>
                        <w:tcW w:w="1350" w:type="dxa"/>
                        <w:shd w:val="clear" w:color="auto" w:fill="auto"/>
                      </w:tcPr>
                      <w:p>
                        <w:pPr>
                          <w:rPr>
                            <w:rFonts w:ascii="宋体" w:hAnsi="宋体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Cs w:val="24"/>
                          </w:rPr>
                          <w:t>责任部门</w:t>
                        </w:r>
                      </w:p>
                    </w:tc>
                    <w:tc>
                      <w:tcPr>
                        <w:tcW w:w="1774" w:type="dxa"/>
                        <w:shd w:val="clear" w:color="auto" w:fill="auto"/>
                      </w:tcPr>
                      <w:p>
                        <w:pPr>
                          <w:rPr>
                            <w:rFonts w:ascii="宋体" w:hAnsi="宋体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Cs w:val="24"/>
                          </w:rPr>
                          <w:t>目标实际完成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3507" w:type="dxa"/>
                        <w:shd w:val="clear" w:color="auto" w:fill="auto"/>
                        <w:vAlign w:val="center"/>
                      </w:tcPr>
                      <w:p>
                        <w:pPr>
                          <w:pStyle w:val="4"/>
                          <w:pBdr>
                            <w:bottom w:val="none" w:color="auto" w:sz="0" w:space="0"/>
                          </w:pBdr>
                          <w:tabs>
                            <w:tab w:val="left" w:pos="420"/>
                          </w:tabs>
                          <w:spacing w:line="360" w:lineRule="exact"/>
                          <w:jc w:val="both"/>
                          <w:rPr>
                            <w:sz w:val="21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0"/>
                          </w:rPr>
                          <w:t xml:space="preserve">固废分类存放处置率 </w:t>
                        </w:r>
                      </w:p>
                    </w:tc>
                    <w:tc>
                      <w:tcPr>
                        <w:tcW w:w="1820" w:type="dxa"/>
                        <w:shd w:val="clear" w:color="auto" w:fill="auto"/>
                        <w:vAlign w:val="center"/>
                      </w:tcPr>
                      <w:p>
                        <w:r>
                          <w:rPr>
                            <w:rFonts w:hint="eastAsia"/>
                          </w:rPr>
                          <w:t>100%</w:t>
                        </w:r>
                      </w:p>
                    </w:tc>
                    <w:tc>
                      <w:tcPr>
                        <w:tcW w:w="1350" w:type="dxa"/>
                        <w:shd w:val="clear" w:color="auto" w:fill="auto"/>
                        <w:vAlign w:val="center"/>
                      </w:tcPr>
                      <w:p>
                        <w:r>
                          <w:rPr>
                            <w:rFonts w:hint="eastAsia"/>
                          </w:rPr>
                          <w:t>各部门</w:t>
                        </w:r>
                      </w:p>
                    </w:tc>
                    <w:tc>
                      <w:tcPr>
                        <w:tcW w:w="1774" w:type="dxa"/>
                        <w:shd w:val="clear" w:color="auto" w:fill="auto"/>
                        <w:vAlign w:val="center"/>
                      </w:tcPr>
                      <w:p>
                        <w:r>
                          <w:rPr>
                            <w:rFonts w:hint="eastAsia"/>
                          </w:rPr>
                          <w:t>完成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507" w:type="dxa"/>
                        <w:shd w:val="clear" w:color="auto" w:fill="auto"/>
                        <w:vAlign w:val="center"/>
                      </w:tcPr>
                      <w:p>
                        <w:pPr>
                          <w:pStyle w:val="4"/>
                          <w:pBdr>
                            <w:bottom w:val="none" w:color="auto" w:sz="0" w:space="0"/>
                          </w:pBdr>
                          <w:tabs>
                            <w:tab w:val="left" w:pos="420"/>
                          </w:tabs>
                          <w:spacing w:line="360" w:lineRule="exact"/>
                          <w:jc w:val="both"/>
                          <w:rPr>
                            <w:sz w:val="21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0"/>
                          </w:rPr>
                          <w:t>火灾、触电伤害发生次数</w:t>
                        </w:r>
                      </w:p>
                    </w:tc>
                    <w:tc>
                      <w:tcPr>
                        <w:tcW w:w="1820" w:type="dxa"/>
                        <w:shd w:val="clear" w:color="auto" w:fill="auto"/>
                        <w:vAlign w:val="center"/>
                      </w:tcPr>
                      <w:p>
                        <w:pPr>
                          <w:pStyle w:val="4"/>
                          <w:pBdr>
                            <w:bottom w:val="none" w:color="auto" w:sz="0" w:space="0"/>
                          </w:pBdr>
                          <w:tabs>
                            <w:tab w:val="left" w:pos="420"/>
                          </w:tabs>
                          <w:spacing w:line="360" w:lineRule="exact"/>
                          <w:jc w:val="both"/>
                          <w:rPr>
                            <w:sz w:val="21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350" w:type="dxa"/>
                        <w:shd w:val="clear" w:color="auto" w:fill="auto"/>
                      </w:tcPr>
                      <w:p>
                        <w:pPr>
                          <w:pStyle w:val="4"/>
                          <w:pBdr>
                            <w:bottom w:val="none" w:color="auto" w:sz="0" w:space="0"/>
                          </w:pBdr>
                          <w:tabs>
                            <w:tab w:val="left" w:pos="420"/>
                          </w:tabs>
                          <w:spacing w:line="360" w:lineRule="exact"/>
                          <w:jc w:val="both"/>
                          <w:rPr>
                            <w:sz w:val="21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0"/>
                          </w:rPr>
                          <w:t>各部门</w:t>
                        </w:r>
                      </w:p>
                    </w:tc>
                    <w:tc>
                      <w:tcPr>
                        <w:tcW w:w="1774" w:type="dxa"/>
                        <w:shd w:val="clear" w:color="auto" w:fill="auto"/>
                      </w:tcPr>
                      <w:p>
                        <w:pPr>
                          <w:pStyle w:val="4"/>
                          <w:pBdr>
                            <w:bottom w:val="none" w:color="auto" w:sz="0" w:space="0"/>
                          </w:pBdr>
                          <w:tabs>
                            <w:tab w:val="left" w:pos="420"/>
                          </w:tabs>
                          <w:spacing w:line="360" w:lineRule="exact"/>
                          <w:jc w:val="both"/>
                          <w:rPr>
                            <w:sz w:val="21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0"/>
                          </w:rPr>
                          <w:t>完成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507" w:type="dxa"/>
                        <w:shd w:val="clear" w:color="auto" w:fill="auto"/>
                        <w:vAlign w:val="center"/>
                      </w:tcPr>
                      <w:p>
                        <w:pPr>
                          <w:pStyle w:val="4"/>
                          <w:pBdr>
                            <w:bottom w:val="none" w:color="auto" w:sz="0" w:space="0"/>
                          </w:pBdr>
                          <w:tabs>
                            <w:tab w:val="left" w:pos="420"/>
                          </w:tabs>
                          <w:spacing w:line="360" w:lineRule="exact"/>
                          <w:jc w:val="both"/>
                          <w:rPr>
                            <w:sz w:val="21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0"/>
                          </w:rPr>
                          <w:t>噪音排放达标</w:t>
                        </w:r>
                      </w:p>
                    </w:tc>
                    <w:tc>
                      <w:tcPr>
                        <w:tcW w:w="1820" w:type="dxa"/>
                        <w:shd w:val="clear" w:color="auto" w:fill="auto"/>
                        <w:vAlign w:val="center"/>
                      </w:tcPr>
                      <w:p>
                        <w:pPr>
                          <w:pStyle w:val="4"/>
                          <w:pBdr>
                            <w:bottom w:val="none" w:color="auto" w:sz="0" w:space="0"/>
                          </w:pBdr>
                          <w:tabs>
                            <w:tab w:val="left" w:pos="420"/>
                          </w:tabs>
                          <w:spacing w:line="360" w:lineRule="exact"/>
                          <w:jc w:val="both"/>
                          <w:rPr>
                            <w:sz w:val="21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0"/>
                          </w:rPr>
                          <w:t>100%</w:t>
                        </w:r>
                      </w:p>
                    </w:tc>
                    <w:tc>
                      <w:tcPr>
                        <w:tcW w:w="1350" w:type="dxa"/>
                        <w:shd w:val="clear" w:color="auto" w:fill="auto"/>
                      </w:tcPr>
                      <w:p>
                        <w:pPr>
                          <w:pStyle w:val="4"/>
                          <w:pBdr>
                            <w:bottom w:val="none" w:color="auto" w:sz="0" w:space="0"/>
                          </w:pBdr>
                          <w:tabs>
                            <w:tab w:val="left" w:pos="420"/>
                          </w:tabs>
                          <w:spacing w:line="360" w:lineRule="exact"/>
                          <w:jc w:val="both"/>
                          <w:rPr>
                            <w:sz w:val="21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0"/>
                          </w:rPr>
                          <w:t>各部门</w:t>
                        </w:r>
                      </w:p>
                    </w:tc>
                    <w:tc>
                      <w:tcPr>
                        <w:tcW w:w="1774" w:type="dxa"/>
                        <w:shd w:val="clear" w:color="auto" w:fill="auto"/>
                      </w:tcPr>
                      <w:p>
                        <w:pPr>
                          <w:pStyle w:val="4"/>
                          <w:pBdr>
                            <w:bottom w:val="none" w:color="auto" w:sz="0" w:space="0"/>
                          </w:pBdr>
                          <w:tabs>
                            <w:tab w:val="left" w:pos="420"/>
                          </w:tabs>
                          <w:spacing w:line="360" w:lineRule="exact"/>
                          <w:jc w:val="both"/>
                          <w:rPr>
                            <w:sz w:val="21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0"/>
                          </w:rPr>
                          <w:t>完成</w:t>
                        </w:r>
                      </w:p>
                    </w:tc>
                  </w:tr>
                </w:tbl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目标已实现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目标没有实现的，组织在内部及时进行原因分析并采取了改进措施。</w:t>
                  </w:r>
                </w:p>
              </w:tc>
            </w:tr>
          </w:tbl>
          <w:p/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/>
        </w:tc>
        <w:tc>
          <w:tcPr>
            <w:tcW w:w="9565" w:type="dxa"/>
          </w:tcPr>
          <w:p/>
          <w:p/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环境因素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E6.1.2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手册第6.1.2条款、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 w:ascii="宋体" w:hAnsi="宋体"/>
                <w:kern w:val="0"/>
                <w:sz w:val="24"/>
              </w:rPr>
              <w:t>《环境因素识别与评价控制程序》</w:t>
            </w:r>
          </w:p>
        </w:tc>
        <w:tc>
          <w:tcPr>
            <w:tcW w:w="1279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组织在识别环境因素和相关的环境影响时，需考虑非正常情况、潜在的紧急情况和全生命周期。</w:t>
            </w:r>
          </w:p>
          <w:p>
            <w:r>
              <w:rPr>
                <w:rFonts w:hint="eastAsia"/>
              </w:rPr>
              <w:t>环境因素识别考虑了下列过程：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设计开发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原材料采购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生产/服务提供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产品检测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产品交付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产品使用 </w:t>
            </w:r>
          </w:p>
          <w:p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最终处置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组织的环境因素包括：</w:t>
            </w:r>
          </w:p>
          <w:p>
            <w:r>
              <w:rPr>
                <w:rFonts w:hint="eastAsia"/>
              </w:rPr>
              <w:t xml:space="preserve">能源资源消耗：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蒸汽（外购）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氮气（自制）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危险化学品引起的环境影响：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泄露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燃烧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爆炸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评价重要环境因素的准则：《</w:t>
            </w:r>
            <w:r>
              <w:rPr>
                <w:rFonts w:hint="eastAsia" w:ascii="宋体" w:hAnsi="宋体"/>
                <w:kern w:val="0"/>
                <w:sz w:val="24"/>
                <w:u w:val="single"/>
              </w:rPr>
              <w:t>环境因素识别与评价控制程序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》</w:t>
            </w:r>
          </w:p>
          <w:p>
            <w:pPr>
              <w:rPr>
                <w:b/>
                <w:bCs/>
              </w:rPr>
            </w:pPr>
          </w:p>
          <w:p>
            <w:r>
              <w:rPr>
                <w:rFonts w:hint="eastAsia"/>
                <w:b/>
                <w:bCs/>
              </w:rPr>
              <w:t>重要环境因素，及其控制措施是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563"/>
              <w:gridCol w:w="3418"/>
              <w:gridCol w:w="12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256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状态</w:t>
                  </w:r>
                </w:p>
              </w:tc>
              <w:tc>
                <w:tcPr>
                  <w:tcW w:w="341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</w:rPr>
                    <w:t>控制措施</w:t>
                  </w:r>
                </w:p>
              </w:tc>
              <w:tc>
                <w:tcPr>
                  <w:tcW w:w="120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固废的排放</w:t>
                  </w: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紧急   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按照规定废品回收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意外火灾的发生</w:t>
                  </w: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紧急   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应急预案/现场巡查、安全用电规定</w:t>
                  </w:r>
                </w:p>
              </w:tc>
              <w:tc>
                <w:tcPr>
                  <w:tcW w:w="120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噪声</w:t>
                  </w:r>
                </w:p>
              </w:tc>
              <w:tc>
                <w:tcPr>
                  <w:tcW w:w="2563" w:type="dxa"/>
                  <w:shd w:val="clear" w:color="auto" w:fill="auto"/>
                  <w:vAlign w:val="center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正常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异常 </w:t>
                  </w:r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 xml:space="preserve">紧急   </w:t>
                  </w:r>
                </w:p>
              </w:tc>
              <w:tc>
                <w:tcPr>
                  <w:tcW w:w="3418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噪声达标排放管理方案</w:t>
                  </w:r>
                </w:p>
              </w:tc>
              <w:tc>
                <w:tcPr>
                  <w:tcW w:w="1208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</w:tbl>
          <w:p/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合规义务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E6.1.3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手册第6.1.3条款、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  <w:kern w:val="0"/>
                <w:sz w:val="24"/>
              </w:rPr>
              <w:t>适用的</w:t>
            </w:r>
            <w:r>
              <w:rPr>
                <w:rFonts w:ascii="宋体" w:hAnsi="宋体"/>
                <w:kern w:val="0"/>
                <w:sz w:val="24"/>
              </w:rPr>
              <w:t>法律、法规</w:t>
            </w:r>
            <w:r>
              <w:rPr>
                <w:rFonts w:hint="eastAsia" w:ascii="宋体" w:hAnsi="宋体"/>
                <w:kern w:val="0"/>
                <w:sz w:val="24"/>
              </w:rPr>
              <w:t>及其他要求</w:t>
            </w:r>
            <w:r>
              <w:rPr>
                <w:rFonts w:ascii="宋体" w:hAnsi="宋体"/>
                <w:kern w:val="0"/>
                <w:sz w:val="24"/>
              </w:rPr>
              <w:t>控制程序</w:t>
            </w:r>
            <w:r>
              <w:rPr>
                <w:rFonts w:hint="eastAsia"/>
              </w:rPr>
              <w:t>》、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  <w:kern w:val="0"/>
                <w:sz w:val="24"/>
              </w:rPr>
              <w:t>合规性评价控制程序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组织收集法律法规和其他要求的渠道：</w:t>
            </w:r>
          </w:p>
          <w:p>
            <w:pPr>
              <w:rPr>
                <w:highlight w:val="none"/>
              </w:rPr>
            </w:pP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专业网站  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主管机构    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专业书店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其他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列举主要的相关法律法规是：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87"/>
              <w:gridCol w:w="1208"/>
              <w:gridCol w:w="2503"/>
              <w:gridCol w:w="14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法律法规名称</w:t>
                  </w:r>
                </w:p>
              </w:tc>
              <w:tc>
                <w:tcPr>
                  <w:tcW w:w="120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具体条款</w:t>
                  </w:r>
                </w:p>
              </w:tc>
              <w:tc>
                <w:tcPr>
                  <w:tcW w:w="250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应用过程</w:t>
                  </w:r>
                </w:p>
              </w:tc>
              <w:tc>
                <w:tcPr>
                  <w:tcW w:w="145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bookmarkStart w:id="0" w:name="OLE_LINK4"/>
                  <w:r>
                    <w:rPr>
                      <w:rFonts w:ascii="Arial Narrow" w:hAnsi="宋体"/>
                      <w:szCs w:val="21"/>
                      <w:highlight w:val="none"/>
                    </w:rPr>
                    <w:t>中华人民共和国环境噪声污染防治法</w:t>
                  </w:r>
                  <w:bookmarkEnd w:id="0"/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szCs w:val="24"/>
                      <w:highlight w:val="none"/>
                    </w:rPr>
                    <w:t>全部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highlight w:val="none"/>
                      <w:lang w:val="en-GB"/>
                    </w:rPr>
                  </w:pPr>
                  <w:r>
                    <w:rPr>
                      <w:rFonts w:hint="eastAsia"/>
                      <w:highlight w:val="none"/>
                    </w:rPr>
                    <w:t>噪声处理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highlight w:val="none"/>
                    </w:rPr>
                  </w:pPr>
                  <w:r>
                    <w:rPr>
                      <w:rFonts w:hint="eastAsia" w:ascii="宋体" w:hAnsi="宋体"/>
                      <w:highlight w:val="none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pStyle w:val="14"/>
                    <w:rPr>
                      <w:highlight w:val="none"/>
                    </w:rPr>
                  </w:pPr>
                  <w:r>
                    <w:rPr>
                      <w:rFonts w:ascii="Arial Narrow" w:hAnsi="宋体"/>
                      <w:bCs/>
                      <w:szCs w:val="21"/>
                      <w:highlight w:val="none"/>
                    </w:rPr>
                    <w:t>江苏省消防条例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szCs w:val="24"/>
                      <w:highlight w:val="none"/>
                    </w:rPr>
                    <w:t>全部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消防过程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highlight w:val="none"/>
                    </w:rPr>
                  </w:pPr>
                  <w:r>
                    <w:rPr>
                      <w:rFonts w:hint="eastAsia" w:ascii="宋体" w:hAnsi="宋体"/>
                      <w:highlight w:val="none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pStyle w:val="14"/>
                    <w:rPr>
                      <w:szCs w:val="22"/>
                      <w:highlight w:val="none"/>
                    </w:rPr>
                  </w:pPr>
                  <w:r>
                    <w:rPr>
                      <w:rFonts w:ascii="Arial Narrow"/>
                      <w:bCs/>
                      <w:color w:val="000000"/>
                      <w:szCs w:val="21"/>
                      <w:highlight w:val="none"/>
                    </w:rPr>
                    <w:t>江苏省固体废物污染环境防治条例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全部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固废处理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highlight w:val="none"/>
                    </w:rPr>
                  </w:pPr>
                  <w:r>
                    <w:rPr>
                      <w:rFonts w:hint="eastAsia" w:ascii="宋体" w:hAnsi="宋体"/>
                      <w:highlight w:val="none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宋体" w:hAnsi="宋体" w:cs="Tahoma"/>
                      <w:bCs/>
                      <w:kern w:val="0"/>
                      <w:szCs w:val="21"/>
                      <w:highlight w:val="none"/>
                    </w:rPr>
                    <w:t>江苏省排放水污染物许可证管理办法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全部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污水处理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highlight w:val="none"/>
                    </w:rPr>
                  </w:pPr>
                  <w:r>
                    <w:rPr>
                      <w:rFonts w:hint="eastAsia" w:ascii="宋体" w:hAnsi="宋体"/>
                      <w:highlight w:val="none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87" w:type="dxa"/>
                  <w:shd w:val="clear" w:color="auto" w:fill="auto"/>
                </w:tcPr>
                <w:p>
                  <w:pPr>
                    <w:pStyle w:val="14"/>
                    <w:jc w:val="left"/>
                    <w:rPr>
                      <w:highlight w:val="none"/>
                    </w:rPr>
                  </w:pPr>
                  <w:r>
                    <w:rPr>
                      <w:rStyle w:val="15"/>
                      <w:rFonts w:ascii="Arial Narrow" w:hAnsi="宋体"/>
                      <w:highlight w:val="none"/>
                    </w:rPr>
                    <w:t>火灾事故调查规定</w:t>
                  </w:r>
                </w:p>
              </w:tc>
              <w:tc>
                <w:tcPr>
                  <w:tcW w:w="120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全部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消防过程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highlight w:val="none"/>
                    </w:rPr>
                  </w:pPr>
                  <w:r>
                    <w:rPr>
                      <w:rFonts w:hint="eastAsia" w:ascii="宋体" w:hAnsi="宋体"/>
                      <w:highlight w:val="none"/>
                    </w:rPr>
                    <w:t>各部门</w:t>
                  </w:r>
                </w:p>
              </w:tc>
            </w:tr>
          </w:tbl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color w:val="000000"/>
                <w:szCs w:val="18"/>
                <w:highlight w:val="none"/>
              </w:rPr>
              <w:t>查看《排污许可证》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无   </w:t>
            </w:r>
            <w:r>
              <w:rPr>
                <w:rFonts w:hint="eastAsia"/>
                <w:color w:val="000000"/>
                <w:szCs w:val="18"/>
                <w:highlight w:val="none"/>
              </w:rPr>
              <w:t>有效期至：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年 月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污染物排放种类：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生活污水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工业废水 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废气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粉尘   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厂界噪声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污染物排放总量：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达标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未达标，需要改进：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                   </w:t>
            </w:r>
          </w:p>
          <w:p>
            <w:pPr>
              <w:tabs>
                <w:tab w:val="left" w:pos="7803"/>
              </w:tabs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污染物排放浓度：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达标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未达标，需要改进：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                   </w:t>
            </w:r>
            <w:r>
              <w:rPr>
                <w:color w:val="000000"/>
                <w:highlight w:val="none"/>
                <w:u w:val="single"/>
              </w:rPr>
              <w:tab/>
            </w:r>
          </w:p>
          <w:p>
            <w:pPr>
              <w:rPr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根据</w:t>
            </w:r>
            <w:r>
              <w:rPr>
                <w:rFonts w:hint="eastAsia"/>
                <w:color w:val="000000"/>
                <w:highlight w:val="none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  <w:highlight w:val="none"/>
              </w:rPr>
              <w:t>确认环境影响评价的种类：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</w:rPr>
              <w:t>环境影响登记表</w:t>
            </w:r>
            <w:r>
              <w:rPr>
                <w:rFonts w:hint="eastAsia"/>
                <w:color w:val="000000"/>
                <w:highlight w:val="none"/>
              </w:rPr>
              <w:t xml:space="preserve">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</w:rPr>
              <w:t>环境影响报告表</w:t>
            </w:r>
            <w:r>
              <w:rPr>
                <w:rFonts w:hint="eastAsia"/>
                <w:color w:val="000000"/>
                <w:highlight w:val="none"/>
              </w:rPr>
              <w:t xml:space="preserve">   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  <w:highlight w:val="none"/>
              </w:rPr>
              <w:t>环境影响报告书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措施的策划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E6.1.4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手册第6.1.4条款、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</w:rPr>
              <w:t>《管理方案》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组织针对重要环境因素、合规义务、风险和机遇制订了控制措施（管理方案）</w:t>
            </w:r>
          </w:p>
          <w:p/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1"/>
              <w:gridCol w:w="1570"/>
              <w:gridCol w:w="3726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控制内容</w:t>
                  </w:r>
                </w:p>
              </w:tc>
              <w:tc>
                <w:tcPr>
                  <w:tcW w:w="157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类别</w:t>
                  </w:r>
                </w:p>
              </w:tc>
              <w:tc>
                <w:tcPr>
                  <w:tcW w:w="372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控制措施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  <w:shd w:val="clear" w:color="auto" w:fill="auto"/>
                </w:tcPr>
                <w:p>
                  <w:r>
                    <w:rPr>
                      <w:rFonts w:hint="eastAsia" w:eastAsia="仿宋_GB2312"/>
                      <w:szCs w:val="21"/>
                    </w:rPr>
                    <w:t>固体废弃物排放</w:t>
                  </w:r>
                </w:p>
              </w:tc>
              <w:tc>
                <w:tcPr>
                  <w:tcW w:w="1570" w:type="dxa"/>
                  <w:shd w:val="clear" w:color="auto" w:fill="auto"/>
                </w:tcPr>
                <w:p>
                  <w:pPr>
                    <w:rPr>
                      <w:lang w:val="en-GB"/>
                    </w:rPr>
                  </w:pPr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3726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《</w:t>
                  </w:r>
                  <w:r>
                    <w:rPr>
                      <w:rFonts w:ascii="宋体" w:hAnsi="宋体"/>
                      <w:color w:val="000000"/>
                      <w:sz w:val="24"/>
                    </w:rPr>
                    <w:t>环境目标、指标及管理方案</w:t>
                  </w:r>
                  <w:r>
                    <w:rPr>
                      <w:rFonts w:hint="eastAsia"/>
                      <w:szCs w:val="24"/>
                    </w:rPr>
                    <w:t>》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  <w:shd w:val="clear" w:color="auto" w:fill="auto"/>
                </w:tcPr>
                <w:p>
                  <w:r>
                    <w:rPr>
                      <w:rFonts w:hint="eastAsia" w:eastAsia="仿宋_GB2312"/>
                      <w:szCs w:val="21"/>
                    </w:rPr>
                    <w:t>火灾</w:t>
                  </w:r>
                </w:p>
              </w:tc>
              <w:tc>
                <w:tcPr>
                  <w:tcW w:w="157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3726" w:type="dxa"/>
                  <w:shd w:val="clear" w:color="auto" w:fill="auto"/>
                </w:tcPr>
                <w:p>
                  <w:r>
                    <w:rPr>
                      <w:rFonts w:hint="eastAsia"/>
                      <w:szCs w:val="24"/>
                    </w:rPr>
                    <w:t>《</w:t>
                  </w:r>
                  <w:r>
                    <w:rPr>
                      <w:rFonts w:ascii="宋体" w:hAnsi="宋体"/>
                      <w:color w:val="000000"/>
                      <w:sz w:val="24"/>
                    </w:rPr>
                    <w:t>环境目标、指标及管理方案</w:t>
                  </w:r>
                  <w:r>
                    <w:rPr>
                      <w:rFonts w:hint="eastAsia"/>
                      <w:szCs w:val="24"/>
                    </w:rPr>
                    <w:t>》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r>
                    <w:rPr>
                      <w:rFonts w:hint="eastAsia" w:ascii="宋体" w:hAnsi="宋体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81" w:type="dxa"/>
                  <w:shd w:val="clear" w:color="auto" w:fill="auto"/>
                </w:tcPr>
                <w:p>
                  <w:r>
                    <w:rPr>
                      <w:rFonts w:hint="eastAsia" w:eastAsia="仿宋_GB2312"/>
                      <w:szCs w:val="21"/>
                    </w:rPr>
                    <w:t>噪声</w:t>
                  </w:r>
                </w:p>
              </w:tc>
              <w:tc>
                <w:tcPr>
                  <w:tcW w:w="157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重要环境因素</w:t>
                  </w:r>
                </w:p>
              </w:tc>
              <w:tc>
                <w:tcPr>
                  <w:tcW w:w="3726" w:type="dxa"/>
                  <w:shd w:val="clear" w:color="auto" w:fill="auto"/>
                </w:tcPr>
                <w:p>
                  <w:r>
                    <w:rPr>
                      <w:rFonts w:hint="eastAsia"/>
                      <w:szCs w:val="24"/>
                    </w:rPr>
                    <w:t>《</w:t>
                  </w:r>
                  <w:r>
                    <w:rPr>
                      <w:rFonts w:ascii="宋体" w:hAnsi="宋体"/>
                      <w:color w:val="000000"/>
                      <w:sz w:val="24"/>
                    </w:rPr>
                    <w:t>环境目标、指标及管理方案</w:t>
                  </w:r>
                  <w:r>
                    <w:rPr>
                      <w:rFonts w:hint="eastAsia"/>
                      <w:szCs w:val="24"/>
                    </w:rPr>
                    <w:t>》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r>
                    <w:rPr>
                      <w:rFonts w:hint="eastAsia" w:ascii="宋体" w:hAnsi="宋体"/>
                    </w:rPr>
                    <w:t>各部门</w:t>
                  </w:r>
                </w:p>
              </w:tc>
            </w:tr>
          </w:tbl>
          <w:p/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能力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E7.2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如：《</w:t>
            </w:r>
            <w:r>
              <w:rPr>
                <w:rFonts w:hint="eastAsia" w:ascii="宋体" w:hAnsi="宋体"/>
                <w:sz w:val="24"/>
              </w:rPr>
              <w:t>人力资源培训控制程序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pPr>
              <w:rPr>
                <w:rFonts w:ascii="Calibri" w:hAnsi="Calibri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查看</w:t>
            </w:r>
            <w:r>
              <w:rPr>
                <w:rFonts w:hint="eastAsia"/>
              </w:rPr>
              <w:t>《岗位任职能力描述》</w:t>
            </w:r>
            <w:r>
              <w:rPr>
                <w:rFonts w:hint="eastAsia" w:ascii="Calibri" w:hAnsi="Calibri"/>
              </w:rPr>
              <w:t>☑充分</w:t>
            </w:r>
            <w:r>
              <w:rPr>
                <w:rFonts w:hint="eastAsia"/>
              </w:rPr>
              <w:t xml:space="preserve">有效    </w:t>
            </w:r>
            <w:r>
              <w:rPr>
                <w:rFonts w:hint="eastAsia" w:ascii="Calibri" w:hAnsi="Calibri"/>
              </w:rPr>
              <w:t xml:space="preserve">☑不足，说明： </w:t>
            </w:r>
            <w:r>
              <w:rPr>
                <w:rFonts w:hint="eastAsia" w:ascii="Calibri" w:hAnsi="Calibri"/>
                <w:u w:val="single"/>
              </w:rPr>
              <w:t xml:space="preserve">                               </w:t>
            </w:r>
          </w:p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抽查任职能力情况：</w:t>
            </w:r>
          </w:p>
          <w:p>
            <w:pPr>
              <w:rPr>
                <w:rFonts w:ascii="Calibri" w:hAnsi="Calibri"/>
              </w:rPr>
            </w:pPr>
          </w:p>
          <w:tbl>
            <w:tblPr>
              <w:tblStyle w:val="6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736"/>
              <w:gridCol w:w="889"/>
              <w:gridCol w:w="23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关键岗位的人员</w:t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任职要求</w:t>
                  </w:r>
                </w:p>
              </w:tc>
              <w:tc>
                <w:tcPr>
                  <w:tcW w:w="173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学历/专业</w:t>
                  </w:r>
                </w:p>
              </w:tc>
              <w:tc>
                <w:tcPr>
                  <w:tcW w:w="889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工作经历年限</w:t>
                  </w:r>
                </w:p>
              </w:tc>
              <w:tc>
                <w:tcPr>
                  <w:tcW w:w="2357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黄偲</w:t>
                  </w:r>
                </w:p>
                <w:p>
                  <w:r>
                    <w:t>生产部经理</w:t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学历：大专及以上学历</w:t>
                  </w:r>
                </w:p>
                <w:p>
                  <w:pPr>
                    <w:jc w:val="left"/>
                  </w:pPr>
                  <w:r>
                    <w:rPr>
                      <w:rFonts w:hint="eastAsia"/>
                    </w:rPr>
                    <w:t>专业：</w:t>
                  </w:r>
                </w:p>
                <w:p>
                  <w:pPr>
                    <w:jc w:val="left"/>
                  </w:pPr>
                  <w:r>
                    <w:rPr>
                      <w:rFonts w:hint="eastAsia"/>
                    </w:rPr>
                    <w:t>培训：无</w:t>
                  </w:r>
                </w:p>
                <w:p>
                  <w:pPr>
                    <w:jc w:val="left"/>
                  </w:pPr>
                  <w:r>
                    <w:rPr>
                      <w:rFonts w:hint="eastAsia"/>
                    </w:rPr>
                    <w:t>工作经历：5</w:t>
                  </w:r>
                </w:p>
              </w:tc>
              <w:tc>
                <w:tcPr>
                  <w:tcW w:w="173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学历：本科</w:t>
                  </w:r>
                </w:p>
                <w:p>
                  <w:pPr>
                    <w:tabs>
                      <w:tab w:val="left" w:pos="1215"/>
                    </w:tabs>
                  </w:pPr>
                  <w:r>
                    <w:rPr>
                      <w:rFonts w:hint="eastAsia"/>
                    </w:rPr>
                    <w:t>专业：</w:t>
                  </w:r>
                  <w: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工商管理</w:t>
                  </w:r>
                  <w:r>
                    <w:tab/>
                  </w:r>
                </w:p>
              </w:tc>
              <w:tc>
                <w:tcPr>
                  <w:tcW w:w="889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</w:p>
              </w:tc>
              <w:tc>
                <w:tcPr>
                  <w:tcW w:w="2357" w:type="dxa"/>
                  <w:shd w:val="clear" w:color="auto" w:fill="auto"/>
                </w:tcPr>
                <w:p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胜任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陆菊凤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 xml:space="preserve">      综合部经理</w:t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学历：大专及以上学历</w:t>
                  </w:r>
                </w:p>
                <w:p>
                  <w:pPr>
                    <w:jc w:val="left"/>
                  </w:pPr>
                  <w:r>
                    <w:rPr>
                      <w:rFonts w:hint="eastAsia"/>
                    </w:rPr>
                    <w:t>专业：</w:t>
                  </w:r>
                </w:p>
                <w:p>
                  <w:pPr>
                    <w:jc w:val="left"/>
                  </w:pPr>
                  <w:r>
                    <w:rPr>
                      <w:rFonts w:hint="eastAsia"/>
                    </w:rPr>
                    <w:t>培训：无</w:t>
                  </w:r>
                </w:p>
                <w:p>
                  <w:pPr>
                    <w:jc w:val="left"/>
                  </w:pPr>
                  <w:r>
                    <w:rPr>
                      <w:rFonts w:hint="eastAsia"/>
                    </w:rPr>
                    <w:t>工作经历：无</w:t>
                  </w:r>
                </w:p>
              </w:tc>
              <w:tc>
                <w:tcPr>
                  <w:tcW w:w="173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学历：大专</w:t>
                  </w:r>
                </w:p>
                <w:p>
                  <w:r>
                    <w:rPr>
                      <w:rFonts w:hint="eastAsia"/>
                    </w:rPr>
                    <w:t>专业：</w:t>
                  </w:r>
                  <w:r>
                    <w:t xml:space="preserve"> </w:t>
                  </w:r>
                </w:p>
              </w:tc>
              <w:tc>
                <w:tcPr>
                  <w:tcW w:w="889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16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</w:p>
              </w:tc>
              <w:tc>
                <w:tcPr>
                  <w:tcW w:w="2357" w:type="dxa"/>
                  <w:shd w:val="clear" w:color="auto" w:fill="auto"/>
                </w:tcPr>
                <w:p>
                  <w:r>
                    <w:rPr>
                      <w:rFonts w:hint="eastAsia" w:ascii="Calibri" w:hAnsi="Calibri"/>
                    </w:rPr>
                    <w:t>☑</w:t>
                  </w:r>
                  <w:r>
                    <w:rPr>
                      <w:rFonts w:hint="eastAsia"/>
                    </w:rPr>
                    <w:t xml:space="preserve">胜任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ind w:left="210" w:hanging="210" w:hangingChars="100"/>
                    <w:jc w:val="left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杜园 检验员  </w:t>
                  </w:r>
                </w:p>
              </w:tc>
              <w:tc>
                <w:tcPr>
                  <w:tcW w:w="2230" w:type="dxa"/>
                  <w:shd w:val="clear" w:color="auto" w:fill="auto"/>
                </w:tcPr>
                <w:p>
                  <w:pPr>
                    <w:jc w:val="left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学历：高中及以上学历</w:t>
                  </w:r>
                </w:p>
                <w:p>
                  <w:pPr>
                    <w:jc w:val="left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专业：——</w:t>
                  </w:r>
                </w:p>
                <w:p>
                  <w:pPr>
                    <w:jc w:val="left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培训：</w:t>
                  </w:r>
                </w:p>
                <w:p>
                  <w:pPr>
                    <w:jc w:val="left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工作经历：</w:t>
                  </w:r>
                  <w:r>
                    <w:rPr>
                      <w:rFonts w:hint="eastAsia"/>
                      <w:szCs w:val="22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szCs w:val="22"/>
                    </w:rPr>
                    <w:t>年</w:t>
                  </w:r>
                </w:p>
              </w:tc>
              <w:tc>
                <w:tcPr>
                  <w:tcW w:w="173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学历：本科</w:t>
                  </w:r>
                </w:p>
                <w:p>
                  <w:r>
                    <w:rPr>
                      <w:rFonts w:hint="eastAsia"/>
                    </w:rPr>
                    <w:t>专业：</w:t>
                  </w:r>
                  <w:r>
                    <w:t xml:space="preserve"> </w:t>
                  </w:r>
                </w:p>
              </w:tc>
              <w:tc>
                <w:tcPr>
                  <w:tcW w:w="889" w:type="dxa"/>
                  <w:shd w:val="clear" w:color="auto" w:fill="auto"/>
                </w:tcPr>
                <w:p>
                  <w:pPr>
                    <w:rPr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9</w:t>
                  </w:r>
                  <w:bookmarkStart w:id="2" w:name="_GoBack"/>
                  <w:bookmarkEnd w:id="2"/>
                  <w:r>
                    <w:rPr>
                      <w:rFonts w:hint="eastAsia"/>
                      <w:highlight w:val="none"/>
                    </w:rPr>
                    <w:t>年</w:t>
                  </w:r>
                </w:p>
              </w:tc>
              <w:tc>
                <w:tcPr>
                  <w:tcW w:w="2357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不胜任</w:t>
                  </w:r>
                </w:p>
              </w:tc>
            </w:tr>
          </w:tbl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r>
              <w:rPr>
                <w:rFonts w:ascii="Calibri" w:hAnsi="Calibri"/>
              </w:rPr>
              <w:t>获得所需的能力</w:t>
            </w:r>
            <w:r>
              <w:rPr>
                <w:rFonts w:hint="eastAsia" w:ascii="Calibri" w:hAnsi="Calibri"/>
              </w:rPr>
              <w:t>所</w:t>
            </w:r>
            <w:r>
              <w:rPr>
                <w:rFonts w:ascii="Calibri" w:hAnsi="Calibri"/>
              </w:rPr>
              <w:t>采取措施</w:t>
            </w:r>
            <w:r>
              <w:rPr>
                <w:rFonts w:hint="eastAsia" w:ascii="Calibri" w:hAnsi="Calibri"/>
              </w:rPr>
              <w:t>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培训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调整岗位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岗位辅导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招聘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劳务外包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tbl>
            <w:tblPr>
              <w:tblStyle w:val="6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545"/>
              <w:gridCol w:w="1616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《招聘计划》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>招聘完成情况</w:t>
                  </w:r>
                </w:p>
              </w:tc>
              <w:tc>
                <w:tcPr>
                  <w:tcW w:w="1545" w:type="dxa"/>
                </w:tcPr>
                <w:p>
                  <w:r>
                    <w:rPr>
                      <w:rFonts w:hint="eastAsia"/>
                    </w:rPr>
                    <w:t>社会招聘</w:t>
                  </w:r>
                </w:p>
              </w:tc>
              <w:tc>
                <w:tcPr>
                  <w:tcW w:w="1616" w:type="dxa"/>
                </w:tcPr>
                <w:p>
                  <w:r>
                    <w:rPr>
                      <w:rFonts w:hint="eastAsia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>
                  <w:r>
                    <w:rPr>
                      <w:rFonts w:hint="eastAsia"/>
                    </w:rPr>
                    <w:t>满足条件比例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管理人员 0  名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 xml:space="preserve">实招  0 名  </w:t>
                  </w:r>
                </w:p>
              </w:tc>
              <w:tc>
                <w:tcPr>
                  <w:tcW w:w="154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16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技术人员 0 名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 xml:space="preserve">实招  0 名  </w:t>
                  </w:r>
                </w:p>
              </w:tc>
              <w:tc>
                <w:tcPr>
                  <w:tcW w:w="154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16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操作人员 0  名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 xml:space="preserve">实招  0 名  </w:t>
                  </w:r>
                </w:p>
              </w:tc>
              <w:tc>
                <w:tcPr>
                  <w:tcW w:w="154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</w:tbl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培训过程的控制：</w:t>
            </w:r>
          </w:p>
          <w:tbl>
            <w:tblPr>
              <w:tblStyle w:val="6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24"/>
              <w:gridCol w:w="2392"/>
              <w:gridCol w:w="1647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</w:tcPr>
                <w:p>
                  <w:r>
                    <w:rPr>
                      <w:rFonts w:hint="eastAsia"/>
                    </w:rPr>
                    <w:t>计划培训日期</w:t>
                  </w:r>
                </w:p>
              </w:tc>
              <w:tc>
                <w:tcPr>
                  <w:tcW w:w="2392" w:type="dxa"/>
                </w:tcPr>
                <w:p>
                  <w:r>
                    <w:rPr>
                      <w:rFonts w:hint="eastAsia"/>
                    </w:rPr>
                    <w:t>培训记录内容</w:t>
                  </w:r>
                </w:p>
              </w:tc>
              <w:tc>
                <w:tcPr>
                  <w:tcW w:w="1647" w:type="dxa"/>
                </w:tcPr>
                <w:p>
                  <w:r>
                    <w:rPr>
                      <w:rFonts w:hint="eastAsia"/>
                    </w:rPr>
                    <w:t>参加部门/</w:t>
                  </w:r>
                  <w:r>
                    <w:rPr>
                      <w:rFonts w:hint="eastAsia" w:ascii="Calibri" w:hAnsi="Calibri"/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评价方式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hint="eastAsia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2020年5月</w:t>
                  </w:r>
                </w:p>
              </w:tc>
              <w:tc>
                <w:tcPr>
                  <w:tcW w:w="2392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QEO培训</w:t>
                  </w:r>
                </w:p>
              </w:tc>
              <w:tc>
                <w:tcPr>
                  <w:tcW w:w="1647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全员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>笔试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2020年6月</w:t>
                  </w:r>
                </w:p>
              </w:tc>
              <w:tc>
                <w:tcPr>
                  <w:tcW w:w="2392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szCs w:val="22"/>
                    </w:rPr>
                    <w:t>销售服务规范和业绩考核</w:t>
                  </w:r>
                </w:p>
              </w:tc>
              <w:tc>
                <w:tcPr>
                  <w:tcW w:w="1647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新员工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>笔试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2020年7月</w:t>
                  </w:r>
                </w:p>
              </w:tc>
              <w:tc>
                <w:tcPr>
                  <w:tcW w:w="2392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szCs w:val="22"/>
                    </w:rPr>
                    <w:t>安全生产操作规范</w:t>
                  </w:r>
                </w:p>
              </w:tc>
              <w:tc>
                <w:tcPr>
                  <w:tcW w:w="1647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 w:ascii="Calibri" w:hAnsi="Calibri"/>
                    </w:rPr>
                    <w:t>全员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>笔试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</w:tbl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持证上岗人员的控制：</w:t>
            </w:r>
          </w:p>
          <w:p>
            <w:pPr>
              <w:rPr>
                <w:rFonts w:ascii="Calibri" w:hAnsi="Calibri"/>
              </w:rPr>
            </w:pPr>
          </w:p>
          <w:tbl>
            <w:tblPr>
              <w:tblStyle w:val="6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412"/>
              <w:gridCol w:w="2305"/>
              <w:gridCol w:w="172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特种作业人员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230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资格证书</w:t>
                  </w:r>
                </w:p>
              </w:tc>
              <w:tc>
                <w:tcPr>
                  <w:tcW w:w="1720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发证日期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rFonts w:hint="eastAsia" w:eastAsia="宋体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Cs w:val="22"/>
                    </w:rPr>
                    <w:t>焊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工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杨雨建</w:t>
                  </w:r>
                </w:p>
              </w:tc>
              <w:tc>
                <w:tcPr>
                  <w:tcW w:w="2305" w:type="dxa"/>
                  <w:vAlign w:val="center"/>
                </w:tcPr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1355003053302849</w:t>
                  </w:r>
                </w:p>
              </w:tc>
              <w:tc>
                <w:tcPr>
                  <w:tcW w:w="1720" w:type="dxa"/>
                </w:tcPr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</w:rPr>
                    <w:t>20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13</w:t>
                  </w:r>
                  <w:r>
                    <w:rPr>
                      <w:rFonts w:hint="eastAsia"/>
                      <w:szCs w:val="22"/>
                    </w:rPr>
                    <w:t>-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  <w:szCs w:val="22"/>
                    </w:rPr>
                    <w:t>-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30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</w:rPr>
                    <w:t>焊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工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向伟</w:t>
                  </w:r>
                </w:p>
              </w:tc>
              <w:tc>
                <w:tcPr>
                  <w:tcW w:w="2305" w:type="dxa"/>
                  <w:vAlign w:val="center"/>
                </w:tcPr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18100300000304328</w:t>
                  </w:r>
                </w:p>
              </w:tc>
              <w:tc>
                <w:tcPr>
                  <w:tcW w:w="1720" w:type="dxa"/>
                </w:tcPr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2018-06-07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电工作业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王佳俊</w:t>
                  </w:r>
                </w:p>
              </w:tc>
              <w:tc>
                <w:tcPr>
                  <w:tcW w:w="2305" w:type="dxa"/>
                  <w:vAlign w:val="center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T320282198910065572</w:t>
                  </w:r>
                </w:p>
              </w:tc>
              <w:tc>
                <w:tcPr>
                  <w:tcW w:w="1720" w:type="dxa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2025-12-15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</w:tbl>
          <w:p>
            <w:pPr>
              <w:rPr>
                <w:rFonts w:ascii="Calibri" w:hAnsi="Calibri"/>
              </w:rPr>
            </w:pPr>
          </w:p>
          <w:p/>
        </w:tc>
        <w:tc>
          <w:tcPr>
            <w:tcW w:w="1279" w:type="dxa"/>
            <w:vMerge w:val="continue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沟通  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E7.4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如：《沟通控制程序》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组织考虑了合规义务，确保环境信息与环境管理体系形成的信息一致且真实可信。</w:t>
            </w:r>
          </w:p>
          <w:p/>
          <w:p>
            <w:r>
              <w:rPr>
                <w:rFonts w:hint="eastAsia"/>
              </w:rPr>
              <w:t>外部沟通的控制：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r>
                    <w:rPr>
                      <w:rFonts w:hint="eastAsia"/>
                      <w:sz w:val="24"/>
                      <w:szCs w:val="24"/>
                    </w:rPr>
                    <w:t>2020.5.25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环境监测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  <w:sz w:val="24"/>
                      <w:szCs w:val="24"/>
                    </w:rPr>
                    <w:t>环科园安环委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电话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已有检测报告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r>
                    <w:rPr>
                      <w:rFonts w:hint="eastAsia"/>
                      <w:sz w:val="24"/>
                      <w:szCs w:val="24"/>
                    </w:rPr>
                    <w:t>2020.6.3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新冠疫情防护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  <w:sz w:val="24"/>
                      <w:szCs w:val="24"/>
                    </w:rPr>
                    <w:t>宜兴卫生监督所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  <w:sz w:val="24"/>
                      <w:szCs w:val="24"/>
                    </w:rPr>
                    <w:t>告知单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已有消毒，提问检测措施和发放卫生用品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r>
                    <w:rPr>
                      <w:rFonts w:hint="eastAsia"/>
                      <w:sz w:val="24"/>
                      <w:szCs w:val="24"/>
                    </w:rPr>
                    <w:t>2020.7.20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监测设备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  <w:sz w:val="24"/>
                      <w:szCs w:val="24"/>
                    </w:rPr>
                    <w:t>宜兴市场监督局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  <w:sz w:val="24"/>
                      <w:szCs w:val="24"/>
                    </w:rPr>
                    <w:t>电话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监测设备已送检</w:t>
                  </w:r>
                </w:p>
              </w:tc>
            </w:tr>
          </w:tbl>
          <w:p/>
          <w:p>
            <w:r>
              <w:rPr>
                <w:rFonts w:hint="eastAsia"/>
              </w:rPr>
              <w:t>内部沟通的控制：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2020-05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QEO标准培训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全员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会议</w:t>
                  </w:r>
                </w:p>
              </w:tc>
              <w:tc>
                <w:tcPr>
                  <w:tcW w:w="1507" w:type="dxa"/>
                </w:tcPr>
                <w:p>
                  <w:r>
                    <w:t>综合部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sz w:val="24"/>
                    </w:rPr>
                    <w:t>2020.06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sz w:val="24"/>
                    </w:rPr>
                    <w:t>销售服务规范和业绩考核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新员工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会议</w:t>
                  </w:r>
                </w:p>
              </w:tc>
              <w:tc>
                <w:tcPr>
                  <w:tcW w:w="1507" w:type="dxa"/>
                </w:tcPr>
                <w:p>
                  <w:r>
                    <w:t>综合部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sz w:val="24"/>
                    </w:rPr>
                    <w:t>2020.07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sz w:val="24"/>
                    </w:rPr>
                    <w:t>安全生产操作规范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sz w:val="24"/>
                    </w:rPr>
                    <w:t>全员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会议</w:t>
                  </w:r>
                </w:p>
              </w:tc>
              <w:tc>
                <w:tcPr>
                  <w:tcW w:w="1507" w:type="dxa"/>
                </w:tcPr>
                <w:p>
                  <w:r>
                    <w:t>综合部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已完成</w:t>
                  </w:r>
                </w:p>
              </w:tc>
            </w:tr>
          </w:tbl>
          <w:p/>
          <w:p/>
        </w:tc>
        <w:tc>
          <w:tcPr>
            <w:tcW w:w="1279" w:type="dxa"/>
            <w:vMerge w:val="continue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形成文件的信息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E7.5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如：《文件控制程序》、《记录控制程序》、《文件化信息控制程序》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查看《受控文件清单》</w:t>
            </w:r>
          </w:p>
          <w:p/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审批日期</w:t>
                  </w:r>
                </w:p>
              </w:tc>
              <w:tc>
                <w:tcPr>
                  <w:tcW w:w="1006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评审人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管理手册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2020-5-20</w:t>
                  </w:r>
                </w:p>
              </w:tc>
              <w:tc>
                <w:tcPr>
                  <w:tcW w:w="1006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各部门负责人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2020-5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 w:ascii="宋体" w:hAnsi="宋体" w:cs="宋体"/>
                      <w:szCs w:val="21"/>
                    </w:rPr>
                    <w:t>程序文件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2020-5-20</w:t>
                  </w:r>
                </w:p>
              </w:tc>
              <w:tc>
                <w:tcPr>
                  <w:tcW w:w="1006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相关部门负责人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2020-5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ascii="Arial Narrow" w:hAnsi="宋体"/>
                      <w:szCs w:val="21"/>
                    </w:rPr>
                    <w:t>固体废物污染环境防治法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2020-5-20</w:t>
                  </w:r>
                </w:p>
              </w:tc>
              <w:tc>
                <w:tcPr>
                  <w:tcW w:w="1006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相关车间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2020-5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</w:tbl>
          <w:p/>
          <w:p>
            <w:r>
              <w:rPr>
                <w:rFonts w:hint="eastAsia"/>
              </w:rPr>
              <w:t>文件修改控制：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作废处理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责任人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/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/>
              </w:tc>
              <w:tc>
                <w:tcPr>
                  <w:tcW w:w="1006" w:type="dxa"/>
                </w:tcPr>
                <w:p/>
              </w:tc>
              <w:tc>
                <w:tcPr>
                  <w:tcW w:w="1754" w:type="dxa"/>
                </w:tcPr>
                <w:p/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/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/>
              </w:tc>
              <w:tc>
                <w:tcPr>
                  <w:tcW w:w="1006" w:type="dxa"/>
                </w:tcPr>
                <w:p/>
              </w:tc>
              <w:tc>
                <w:tcPr>
                  <w:tcW w:w="1754" w:type="dxa"/>
                </w:tcPr>
                <w:p/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电子文件系统管理：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定期杀毒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定期备份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限值上网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取消USB端口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外来文件控制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62"/>
              <w:gridCol w:w="1624"/>
              <w:gridCol w:w="1172"/>
              <w:gridCol w:w="1218"/>
              <w:gridCol w:w="1810"/>
              <w:gridCol w:w="14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2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24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172" w:type="dxa"/>
                </w:tcPr>
                <w:p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218" w:type="dxa"/>
                </w:tcPr>
                <w:p>
                  <w:r>
                    <w:rPr>
                      <w:rFonts w:hint="eastAsia"/>
                    </w:rPr>
                    <w:t>收集人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t>使用方法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2" w:type="dxa"/>
                </w:tcPr>
                <w:p>
                  <w:r>
                    <w:rPr>
                      <w:rFonts w:ascii="Arial Narrow" w:hAnsi="宋体"/>
                      <w:szCs w:val="21"/>
                    </w:rPr>
                    <w:t>节约能源法</w:t>
                  </w:r>
                </w:p>
              </w:tc>
              <w:tc>
                <w:tcPr>
                  <w:tcW w:w="162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172" w:type="dxa"/>
                </w:tcPr>
                <w:p>
                  <w:r>
                    <w:rPr>
                      <w:rFonts w:hint="eastAsia"/>
                    </w:rPr>
                    <w:t>2020-05</w:t>
                  </w:r>
                </w:p>
              </w:tc>
              <w:tc>
                <w:tcPr>
                  <w:tcW w:w="1218" w:type="dxa"/>
                </w:tcPr>
                <w:p>
                  <w:r>
                    <w:rPr>
                      <w:rFonts w:hint="eastAsia"/>
                    </w:rPr>
                    <w:t>陆菊风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2" w:type="dxa"/>
                </w:tcPr>
                <w:p>
                  <w:pPr>
                    <w:jc w:val="left"/>
                  </w:pPr>
                  <w:bookmarkStart w:id="1" w:name="OLE_LINK8"/>
                  <w:r>
                    <w:rPr>
                      <w:rFonts w:ascii="Arial Narrow" w:hAnsi="宋体"/>
                      <w:bCs/>
                      <w:szCs w:val="21"/>
                    </w:rPr>
                    <w:t>江苏省消防条例</w:t>
                  </w:r>
                  <w:bookmarkEnd w:id="1"/>
                </w:p>
              </w:tc>
              <w:tc>
                <w:tcPr>
                  <w:tcW w:w="162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172" w:type="dxa"/>
                </w:tcPr>
                <w:p>
                  <w:r>
                    <w:rPr>
                      <w:rFonts w:hint="eastAsia"/>
                    </w:rPr>
                    <w:t>2020-05</w:t>
                  </w:r>
                </w:p>
              </w:tc>
              <w:tc>
                <w:tcPr>
                  <w:tcW w:w="1218" w:type="dxa"/>
                </w:tcPr>
                <w:p>
                  <w:r>
                    <w:rPr>
                      <w:rFonts w:hint="eastAsia"/>
                    </w:rPr>
                    <w:t>陆菊风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2" w:type="dxa"/>
                </w:tcPr>
                <w:p>
                  <w:r>
                    <w:rPr>
                      <w:rFonts w:ascii="Arial Narrow"/>
                      <w:bCs/>
                      <w:color w:val="000000"/>
                      <w:szCs w:val="21"/>
                    </w:rPr>
                    <w:t>江苏省固体废物污染环境防治条例</w:t>
                  </w:r>
                </w:p>
              </w:tc>
              <w:tc>
                <w:tcPr>
                  <w:tcW w:w="162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</w:p>
              </w:tc>
              <w:tc>
                <w:tcPr>
                  <w:tcW w:w="1172" w:type="dxa"/>
                </w:tcPr>
                <w:p>
                  <w:r>
                    <w:rPr>
                      <w:rFonts w:hint="eastAsia"/>
                    </w:rPr>
                    <w:t>2020-05</w:t>
                  </w:r>
                </w:p>
              </w:tc>
              <w:tc>
                <w:tcPr>
                  <w:tcW w:w="1218" w:type="dxa"/>
                </w:tcPr>
                <w:p>
                  <w:r>
                    <w:rPr>
                      <w:rFonts w:hint="eastAsia"/>
                    </w:rPr>
                    <w:t>陆菊风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</w:tbl>
          <w:p/>
          <w:p>
            <w:r>
              <w:rPr>
                <w:rFonts w:hint="eastAsia"/>
              </w:rPr>
              <w:t>记录（音频、视频、图片等证据）控制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218"/>
              <w:gridCol w:w="1542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记录名称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218" w:type="dxa"/>
                </w:tcPr>
                <w:p>
                  <w:r>
                    <w:rPr>
                      <w:rFonts w:hint="eastAsia"/>
                    </w:rPr>
                    <w:t>保存部门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填制日期（月）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受控文件清单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3年</w:t>
                  </w:r>
                </w:p>
              </w:tc>
              <w:tc>
                <w:tcPr>
                  <w:tcW w:w="1218" w:type="dxa"/>
                </w:tcPr>
                <w:p>
                  <w:r>
                    <w:rPr>
                      <w:rFonts w:hint="eastAsia"/>
                    </w:rPr>
                    <w:t>环保部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培训计划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3年</w:t>
                  </w:r>
                </w:p>
              </w:tc>
              <w:tc>
                <w:tcPr>
                  <w:tcW w:w="1218" w:type="dxa"/>
                </w:tcPr>
                <w:p>
                  <w:r>
                    <w:rPr>
                      <w:rFonts w:hint="eastAsia"/>
                    </w:rPr>
                    <w:t>环保部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供方评定记录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3年</w:t>
                  </w:r>
                </w:p>
              </w:tc>
              <w:tc>
                <w:tcPr>
                  <w:tcW w:w="1218" w:type="dxa"/>
                </w:tcPr>
                <w:p>
                  <w:r>
                    <w:rPr>
                      <w:rFonts w:hint="eastAsia"/>
                    </w:rPr>
                    <w:t>环保部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</w:tr>
          </w:tbl>
          <w:p/>
        </w:tc>
        <w:tc>
          <w:tcPr>
            <w:tcW w:w="1279" w:type="dxa"/>
            <w:vMerge w:val="continue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运行控制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E8.1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  <w:kern w:val="0"/>
                <w:sz w:val="24"/>
              </w:rPr>
              <w:t>环境因素识别与评价控制程序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cs="宋体"/>
                <w:lang w:val="en-GB"/>
              </w:rPr>
              <w:t>废弃物管理规定</w:t>
            </w:r>
            <w:r>
              <w:rPr>
                <w:rFonts w:hint="eastAsia"/>
              </w:rPr>
              <w:t>》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《图纸》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《作业指导书》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《操作规程》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负责固废处理的控制控制。</w:t>
            </w:r>
          </w:p>
          <w:p/>
          <w:p>
            <w:r>
              <w:rPr>
                <w:rFonts w:hint="eastAsia"/>
              </w:rPr>
              <w:t>处理的主要污染物：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固体废弃物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处理方式：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收集后外卖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查《</w:t>
            </w:r>
            <w:r>
              <w:rPr>
                <w:rFonts w:hint="eastAsia" w:ascii="宋体" w:cs="宋体"/>
                <w:lang w:val="en-GB"/>
              </w:rPr>
              <w:t>废弃物管理规定</w:t>
            </w:r>
            <w:r>
              <w:rPr>
                <w:rFonts w:hint="eastAsia"/>
              </w:rPr>
              <w:t>》</w:t>
            </w:r>
          </w:p>
          <w:p>
            <w:r>
              <w:rPr>
                <w:rFonts w:hint="eastAsia"/>
              </w:rPr>
              <w:t>抽查</w:t>
            </w:r>
            <w:r>
              <w:rPr>
                <w:rFonts w:hint="eastAsia" w:ascii="宋体" w:cs="宋体"/>
                <w:lang w:val="en-GB"/>
              </w:rPr>
              <w:t>固体废弃物处理</w:t>
            </w:r>
            <w:r>
              <w:rPr>
                <w:rFonts w:hint="eastAsia"/>
              </w:rPr>
              <w:t>记录：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3"/>
              <w:gridCol w:w="1701"/>
              <w:gridCol w:w="2156"/>
              <w:gridCol w:w="1659"/>
              <w:gridCol w:w="16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77" w:hRule="atLeast"/>
              </w:trPr>
              <w:tc>
                <w:tcPr>
                  <w:tcW w:w="1413" w:type="dxa"/>
                </w:tcPr>
                <w:p>
                  <w:pPr>
                    <w:ind w:firstLine="480" w:firstLineChars="20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分类</w:t>
                  </w:r>
                </w:p>
                <w:p>
                  <w:pPr>
                    <w:rPr>
                      <w:sz w:val="24"/>
                      <w:szCs w:val="24"/>
                    </w:rPr>
                  </w:pPr>
                </w:p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1701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可回收利用废弃物</w:t>
                  </w:r>
                </w:p>
              </w:tc>
              <w:tc>
                <w:tcPr>
                  <w:tcW w:w="2156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处理措施</w:t>
                  </w:r>
                </w:p>
              </w:tc>
              <w:tc>
                <w:tcPr>
                  <w:tcW w:w="1659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不可回收利用废弃物</w:t>
                  </w:r>
                </w:p>
              </w:tc>
              <w:tc>
                <w:tcPr>
                  <w:tcW w:w="1660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处理措施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3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2020.5.25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包装纸盒</w:t>
                  </w:r>
                </w:p>
              </w:tc>
              <w:tc>
                <w:tcPr>
                  <w:tcW w:w="2156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外卖</w:t>
                  </w:r>
                </w:p>
              </w:tc>
              <w:tc>
                <w:tcPr>
                  <w:tcW w:w="1659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无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3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2020.6.18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办公室废弃物</w:t>
                  </w:r>
                </w:p>
              </w:tc>
              <w:tc>
                <w:tcPr>
                  <w:tcW w:w="2156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交给环卫工人处理</w:t>
                  </w:r>
                </w:p>
              </w:tc>
              <w:tc>
                <w:tcPr>
                  <w:tcW w:w="1659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无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3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2020.7.20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包装纸盒</w:t>
                  </w:r>
                </w:p>
              </w:tc>
              <w:tc>
                <w:tcPr>
                  <w:tcW w:w="2156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外卖</w:t>
                  </w:r>
                </w:p>
              </w:tc>
              <w:tc>
                <w:tcPr>
                  <w:tcW w:w="1659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无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13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2020.8.28</w:t>
                  </w:r>
                </w:p>
              </w:tc>
              <w:tc>
                <w:tcPr>
                  <w:tcW w:w="1701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包装纸盒</w:t>
                  </w:r>
                </w:p>
              </w:tc>
              <w:tc>
                <w:tcPr>
                  <w:tcW w:w="2156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外卖</w:t>
                  </w:r>
                </w:p>
              </w:tc>
              <w:tc>
                <w:tcPr>
                  <w:tcW w:w="1659" w:type="dxa"/>
                </w:tcPr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无</w:t>
                  </w:r>
                </w:p>
              </w:tc>
              <w:tc>
                <w:tcPr>
                  <w:tcW w:w="1660" w:type="dxa"/>
                </w:tcPr>
                <w:p>
                  <w:pPr>
                    <w:rPr>
                      <w:sz w:val="22"/>
                    </w:rPr>
                  </w:pPr>
                </w:p>
              </w:tc>
            </w:tr>
          </w:tbl>
          <w:p>
            <w:pPr>
              <w:rPr>
                <w:b/>
                <w:bCs/>
                <w:color w:val="1D41D5"/>
                <w:szCs w:val="22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查《消防预案》及应急演练情况：</w:t>
            </w:r>
            <w:r>
              <w:rPr>
                <w:rFonts w:hint="eastAsia"/>
                <w:u w:val="single"/>
              </w:rPr>
              <w:t xml:space="preserve"> 2020.7.23已实施演练 </w:t>
            </w:r>
          </w:p>
          <w:p/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查看设备的完好情况（有无跑冒滴漏的现象）。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  <w:p>
            <w:r>
              <w:rPr>
                <w:rFonts w:hint="eastAsia"/>
              </w:rPr>
              <w:t xml:space="preserve">查看生产/服务对危险废弃物的管理情况      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  <w:p>
            <w:r>
              <w:rPr>
                <w:rFonts w:hint="eastAsia"/>
              </w:rPr>
              <w:t xml:space="preserve">查看关键岗位人员是否按操作要求进行操作。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  <w:p>
            <w:r>
              <w:rPr>
                <w:rFonts w:hint="eastAsia"/>
              </w:rPr>
              <w:t xml:space="preserve">抽样询问关键岗位人员是否熟悉按操作要求  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  <w:p>
            <w:r>
              <w:rPr>
                <w:rFonts w:hint="eastAsia"/>
              </w:rPr>
              <w:t>查看与环境有关的的控制参数是否按操作要求进行操作。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  <w:p>
            <w:r>
              <w:rPr>
                <w:rFonts w:hint="eastAsia"/>
              </w:rPr>
              <w:t>查看是否使用了经校准的与环境有关的监视测量设备。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  <w:color w:val="000000"/>
                <w:szCs w:val="21"/>
              </w:rPr>
              <w:t>□否</w:t>
            </w: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E8.2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</w:t>
            </w:r>
          </w:p>
        </w:tc>
        <w:tc>
          <w:tcPr>
            <w:tcW w:w="9565" w:type="dxa"/>
          </w:tcPr>
          <w:p>
            <w:pPr>
              <w:rPr>
                <w:color w:val="1D41D5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《应急准备和响应控制程序》、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《应急预案》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应急准备和响应的情况：</w:t>
            </w: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r>
                    <w:rPr>
                      <w:rFonts w:hint="eastAsia"/>
                    </w:rPr>
                    <w:t>火灾演练</w:t>
                  </w:r>
                </w:p>
                <w:p>
                  <w:r>
                    <w:rPr>
                      <w:rFonts w:hint="eastAsia"/>
                      <w:szCs w:val="22"/>
                      <w:u w:val="single"/>
                    </w:rPr>
                    <w:t>2020年7月23日</w:t>
                  </w:r>
                </w:p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r>
                    <w:rPr>
                      <w:rFonts w:hint="eastAsia"/>
                      <w:szCs w:val="22"/>
                    </w:rPr>
                    <w:t>火灾应急救援预案演练方案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应急预案可行、</w:t>
                  </w:r>
                </w:p>
                <w:p>
                  <w:r>
                    <w:rPr>
                      <w:rFonts w:hint="eastAsia"/>
                      <w:szCs w:val="22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/>
              </w:tc>
              <w:tc>
                <w:tcPr>
                  <w:tcW w:w="20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实际发生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/>
              </w:tc>
              <w:tc>
                <w:tcPr>
                  <w:tcW w:w="2110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  每次演练后            </w:t>
            </w:r>
          </w:p>
          <w:p>
            <w:pPr>
              <w:rPr>
                <w:highlight w:val="cyan"/>
              </w:rPr>
            </w:pPr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 无                </w:t>
            </w:r>
            <w:r>
              <w:rPr>
                <w:rFonts w:hint="eastAsia"/>
              </w:rPr>
              <w:t>。</w:t>
            </w:r>
          </w:p>
          <w:p/>
          <w:p>
            <w:r>
              <w:rPr>
                <w:rFonts w:hint="eastAsia"/>
              </w:rPr>
              <w:t xml:space="preserve">《应急预案》在当地环保部门的备案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未实施</w:t>
            </w:r>
          </w:p>
          <w:p/>
          <w:p>
            <w:r>
              <w:rPr>
                <w:rFonts w:hint="eastAsia"/>
              </w:rPr>
              <w:t>适当时，向有关的相关方，包括组织控制下工作的人员提供相关的培训。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已实施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未实施</w:t>
            </w:r>
          </w:p>
          <w:p>
            <w:pPr>
              <w:rPr>
                <w:color w:val="1D41D5"/>
              </w:rPr>
            </w:pP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监视、测量、分析和评价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E9.1.1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如：《监视、测量、分析和评价控制程序》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监视、测量、分析和评价的内容：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能源消耗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污染物浓度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危化品管理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特种设备管理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持证上岗人员管理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废物回收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污染物处理监控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抽取监视、测量、分析和评价相关记录名称：</w:t>
            </w:r>
            <w:r>
              <w:rPr>
                <w:rFonts w:hint="eastAsia"/>
                <w:u w:val="single"/>
              </w:rPr>
              <w:t>《环境安全检查记录》</w:t>
            </w:r>
          </w:p>
          <w:p>
            <w:pPr>
              <w:rPr>
                <w:highlight w:val="cyan"/>
                <w:u w:val="single"/>
              </w:rPr>
            </w:pPr>
          </w:p>
          <w:tbl>
            <w:tblPr>
              <w:tblStyle w:val="6"/>
              <w:tblW w:w="901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69"/>
              <w:gridCol w:w="1634"/>
              <w:gridCol w:w="4200"/>
              <w:gridCol w:w="19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9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34" w:type="dxa"/>
                </w:tcPr>
                <w:p>
                  <w:r>
                    <w:rPr>
                      <w:rFonts w:hint="eastAsia"/>
                    </w:rPr>
                    <w:t>项目</w:t>
                  </w:r>
                </w:p>
              </w:tc>
              <w:tc>
                <w:tcPr>
                  <w:tcW w:w="4200" w:type="dxa"/>
                </w:tcPr>
                <w:p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1911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269" w:type="dxa"/>
                </w:tcPr>
                <w:p>
                  <w:r>
                    <w:rPr>
                      <w:rFonts w:hint="eastAsia"/>
                    </w:rPr>
                    <w:t>2020.6.18</w:t>
                  </w:r>
                </w:p>
                <w:p/>
              </w:tc>
              <w:tc>
                <w:tcPr>
                  <w:tcW w:w="1634" w:type="dxa"/>
                </w:tcPr>
                <w:p>
                  <w:r>
                    <w:rPr>
                      <w:rFonts w:hint="eastAsia"/>
                    </w:rPr>
                    <w:t>环境安全检查</w:t>
                  </w:r>
                </w:p>
              </w:tc>
              <w:tc>
                <w:tcPr>
                  <w:tcW w:w="4200" w:type="dxa"/>
                </w:tcPr>
                <w:p>
                  <w:r>
                    <w:rPr>
                      <w:rFonts w:hint="eastAsia"/>
                    </w:rPr>
                    <w:t>设施完好，符合消防规定，无整改项</w:t>
                  </w:r>
                </w:p>
              </w:tc>
              <w:tc>
                <w:tcPr>
                  <w:tcW w:w="1911" w:type="dxa"/>
                </w:tcPr>
                <w:p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达标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>超标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9" w:type="dxa"/>
                </w:tcPr>
                <w:p>
                  <w:r>
                    <w:rPr>
                      <w:rFonts w:hint="eastAsia"/>
                    </w:rPr>
                    <w:t>2020.7.28</w:t>
                  </w:r>
                </w:p>
              </w:tc>
              <w:tc>
                <w:tcPr>
                  <w:tcW w:w="1634" w:type="dxa"/>
                </w:tcPr>
                <w:p>
                  <w:r>
                    <w:rPr>
                      <w:rFonts w:hint="eastAsia"/>
                    </w:rPr>
                    <w:t>环境安全检查</w:t>
                  </w:r>
                </w:p>
              </w:tc>
              <w:tc>
                <w:tcPr>
                  <w:tcW w:w="4200" w:type="dxa"/>
                </w:tcPr>
                <w:p>
                  <w:r>
                    <w:rPr>
                      <w:rFonts w:hint="eastAsia"/>
                    </w:rPr>
                    <w:t>设施完好，符合消防规定，无整改项</w:t>
                  </w:r>
                </w:p>
              </w:tc>
              <w:tc>
                <w:tcPr>
                  <w:tcW w:w="1911" w:type="dxa"/>
                </w:tcPr>
                <w:p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达标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>超标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69" w:type="dxa"/>
                </w:tcPr>
                <w:p>
                  <w:r>
                    <w:rPr>
                      <w:rFonts w:hint="eastAsia"/>
                    </w:rPr>
                    <w:t>2020.9.10</w:t>
                  </w:r>
                </w:p>
              </w:tc>
              <w:tc>
                <w:tcPr>
                  <w:tcW w:w="1634" w:type="dxa"/>
                </w:tcPr>
                <w:p>
                  <w:r>
                    <w:rPr>
                      <w:rFonts w:hint="eastAsia"/>
                    </w:rPr>
                    <w:t>环境安全检查</w:t>
                  </w:r>
                </w:p>
              </w:tc>
              <w:tc>
                <w:tcPr>
                  <w:tcW w:w="4200" w:type="dxa"/>
                </w:tcPr>
                <w:p>
                  <w:r>
                    <w:rPr>
                      <w:rFonts w:hint="eastAsia"/>
                    </w:rPr>
                    <w:t>设施完好，符合消防规定，无整改项</w:t>
                  </w:r>
                </w:p>
              </w:tc>
              <w:tc>
                <w:tcPr>
                  <w:tcW w:w="1911" w:type="dxa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</w:rPr>
                    <w:t xml:space="preserve">达标 </w:t>
                  </w:r>
                  <w:r>
                    <w:rPr>
                      <w:color w:val="000000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</w:rPr>
                    <w:t>超标</w:t>
                  </w:r>
                </w:p>
              </w:tc>
            </w:tr>
          </w:tbl>
          <w:p/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合规性评价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E9.1.2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《合规性评价控制程序》、或</w:t>
            </w:r>
            <w:r>
              <w:rPr/>
              <w:sym w:font="Wingdings" w:char="00A8"/>
            </w:r>
            <w:r>
              <w:rPr>
                <w:rFonts w:hint="eastAsia"/>
              </w:rPr>
              <w:t>《合规义务控制程序》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pPr>
              <w:rPr>
                <w:color w:val="000000"/>
                <w:szCs w:val="18"/>
              </w:rPr>
            </w:pPr>
            <w:r>
              <w:rPr/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FE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，合规义务如下：</w:t>
            </w:r>
          </w:p>
          <w:p>
            <w:pPr>
              <w:rPr>
                <w:color w:val="000000"/>
                <w:szCs w:val="18"/>
              </w:rPr>
            </w:pPr>
          </w:p>
          <w:tbl>
            <w:tblPr>
              <w:tblStyle w:val="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54"/>
              <w:gridCol w:w="1150"/>
              <w:gridCol w:w="2117"/>
              <w:gridCol w:w="3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4" w:type="dxa"/>
                </w:tcPr>
                <w:p>
                  <w:r>
                    <w:rPr>
                      <w:rFonts w:hint="eastAsia"/>
                    </w:rPr>
                    <w:t>合规义务</w:t>
                  </w:r>
                </w:p>
              </w:tc>
              <w:tc>
                <w:tcPr>
                  <w:tcW w:w="1150" w:type="dxa"/>
                </w:tcPr>
                <w:p>
                  <w:r>
                    <w:rPr>
                      <w:rFonts w:hint="eastAsia"/>
                    </w:rPr>
                    <w:t>评价日期</w:t>
                  </w:r>
                </w:p>
              </w:tc>
              <w:tc>
                <w:tcPr>
                  <w:tcW w:w="2117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3522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4" w:type="dxa"/>
                  <w:vAlign w:val="center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保护臭氧层维也纳公约</w:t>
                  </w: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2020-05</w:t>
                  </w:r>
                </w:p>
              </w:tc>
              <w:tc>
                <w:tcPr>
                  <w:tcW w:w="2117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3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4" w:type="dxa"/>
                  <w:vAlign w:val="center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中华人民共和国环境保护法</w:t>
                  </w: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2020-05</w:t>
                  </w:r>
                </w:p>
              </w:tc>
              <w:tc>
                <w:tcPr>
                  <w:tcW w:w="2117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3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4" w:type="dxa"/>
                  <w:vAlign w:val="center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中华人民共和国环境噪声污染防治法</w:t>
                  </w: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2020-05</w:t>
                  </w:r>
                </w:p>
              </w:tc>
              <w:tc>
                <w:tcPr>
                  <w:tcW w:w="2117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3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4" w:type="dxa"/>
                  <w:vAlign w:val="center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中华人民共和国节约能源</w:t>
                  </w: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2020-05</w:t>
                  </w:r>
                </w:p>
              </w:tc>
              <w:tc>
                <w:tcPr>
                  <w:tcW w:w="2117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3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4" w:type="dxa"/>
                  <w:vAlign w:val="center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关于征收污水排污费的通知</w:t>
                  </w: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2020-05</w:t>
                  </w:r>
                </w:p>
              </w:tc>
              <w:tc>
                <w:tcPr>
                  <w:tcW w:w="2117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3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4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2117" w:type="dxa"/>
                </w:tcPr>
                <w:p/>
              </w:tc>
              <w:tc>
                <w:tcPr>
                  <w:tcW w:w="3522" w:type="dxa"/>
                </w:tcPr>
                <w:p/>
              </w:tc>
            </w:tr>
          </w:tbl>
          <w:p/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内部审核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E9.2</w:t>
            </w:r>
          </w:p>
        </w:tc>
        <w:tc>
          <w:tcPr>
            <w:tcW w:w="745" w:type="dxa"/>
          </w:tcPr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文件名称</w:t>
            </w:r>
            <w:r>
              <w:rPr/>
              <w:sym w:font="Wingdings" w:char="00FE"/>
            </w:r>
            <w:r>
              <w:rPr>
                <w:rFonts w:hint="eastAsia" w:ascii="宋体" w:hAnsi="宋体"/>
                <w:kern w:val="0"/>
                <w:sz w:val="24"/>
              </w:rPr>
              <w:t>《</w:t>
            </w:r>
            <w:r>
              <w:rPr>
                <w:rFonts w:hint="eastAsia"/>
                <w:sz w:val="24"/>
              </w:rPr>
              <w:t>内审控制程序</w:t>
            </w:r>
            <w:r>
              <w:rPr>
                <w:rFonts w:hint="eastAsia" w:ascii="宋体" w:hAnsi="宋体"/>
                <w:kern w:val="0"/>
                <w:sz w:val="24"/>
              </w:rPr>
              <w:t>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pPr>
              <w:widowControl/>
              <w:spacing w:before="40"/>
              <w:jc w:val="left"/>
              <w:rPr>
                <w:szCs w:val="18"/>
              </w:rPr>
            </w:pPr>
          </w:p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/>
              <w:sym w:font="Wingdings" w:char="00A8"/>
            </w:r>
            <w:r>
              <w:rPr>
                <w:rFonts w:hint="eastAsia"/>
                <w:szCs w:val="18"/>
              </w:rPr>
              <w:t>自管理体系建立后/</w:t>
            </w:r>
            <w:r>
              <w:rPr/>
              <w:sym w:font="Wingdings" w:char="00FE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szCs w:val="18"/>
              </w:rPr>
              <w:t>，于</w:t>
            </w:r>
            <w:r>
              <w:rPr>
                <w:rFonts w:hint="eastAsia"/>
                <w:szCs w:val="18"/>
                <w:u w:val="single"/>
              </w:rPr>
              <w:t>2020</w:t>
            </w:r>
            <w:r>
              <w:rPr>
                <w:szCs w:val="18"/>
                <w:u w:val="single"/>
              </w:rPr>
              <w:t xml:space="preserve">  </w:t>
            </w:r>
            <w:r>
              <w:rPr>
                <w:rFonts w:hint="eastAsia"/>
                <w:szCs w:val="18"/>
              </w:rPr>
              <w:t>年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</w:rPr>
              <w:t>8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月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</w:rPr>
              <w:t>25~26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日实施了内部审核；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《内审计划》：有</w:t>
            </w:r>
            <w:r>
              <w:rPr>
                <w:rFonts w:hint="eastAsia"/>
                <w:szCs w:val="18"/>
                <w:u w:val="single"/>
              </w:rPr>
              <w:t xml:space="preserve">  2  </w:t>
            </w:r>
            <w:r>
              <w:rPr>
                <w:rFonts w:hint="eastAsia"/>
                <w:szCs w:val="18"/>
              </w:rPr>
              <w:t>名内审员；有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 xml:space="preserve">《内审员证书》 </w:t>
            </w:r>
            <w:r>
              <w:rPr>
                <w:rFonts w:hint="eastAsia"/>
                <w:szCs w:val="21"/>
              </w:rPr>
              <w:t>☑有内审员培训记录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□未覆盖了全部部门，缺少</w:t>
            </w:r>
            <w:r>
              <w:rPr>
                <w:rFonts w:hint="eastAsia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☑覆盖了全部过程和条款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□未覆盖了全部过程和条款，缺少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《内审检查表》：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 xml:space="preserve">与内审计划一致 </w:t>
            </w:r>
            <w:r>
              <w:rPr>
                <w:rFonts w:hint="eastAsia"/>
                <w:szCs w:val="21"/>
              </w:rPr>
              <w:t>□与内审计划不一致缺少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color w:val="1D41D5"/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抽查的部门：如：</w:t>
            </w:r>
            <w:r>
              <w:rPr>
                <w:rFonts w:hint="eastAsia"/>
                <w:szCs w:val="18"/>
                <w:u w:val="single"/>
              </w:rPr>
              <w:t xml:space="preserve">领导层、综合部、销售部、生产部    </w:t>
            </w:r>
            <w:r>
              <w:rPr>
                <w:rFonts w:hint="eastAsia"/>
                <w:color w:val="1D41D5"/>
                <w:szCs w:val="18"/>
                <w:u w:val="single"/>
              </w:rPr>
              <w:t xml:space="preserve">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□未覆盖了全部部门，缺少</w:t>
            </w:r>
            <w:r>
              <w:rPr>
                <w:rFonts w:hint="eastAsia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☑覆盖了全部过程和条款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□未覆盖了全部过程和条款，缺少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《不符合项报告》</w:t>
            </w:r>
            <w:r>
              <w:rPr>
                <w:rFonts w:hint="eastAsia"/>
                <w:szCs w:val="18"/>
                <w:u w:val="single"/>
                <w:shd w:val="clear" w:color="auto" w:fill="FFFFFF" w:themeFill="background1"/>
              </w:rPr>
              <w:t xml:space="preserve"> 1</w:t>
            </w:r>
            <w:r>
              <w:rPr>
                <w:szCs w:val="18"/>
                <w:u w:val="single"/>
                <w:shd w:val="clear" w:color="auto" w:fill="FFFFFF" w:themeFill="background1"/>
              </w:rPr>
              <w:t xml:space="preserve"> </w:t>
            </w:r>
            <w:r>
              <w:rPr>
                <w:rFonts w:hint="eastAsia"/>
                <w:szCs w:val="18"/>
              </w:rPr>
              <w:t>份；</w:t>
            </w:r>
          </w:p>
          <w:p>
            <w:pPr>
              <w:widowControl/>
              <w:spacing w:before="4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18"/>
              </w:rPr>
              <w:t>涉及的条款号或问题简述：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 w:ascii="宋体"/>
                <w:color w:val="000000"/>
                <w:u w:val="single"/>
              </w:rPr>
              <w:t>7.2条款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 w:ascii="宋体"/>
                <w:color w:val="000000"/>
                <w:u w:val="single"/>
              </w:rPr>
              <w:t>查《新进员工培训》，但未能提供已对此次培训有效性进行评价的有关证实。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不符合项已关闭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不符合项未关闭</w:t>
            </w:r>
            <w:r>
              <w:rPr>
                <w:rFonts w:hint="eastAsia"/>
                <w:szCs w:val="21"/>
              </w:rPr>
              <w:t>，缺少</w:t>
            </w:r>
            <w:r>
              <w:rPr>
                <w:rFonts w:hint="eastAsia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18"/>
              </w:rPr>
              <w:t>内审报告</w:t>
            </w:r>
            <w:r>
              <w:rPr>
                <w:rFonts w:hint="eastAsia"/>
                <w:szCs w:val="21"/>
              </w:rPr>
              <w:t>》结论：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体系运行有效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体系运行失效</w:t>
            </w:r>
            <w:r>
              <w:rPr>
                <w:rFonts w:hint="eastAsia"/>
                <w:szCs w:val="21"/>
              </w:rPr>
              <w:t>，问题</w:t>
            </w:r>
            <w:r>
              <w:rPr>
                <w:rFonts w:hint="eastAsia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本次现场审核时，上述不符合项的纠正措施的有效性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不符合项未发生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不符合项仍然存在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存在不符合但内审未发现 </w:t>
            </w:r>
          </w:p>
        </w:tc>
        <w:tc>
          <w:tcPr>
            <w:tcW w:w="127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E10.2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  <w:sz w:val="24"/>
              </w:rPr>
              <w:t>《不合格控制程序》</w:t>
            </w:r>
          </w:p>
        </w:tc>
        <w:tc>
          <w:tcPr>
            <w:tcW w:w="1279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565" w:type="dxa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相关方投诉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环保事故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工作运行中检查的问题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 </w:t>
            </w:r>
          </w:p>
          <w:p/>
          <w:p>
            <w:pPr>
              <w:widowControl/>
              <w:spacing w:before="40"/>
              <w:jc w:val="left"/>
            </w:pPr>
          </w:p>
        </w:tc>
        <w:tc>
          <w:tcPr>
            <w:tcW w:w="1279" w:type="dxa"/>
            <w:vMerge w:val="continue"/>
          </w:tcPr>
          <w:p/>
        </w:tc>
      </w:tr>
    </w:tbl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00923"/>
    <w:rsid w:val="00005AE8"/>
    <w:rsid w:val="00021392"/>
    <w:rsid w:val="000237F6"/>
    <w:rsid w:val="0003373A"/>
    <w:rsid w:val="000400E2"/>
    <w:rsid w:val="0005337C"/>
    <w:rsid w:val="00062E46"/>
    <w:rsid w:val="000711E2"/>
    <w:rsid w:val="00073A36"/>
    <w:rsid w:val="000751F7"/>
    <w:rsid w:val="00076FD9"/>
    <w:rsid w:val="00080511"/>
    <w:rsid w:val="00080D50"/>
    <w:rsid w:val="00081218"/>
    <w:rsid w:val="00082280"/>
    <w:rsid w:val="00085611"/>
    <w:rsid w:val="000C2136"/>
    <w:rsid w:val="000E3892"/>
    <w:rsid w:val="000E3BA9"/>
    <w:rsid w:val="000E6B21"/>
    <w:rsid w:val="000E7FBE"/>
    <w:rsid w:val="000F34D1"/>
    <w:rsid w:val="00105E29"/>
    <w:rsid w:val="0012334F"/>
    <w:rsid w:val="00131ADF"/>
    <w:rsid w:val="001427EC"/>
    <w:rsid w:val="001449AB"/>
    <w:rsid w:val="00176D7E"/>
    <w:rsid w:val="0017774E"/>
    <w:rsid w:val="001A2D7F"/>
    <w:rsid w:val="001B6759"/>
    <w:rsid w:val="001C22CF"/>
    <w:rsid w:val="001C4532"/>
    <w:rsid w:val="001D74FB"/>
    <w:rsid w:val="001F1AE3"/>
    <w:rsid w:val="00206621"/>
    <w:rsid w:val="00260093"/>
    <w:rsid w:val="00273A6F"/>
    <w:rsid w:val="00280074"/>
    <w:rsid w:val="00280D81"/>
    <w:rsid w:val="002939AD"/>
    <w:rsid w:val="00294214"/>
    <w:rsid w:val="002B2996"/>
    <w:rsid w:val="002B7595"/>
    <w:rsid w:val="002D6DF7"/>
    <w:rsid w:val="002F198B"/>
    <w:rsid w:val="002F711F"/>
    <w:rsid w:val="002F7894"/>
    <w:rsid w:val="003128FA"/>
    <w:rsid w:val="00314AF6"/>
    <w:rsid w:val="00330DCD"/>
    <w:rsid w:val="00336D03"/>
    <w:rsid w:val="00337922"/>
    <w:rsid w:val="00340867"/>
    <w:rsid w:val="003606AE"/>
    <w:rsid w:val="003609D6"/>
    <w:rsid w:val="00365741"/>
    <w:rsid w:val="00367569"/>
    <w:rsid w:val="00370B86"/>
    <w:rsid w:val="00380837"/>
    <w:rsid w:val="003A198A"/>
    <w:rsid w:val="003A4FC6"/>
    <w:rsid w:val="003B2FF8"/>
    <w:rsid w:val="003B69C9"/>
    <w:rsid w:val="003C0FB1"/>
    <w:rsid w:val="003D3372"/>
    <w:rsid w:val="003E565A"/>
    <w:rsid w:val="003F02B0"/>
    <w:rsid w:val="003F1BA9"/>
    <w:rsid w:val="003F6220"/>
    <w:rsid w:val="00400E72"/>
    <w:rsid w:val="00407CE0"/>
    <w:rsid w:val="00410914"/>
    <w:rsid w:val="004177C7"/>
    <w:rsid w:val="004439E3"/>
    <w:rsid w:val="00444A98"/>
    <w:rsid w:val="00447176"/>
    <w:rsid w:val="00457B5E"/>
    <w:rsid w:val="00467072"/>
    <w:rsid w:val="0048201E"/>
    <w:rsid w:val="00483D7E"/>
    <w:rsid w:val="004906FB"/>
    <w:rsid w:val="0049724C"/>
    <w:rsid w:val="004A63AC"/>
    <w:rsid w:val="004B7FF3"/>
    <w:rsid w:val="004E6D12"/>
    <w:rsid w:val="004F578A"/>
    <w:rsid w:val="005115E0"/>
    <w:rsid w:val="00523D72"/>
    <w:rsid w:val="00536930"/>
    <w:rsid w:val="00554518"/>
    <w:rsid w:val="0056146E"/>
    <w:rsid w:val="00561EF0"/>
    <w:rsid w:val="00564603"/>
    <w:rsid w:val="00564E53"/>
    <w:rsid w:val="00595EE8"/>
    <w:rsid w:val="00596BF1"/>
    <w:rsid w:val="005971F1"/>
    <w:rsid w:val="005B154B"/>
    <w:rsid w:val="005B27AC"/>
    <w:rsid w:val="005C68E6"/>
    <w:rsid w:val="005C7C16"/>
    <w:rsid w:val="005D5659"/>
    <w:rsid w:val="005E280B"/>
    <w:rsid w:val="005E35E0"/>
    <w:rsid w:val="00600C20"/>
    <w:rsid w:val="00600C56"/>
    <w:rsid w:val="00605445"/>
    <w:rsid w:val="0061173E"/>
    <w:rsid w:val="00611CE0"/>
    <w:rsid w:val="00615826"/>
    <w:rsid w:val="00616CAC"/>
    <w:rsid w:val="006406A6"/>
    <w:rsid w:val="00642E1C"/>
    <w:rsid w:val="00644FE2"/>
    <w:rsid w:val="00663EBC"/>
    <w:rsid w:val="00664493"/>
    <w:rsid w:val="00670789"/>
    <w:rsid w:val="006738A3"/>
    <w:rsid w:val="0067640C"/>
    <w:rsid w:val="00682106"/>
    <w:rsid w:val="00693239"/>
    <w:rsid w:val="006A6B6F"/>
    <w:rsid w:val="006A7DDE"/>
    <w:rsid w:val="006B69F6"/>
    <w:rsid w:val="006B7217"/>
    <w:rsid w:val="006B7DC1"/>
    <w:rsid w:val="006C715A"/>
    <w:rsid w:val="006E0FCD"/>
    <w:rsid w:val="006E2E14"/>
    <w:rsid w:val="006E678B"/>
    <w:rsid w:val="006E795F"/>
    <w:rsid w:val="006E7B1D"/>
    <w:rsid w:val="00705A1F"/>
    <w:rsid w:val="007145EF"/>
    <w:rsid w:val="0072707D"/>
    <w:rsid w:val="007455E3"/>
    <w:rsid w:val="00750970"/>
    <w:rsid w:val="007577FA"/>
    <w:rsid w:val="007658DC"/>
    <w:rsid w:val="007757F3"/>
    <w:rsid w:val="00781A8D"/>
    <w:rsid w:val="00792256"/>
    <w:rsid w:val="00792262"/>
    <w:rsid w:val="007A6FF0"/>
    <w:rsid w:val="007C0D91"/>
    <w:rsid w:val="007C1B48"/>
    <w:rsid w:val="007C6A98"/>
    <w:rsid w:val="007C6C02"/>
    <w:rsid w:val="007D08C5"/>
    <w:rsid w:val="007D5F94"/>
    <w:rsid w:val="007E1304"/>
    <w:rsid w:val="007E3B15"/>
    <w:rsid w:val="007E6AEB"/>
    <w:rsid w:val="008052CC"/>
    <w:rsid w:val="00822DD1"/>
    <w:rsid w:val="00844ED5"/>
    <w:rsid w:val="00845ABC"/>
    <w:rsid w:val="008460E4"/>
    <w:rsid w:val="0086135D"/>
    <w:rsid w:val="008704A4"/>
    <w:rsid w:val="00890791"/>
    <w:rsid w:val="0089497A"/>
    <w:rsid w:val="008950B6"/>
    <w:rsid w:val="00896701"/>
    <w:rsid w:val="008973EE"/>
    <w:rsid w:val="00897F8F"/>
    <w:rsid w:val="008A77D8"/>
    <w:rsid w:val="008B0489"/>
    <w:rsid w:val="008B058A"/>
    <w:rsid w:val="008B1CDC"/>
    <w:rsid w:val="008B307C"/>
    <w:rsid w:val="008D2483"/>
    <w:rsid w:val="008D3AA0"/>
    <w:rsid w:val="008D43DD"/>
    <w:rsid w:val="008D7B8A"/>
    <w:rsid w:val="008E1A0C"/>
    <w:rsid w:val="008F0BFB"/>
    <w:rsid w:val="009162CA"/>
    <w:rsid w:val="00917994"/>
    <w:rsid w:val="00922484"/>
    <w:rsid w:val="00930C75"/>
    <w:rsid w:val="00930D82"/>
    <w:rsid w:val="009317E5"/>
    <w:rsid w:val="009510C6"/>
    <w:rsid w:val="00971600"/>
    <w:rsid w:val="009973B4"/>
    <w:rsid w:val="009A4FED"/>
    <w:rsid w:val="009B5C73"/>
    <w:rsid w:val="009B5E69"/>
    <w:rsid w:val="009C28C1"/>
    <w:rsid w:val="009C60C3"/>
    <w:rsid w:val="009D1798"/>
    <w:rsid w:val="009D4075"/>
    <w:rsid w:val="009E1C31"/>
    <w:rsid w:val="009E2206"/>
    <w:rsid w:val="009F670F"/>
    <w:rsid w:val="009F7EED"/>
    <w:rsid w:val="00A1188F"/>
    <w:rsid w:val="00A124EE"/>
    <w:rsid w:val="00A128FD"/>
    <w:rsid w:val="00A20DC8"/>
    <w:rsid w:val="00A306AC"/>
    <w:rsid w:val="00A34306"/>
    <w:rsid w:val="00A3525B"/>
    <w:rsid w:val="00A409CD"/>
    <w:rsid w:val="00A410BF"/>
    <w:rsid w:val="00A4117D"/>
    <w:rsid w:val="00A639AC"/>
    <w:rsid w:val="00A661B8"/>
    <w:rsid w:val="00A73890"/>
    <w:rsid w:val="00A76505"/>
    <w:rsid w:val="00A76EF6"/>
    <w:rsid w:val="00A80636"/>
    <w:rsid w:val="00A81C6D"/>
    <w:rsid w:val="00A962FA"/>
    <w:rsid w:val="00AB70D4"/>
    <w:rsid w:val="00AD09CF"/>
    <w:rsid w:val="00AD4D8E"/>
    <w:rsid w:val="00AF0AAB"/>
    <w:rsid w:val="00B00DAF"/>
    <w:rsid w:val="00B047F6"/>
    <w:rsid w:val="00B10A8D"/>
    <w:rsid w:val="00B21B90"/>
    <w:rsid w:val="00B228B0"/>
    <w:rsid w:val="00B2306F"/>
    <w:rsid w:val="00B2390C"/>
    <w:rsid w:val="00B30B88"/>
    <w:rsid w:val="00B46CD9"/>
    <w:rsid w:val="00B65119"/>
    <w:rsid w:val="00B74FBF"/>
    <w:rsid w:val="00B75290"/>
    <w:rsid w:val="00B75BE2"/>
    <w:rsid w:val="00B77578"/>
    <w:rsid w:val="00B822E0"/>
    <w:rsid w:val="00BA51FF"/>
    <w:rsid w:val="00BA5CD6"/>
    <w:rsid w:val="00BA7285"/>
    <w:rsid w:val="00BB7AD3"/>
    <w:rsid w:val="00BC1B10"/>
    <w:rsid w:val="00BC6D91"/>
    <w:rsid w:val="00BE455C"/>
    <w:rsid w:val="00BE5B38"/>
    <w:rsid w:val="00BF597E"/>
    <w:rsid w:val="00C05637"/>
    <w:rsid w:val="00C11887"/>
    <w:rsid w:val="00C13A41"/>
    <w:rsid w:val="00C14AD3"/>
    <w:rsid w:val="00C16DE1"/>
    <w:rsid w:val="00C252DC"/>
    <w:rsid w:val="00C2691F"/>
    <w:rsid w:val="00C33075"/>
    <w:rsid w:val="00C51A36"/>
    <w:rsid w:val="00C55228"/>
    <w:rsid w:val="00C55850"/>
    <w:rsid w:val="00C6244E"/>
    <w:rsid w:val="00C63768"/>
    <w:rsid w:val="00C679AA"/>
    <w:rsid w:val="00C67B28"/>
    <w:rsid w:val="00C75A65"/>
    <w:rsid w:val="00C95BD0"/>
    <w:rsid w:val="00CA667E"/>
    <w:rsid w:val="00CD4756"/>
    <w:rsid w:val="00CE315A"/>
    <w:rsid w:val="00CF16CF"/>
    <w:rsid w:val="00D06F59"/>
    <w:rsid w:val="00D12B87"/>
    <w:rsid w:val="00D26732"/>
    <w:rsid w:val="00D377F7"/>
    <w:rsid w:val="00D53ABB"/>
    <w:rsid w:val="00D704AE"/>
    <w:rsid w:val="00D735BE"/>
    <w:rsid w:val="00D8388C"/>
    <w:rsid w:val="00D87A9C"/>
    <w:rsid w:val="00D87F23"/>
    <w:rsid w:val="00DB02D3"/>
    <w:rsid w:val="00DE246A"/>
    <w:rsid w:val="00DE369C"/>
    <w:rsid w:val="00DE6505"/>
    <w:rsid w:val="00DE6E57"/>
    <w:rsid w:val="00DE7664"/>
    <w:rsid w:val="00DF1536"/>
    <w:rsid w:val="00E03FCB"/>
    <w:rsid w:val="00E164F3"/>
    <w:rsid w:val="00E31B4E"/>
    <w:rsid w:val="00E6224C"/>
    <w:rsid w:val="00E65627"/>
    <w:rsid w:val="00E722A3"/>
    <w:rsid w:val="00E8491D"/>
    <w:rsid w:val="00E958BD"/>
    <w:rsid w:val="00EB0164"/>
    <w:rsid w:val="00EC3331"/>
    <w:rsid w:val="00EC7B5D"/>
    <w:rsid w:val="00ED0F62"/>
    <w:rsid w:val="00ED60E7"/>
    <w:rsid w:val="00EE6C64"/>
    <w:rsid w:val="00EF4EF0"/>
    <w:rsid w:val="00F214E6"/>
    <w:rsid w:val="00F455C2"/>
    <w:rsid w:val="00F75679"/>
    <w:rsid w:val="00F77430"/>
    <w:rsid w:val="00F97058"/>
    <w:rsid w:val="00FC1392"/>
    <w:rsid w:val="00FC41D0"/>
    <w:rsid w:val="00FD7C99"/>
    <w:rsid w:val="01260C71"/>
    <w:rsid w:val="0148246F"/>
    <w:rsid w:val="01E27364"/>
    <w:rsid w:val="02130C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151EBC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83485B"/>
    <w:rsid w:val="07C13D29"/>
    <w:rsid w:val="07ED0401"/>
    <w:rsid w:val="081B6228"/>
    <w:rsid w:val="08767210"/>
    <w:rsid w:val="0884117F"/>
    <w:rsid w:val="08851DD7"/>
    <w:rsid w:val="089E56AF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59315A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79261F"/>
    <w:rsid w:val="0EA43140"/>
    <w:rsid w:val="0EA50415"/>
    <w:rsid w:val="0EB8524B"/>
    <w:rsid w:val="0EB8667B"/>
    <w:rsid w:val="0ECE0C57"/>
    <w:rsid w:val="0F86648B"/>
    <w:rsid w:val="0FBB3782"/>
    <w:rsid w:val="0FD358E4"/>
    <w:rsid w:val="0FDE4D72"/>
    <w:rsid w:val="0FFA42BF"/>
    <w:rsid w:val="100B6D7F"/>
    <w:rsid w:val="100D075A"/>
    <w:rsid w:val="101A7791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47313E"/>
    <w:rsid w:val="11536201"/>
    <w:rsid w:val="115B40C8"/>
    <w:rsid w:val="115D3DB9"/>
    <w:rsid w:val="116222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F648C3"/>
    <w:rsid w:val="160842C5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BDF22BD"/>
    <w:rsid w:val="1C392A3A"/>
    <w:rsid w:val="1C683E38"/>
    <w:rsid w:val="1CB1322F"/>
    <w:rsid w:val="1CEB1474"/>
    <w:rsid w:val="1CF3399B"/>
    <w:rsid w:val="1CFD2AFE"/>
    <w:rsid w:val="1D0B42B9"/>
    <w:rsid w:val="1D2D650D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6E796F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3E426AF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9561B9"/>
    <w:rsid w:val="24A05D8E"/>
    <w:rsid w:val="24FC7C66"/>
    <w:rsid w:val="2519537A"/>
    <w:rsid w:val="254212D9"/>
    <w:rsid w:val="258041F6"/>
    <w:rsid w:val="258609CC"/>
    <w:rsid w:val="25B809C4"/>
    <w:rsid w:val="25C11047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14F9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CB63A3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866D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16B1B"/>
    <w:rsid w:val="2D7A20E6"/>
    <w:rsid w:val="2D7B66E3"/>
    <w:rsid w:val="2D7F2B96"/>
    <w:rsid w:val="2D913577"/>
    <w:rsid w:val="2D9A3020"/>
    <w:rsid w:val="2D9E382B"/>
    <w:rsid w:val="2DC57805"/>
    <w:rsid w:val="2DDF08DF"/>
    <w:rsid w:val="2DFF79D8"/>
    <w:rsid w:val="2E367C56"/>
    <w:rsid w:val="2E440885"/>
    <w:rsid w:val="2E4875EB"/>
    <w:rsid w:val="2EEE512C"/>
    <w:rsid w:val="2EF355D3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527CEF"/>
    <w:rsid w:val="31B477DB"/>
    <w:rsid w:val="31B67BE2"/>
    <w:rsid w:val="31CA71DD"/>
    <w:rsid w:val="31CC75B8"/>
    <w:rsid w:val="32341738"/>
    <w:rsid w:val="324E5138"/>
    <w:rsid w:val="325E1B93"/>
    <w:rsid w:val="32D06D58"/>
    <w:rsid w:val="331E21CE"/>
    <w:rsid w:val="332B6F8B"/>
    <w:rsid w:val="333905C7"/>
    <w:rsid w:val="33562A0D"/>
    <w:rsid w:val="335C55FD"/>
    <w:rsid w:val="33715F28"/>
    <w:rsid w:val="33F07155"/>
    <w:rsid w:val="340C6245"/>
    <w:rsid w:val="34113C74"/>
    <w:rsid w:val="34225976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AC6847"/>
    <w:rsid w:val="36C91110"/>
    <w:rsid w:val="372D3763"/>
    <w:rsid w:val="3763284C"/>
    <w:rsid w:val="37832BFF"/>
    <w:rsid w:val="37A3423F"/>
    <w:rsid w:val="37A66325"/>
    <w:rsid w:val="37AF435B"/>
    <w:rsid w:val="37B82B0E"/>
    <w:rsid w:val="37D8509F"/>
    <w:rsid w:val="380178E9"/>
    <w:rsid w:val="38335402"/>
    <w:rsid w:val="38363F4B"/>
    <w:rsid w:val="38662502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AC26B9"/>
    <w:rsid w:val="3FC72695"/>
    <w:rsid w:val="3FD70A70"/>
    <w:rsid w:val="40264D82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023D48"/>
    <w:rsid w:val="432A5E11"/>
    <w:rsid w:val="433B1167"/>
    <w:rsid w:val="4352128B"/>
    <w:rsid w:val="435F500F"/>
    <w:rsid w:val="43B51718"/>
    <w:rsid w:val="43C730CD"/>
    <w:rsid w:val="44350F69"/>
    <w:rsid w:val="44416306"/>
    <w:rsid w:val="44A567F5"/>
    <w:rsid w:val="453B1EBC"/>
    <w:rsid w:val="45635AEC"/>
    <w:rsid w:val="458B0937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07BCF"/>
    <w:rsid w:val="46A51AB4"/>
    <w:rsid w:val="46E35B1D"/>
    <w:rsid w:val="46EA7997"/>
    <w:rsid w:val="470243E7"/>
    <w:rsid w:val="471F1498"/>
    <w:rsid w:val="47271944"/>
    <w:rsid w:val="473E10CC"/>
    <w:rsid w:val="475C4BFE"/>
    <w:rsid w:val="475D7730"/>
    <w:rsid w:val="47BB044C"/>
    <w:rsid w:val="47E672DC"/>
    <w:rsid w:val="48262DE5"/>
    <w:rsid w:val="485226C4"/>
    <w:rsid w:val="48855EE3"/>
    <w:rsid w:val="48ED577E"/>
    <w:rsid w:val="495D1E4B"/>
    <w:rsid w:val="49912790"/>
    <w:rsid w:val="49C0281D"/>
    <w:rsid w:val="49E3211A"/>
    <w:rsid w:val="49E449BF"/>
    <w:rsid w:val="49EC77B8"/>
    <w:rsid w:val="49ED5B1C"/>
    <w:rsid w:val="4A4C5CC1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BF977C8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577AE4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8B122C"/>
    <w:rsid w:val="4EAA463D"/>
    <w:rsid w:val="4EEA3463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8D285B"/>
    <w:rsid w:val="52A23F56"/>
    <w:rsid w:val="52BA5471"/>
    <w:rsid w:val="52CC19B1"/>
    <w:rsid w:val="52D871F4"/>
    <w:rsid w:val="52F263D6"/>
    <w:rsid w:val="53024EB7"/>
    <w:rsid w:val="531F2139"/>
    <w:rsid w:val="53261795"/>
    <w:rsid w:val="532C7ACF"/>
    <w:rsid w:val="534F62F7"/>
    <w:rsid w:val="53660E02"/>
    <w:rsid w:val="536F60C1"/>
    <w:rsid w:val="53953BE7"/>
    <w:rsid w:val="53A20B95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216085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318B9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BD62ED"/>
    <w:rsid w:val="5AD64AF2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80A56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9236A9"/>
    <w:rsid w:val="5DA41106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737E96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4FF6606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95FC9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CD3B21"/>
    <w:rsid w:val="6FDC792B"/>
    <w:rsid w:val="6FEC677B"/>
    <w:rsid w:val="701710D0"/>
    <w:rsid w:val="702520EE"/>
    <w:rsid w:val="703777AC"/>
    <w:rsid w:val="70795456"/>
    <w:rsid w:val="709946EC"/>
    <w:rsid w:val="7174630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415FD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7ED266B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7F42B3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3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paragraph" w:styleId="14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zhenwen141"/>
    <w:qFormat/>
    <w:uiPriority w:val="0"/>
    <w:rPr>
      <w:rFonts w:hint="default" w:ascii="ˎ̥" w:hAnsi="ˎ̥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925</Words>
  <Characters>5277</Characters>
  <Lines>43</Lines>
  <Paragraphs>12</Paragraphs>
  <TotalTime>15</TotalTime>
  <ScaleCrop>false</ScaleCrop>
  <LinksUpToDate>false</LinksUpToDate>
  <CharactersWithSpaces>6190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2020-10-14T07:23:42Z</dcterms:modified>
  <cp:revision>465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