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943"/>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宋体" w:hAnsi="宋体" w:cs="宋体"/>
                <w:szCs w:val="21"/>
              </w:rPr>
            </w:pPr>
            <w:r>
              <w:rPr>
                <w:rFonts w:hint="eastAsia" w:ascii="宋体" w:hAnsi="宋体" w:cs="宋体"/>
                <w:szCs w:val="21"/>
              </w:rPr>
              <w:t>过程与活动、</w:t>
            </w:r>
          </w:p>
          <w:p>
            <w:pPr>
              <w:jc w:val="center"/>
              <w:rPr>
                <w:rFonts w:ascii="宋体" w:hAnsi="宋体" w:cs="宋体"/>
                <w:szCs w:val="21"/>
              </w:rPr>
            </w:pPr>
            <w:r>
              <w:rPr>
                <w:rFonts w:hint="eastAsia" w:ascii="宋体" w:hAnsi="宋体" w:cs="宋体"/>
                <w:szCs w:val="21"/>
              </w:rPr>
              <w:t>抽样计划</w:t>
            </w:r>
          </w:p>
        </w:tc>
        <w:tc>
          <w:tcPr>
            <w:tcW w:w="960" w:type="dxa"/>
            <w:vMerge w:val="restart"/>
            <w:vAlign w:val="center"/>
          </w:tcPr>
          <w:p>
            <w:pPr>
              <w:rPr>
                <w:rFonts w:ascii="宋体" w:hAnsi="宋体" w:cs="宋体"/>
                <w:szCs w:val="21"/>
              </w:rPr>
            </w:pPr>
            <w:r>
              <w:rPr>
                <w:rFonts w:hint="eastAsia" w:ascii="宋体" w:hAnsi="宋体" w:cs="宋体"/>
                <w:szCs w:val="21"/>
              </w:rPr>
              <w:t>涉及</w:t>
            </w:r>
          </w:p>
          <w:p>
            <w:pPr>
              <w:rPr>
                <w:rFonts w:ascii="宋体" w:hAnsi="宋体" w:cs="宋体"/>
                <w:szCs w:val="21"/>
              </w:rPr>
            </w:pPr>
            <w:r>
              <w:rPr>
                <w:rFonts w:hint="eastAsia" w:ascii="宋体" w:hAnsi="宋体" w:cs="宋体"/>
                <w:szCs w:val="21"/>
              </w:rPr>
              <w:t>条款</w:t>
            </w:r>
          </w:p>
        </w:tc>
        <w:tc>
          <w:tcPr>
            <w:tcW w:w="10943" w:type="dxa"/>
            <w:vAlign w:val="center"/>
          </w:tcPr>
          <w:p>
            <w:pPr>
              <w:rPr>
                <w:rFonts w:ascii="宋体" w:hAnsi="宋体" w:cs="宋体"/>
                <w:szCs w:val="21"/>
              </w:rPr>
            </w:pPr>
            <w:r>
              <w:rPr>
                <w:rFonts w:hint="eastAsia" w:ascii="宋体" w:hAnsi="宋体" w:cs="宋体"/>
                <w:szCs w:val="21"/>
              </w:rPr>
              <w:t>受审核部门：管理层          主管领导：程培培   管理者代表：张志刚</w:t>
            </w:r>
          </w:p>
        </w:tc>
        <w:tc>
          <w:tcPr>
            <w:tcW w:w="646" w:type="dxa"/>
            <w:vMerge w:val="restart"/>
            <w:vAlign w:val="center"/>
          </w:tcPr>
          <w:p>
            <w:pPr>
              <w:rPr>
                <w:rFonts w:ascii="宋体" w:hAnsi="宋体" w:cs="宋体"/>
                <w:szCs w:val="21"/>
              </w:rPr>
            </w:pPr>
            <w:r>
              <w:rPr>
                <w:rFonts w:hint="eastAsia" w:ascii="宋体" w:hAnsi="宋体" w:cs="宋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宋体" w:hAnsi="宋体" w:cs="宋体"/>
                <w:szCs w:val="21"/>
              </w:rPr>
            </w:pPr>
          </w:p>
        </w:tc>
        <w:tc>
          <w:tcPr>
            <w:tcW w:w="960" w:type="dxa"/>
            <w:vMerge w:val="continue"/>
            <w:vAlign w:val="center"/>
          </w:tcPr>
          <w:p>
            <w:pPr>
              <w:rPr>
                <w:rFonts w:ascii="宋体" w:hAnsi="宋体" w:cs="宋体"/>
                <w:szCs w:val="21"/>
              </w:rPr>
            </w:pPr>
          </w:p>
        </w:tc>
        <w:tc>
          <w:tcPr>
            <w:tcW w:w="10943" w:type="dxa"/>
            <w:vAlign w:val="center"/>
          </w:tcPr>
          <w:p>
            <w:pPr>
              <w:spacing w:before="120"/>
              <w:rPr>
                <w:rFonts w:ascii="宋体" w:hAnsi="宋体" w:cs="宋体"/>
                <w:szCs w:val="21"/>
              </w:rPr>
            </w:pPr>
            <w:r>
              <w:rPr>
                <w:rFonts w:hint="eastAsia" w:ascii="宋体" w:hAnsi="宋体" w:cs="宋体"/>
                <w:szCs w:val="21"/>
              </w:rPr>
              <w:t>审核员：李雅静             审核时间：20</w:t>
            </w:r>
            <w:r>
              <w:rPr>
                <w:rFonts w:ascii="宋体" w:hAnsi="宋体" w:cs="宋体"/>
                <w:szCs w:val="21"/>
              </w:rPr>
              <w:t>20</w:t>
            </w:r>
            <w:r>
              <w:rPr>
                <w:rFonts w:hint="eastAsia" w:ascii="宋体" w:hAnsi="宋体" w:cs="宋体"/>
                <w:szCs w:val="21"/>
              </w:rPr>
              <w:t>年1</w:t>
            </w:r>
            <w:r>
              <w:rPr>
                <w:rFonts w:ascii="宋体" w:hAnsi="宋体" w:cs="宋体"/>
                <w:szCs w:val="21"/>
              </w:rPr>
              <w:t>0</w:t>
            </w:r>
            <w:r>
              <w:rPr>
                <w:rFonts w:hint="eastAsia" w:ascii="宋体" w:hAnsi="宋体" w:cs="宋体"/>
                <w:szCs w:val="21"/>
              </w:rPr>
              <w:t>月2</w:t>
            </w:r>
            <w:r>
              <w:rPr>
                <w:rFonts w:ascii="宋体" w:hAnsi="宋体" w:cs="宋体"/>
                <w:szCs w:val="21"/>
              </w:rPr>
              <w:t>0</w:t>
            </w:r>
            <w:r>
              <w:rPr>
                <w:rFonts w:hint="eastAsia" w:ascii="宋体" w:hAnsi="宋体" w:cs="宋体"/>
                <w:szCs w:val="21"/>
              </w:rPr>
              <w:t>日</w:t>
            </w:r>
          </w:p>
        </w:tc>
        <w:tc>
          <w:tcPr>
            <w:tcW w:w="646" w:type="dxa"/>
            <w:vMerge w:val="continue"/>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宋体" w:hAnsi="宋体" w:cs="宋体"/>
                <w:szCs w:val="21"/>
              </w:rPr>
            </w:pPr>
          </w:p>
        </w:tc>
        <w:tc>
          <w:tcPr>
            <w:tcW w:w="960" w:type="dxa"/>
            <w:vMerge w:val="continue"/>
            <w:vAlign w:val="center"/>
          </w:tcPr>
          <w:p>
            <w:pPr>
              <w:rPr>
                <w:rFonts w:ascii="宋体" w:hAnsi="宋体" w:cs="宋体"/>
                <w:szCs w:val="21"/>
              </w:rPr>
            </w:pPr>
          </w:p>
        </w:tc>
        <w:tc>
          <w:tcPr>
            <w:tcW w:w="10943" w:type="dxa"/>
            <w:vAlign w:val="center"/>
          </w:tcPr>
          <w:p>
            <w:pPr>
              <w:rPr>
                <w:rFonts w:ascii="宋体" w:hAnsi="宋体" w:cs="宋体"/>
                <w:szCs w:val="21"/>
              </w:rPr>
            </w:pPr>
            <w:r>
              <w:rPr>
                <w:rFonts w:hint="eastAsia" w:ascii="宋体" w:hAnsi="宋体" w:cs="宋体"/>
                <w:szCs w:val="21"/>
              </w:rPr>
              <w:t>审核条款：</w:t>
            </w:r>
            <w:r>
              <w:rPr>
                <w:rFonts w:ascii="宋体" w:hAnsi="宋体" w:cs="宋体"/>
                <w:szCs w:val="21"/>
              </w:rPr>
              <w:t xml:space="preserve">QS:4.1/4.3/5.4/5.2/6.2/9.3/7.1/9.1.1 </w:t>
            </w:r>
            <w:r>
              <w:rPr>
                <w:rFonts w:hint="eastAsia" w:ascii="宋体" w:hAnsi="宋体" w:cs="宋体"/>
                <w:szCs w:val="21"/>
                <w:lang w:val="en-US" w:eastAsia="zh-CN"/>
              </w:rPr>
              <w:t xml:space="preserve">  </w:t>
            </w:r>
            <w:r>
              <w:rPr>
                <w:rFonts w:ascii="宋体" w:hAnsi="宋体" w:cs="宋体"/>
                <w:szCs w:val="21"/>
              </w:rPr>
              <w:t>S5.4</w:t>
            </w:r>
          </w:p>
        </w:tc>
        <w:tc>
          <w:tcPr>
            <w:tcW w:w="646" w:type="dxa"/>
            <w:vMerge w:val="continue"/>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80" w:lineRule="exact"/>
              <w:rPr>
                <w:rFonts w:ascii="宋体" w:hAnsi="宋体" w:cs="宋体"/>
                <w:szCs w:val="21"/>
              </w:rPr>
            </w:pPr>
            <w:r>
              <w:rPr>
                <w:rFonts w:hint="eastAsia" w:ascii="宋体" w:hAnsi="宋体" w:cs="宋体"/>
                <w:szCs w:val="21"/>
              </w:rPr>
              <w:t>理解组织及其环境</w:t>
            </w:r>
          </w:p>
          <w:p>
            <w:pPr>
              <w:spacing w:line="280" w:lineRule="exact"/>
              <w:rPr>
                <w:rFonts w:ascii="宋体" w:hAnsi="宋体" w:cs="宋体"/>
                <w:szCs w:val="21"/>
              </w:rPr>
            </w:pPr>
            <w:r>
              <w:rPr>
                <w:rFonts w:hint="eastAsia" w:ascii="宋体" w:hAnsi="宋体" w:cs="宋体"/>
                <w:szCs w:val="21"/>
              </w:rPr>
              <w:t>总要求</w:t>
            </w:r>
          </w:p>
          <w:p>
            <w:pPr>
              <w:pStyle w:val="2"/>
            </w:pPr>
          </w:p>
          <w:p>
            <w:pPr>
              <w:spacing w:line="280" w:lineRule="exact"/>
              <w:rPr>
                <w:rFonts w:ascii="宋体" w:hAnsi="宋体" w:cs="宋体"/>
                <w:szCs w:val="21"/>
              </w:rPr>
            </w:pPr>
            <w:r>
              <w:rPr>
                <w:rFonts w:hint="eastAsia" w:ascii="宋体" w:hAnsi="宋体" w:cs="宋体"/>
                <w:szCs w:val="21"/>
              </w:rPr>
              <w:t>确定管理体系的范围</w:t>
            </w:r>
          </w:p>
          <w:p>
            <w:pPr>
              <w:pStyle w:val="2"/>
            </w:pPr>
          </w:p>
          <w:p>
            <w:pPr>
              <w:spacing w:line="280" w:lineRule="exact"/>
              <w:rPr>
                <w:rFonts w:ascii="宋体" w:hAnsi="宋体" w:cs="宋体"/>
                <w:szCs w:val="21"/>
              </w:rPr>
            </w:pPr>
          </w:p>
        </w:tc>
        <w:tc>
          <w:tcPr>
            <w:tcW w:w="960" w:type="dxa"/>
          </w:tcPr>
          <w:p>
            <w:pPr>
              <w:spacing w:line="280" w:lineRule="exact"/>
              <w:rPr>
                <w:rFonts w:ascii="宋体" w:hAnsi="宋体" w:cs="宋体"/>
                <w:szCs w:val="21"/>
              </w:rPr>
            </w:pPr>
            <w:r>
              <w:rPr>
                <w:rFonts w:ascii="宋体" w:hAnsi="宋体" w:cs="宋体"/>
                <w:szCs w:val="21"/>
              </w:rPr>
              <w:t>Q/S</w:t>
            </w:r>
            <w:r>
              <w:rPr>
                <w:rFonts w:hint="eastAsia" w:ascii="宋体" w:hAnsi="宋体" w:cs="宋体"/>
                <w:szCs w:val="21"/>
              </w:rPr>
              <w:t xml:space="preserve"> 4.1</w:t>
            </w:r>
          </w:p>
          <w:p>
            <w:pPr>
              <w:spacing w:line="280" w:lineRule="exact"/>
              <w:rPr>
                <w:rFonts w:ascii="宋体" w:hAnsi="宋体" w:cs="宋体"/>
                <w:szCs w:val="21"/>
              </w:rPr>
            </w:pPr>
            <w:r>
              <w:rPr>
                <w:rFonts w:ascii="宋体" w:hAnsi="宋体" w:cs="宋体"/>
                <w:szCs w:val="21"/>
              </w:rPr>
              <w:t>Q/S</w:t>
            </w:r>
            <w:r>
              <w:rPr>
                <w:rFonts w:hint="eastAsia" w:ascii="宋体" w:hAnsi="宋体" w:cs="宋体"/>
                <w:szCs w:val="21"/>
              </w:rPr>
              <w:t xml:space="preserve"> 4.3</w:t>
            </w:r>
          </w:p>
          <w:p>
            <w:pPr>
              <w:pStyle w:val="2"/>
            </w:pPr>
          </w:p>
          <w:p>
            <w:pPr>
              <w:spacing w:line="280" w:lineRule="exact"/>
              <w:rPr>
                <w:rFonts w:ascii="宋体" w:hAnsi="宋体" w:cs="宋体"/>
                <w:szCs w:val="21"/>
              </w:rPr>
            </w:pPr>
            <w:r>
              <w:rPr>
                <w:rFonts w:ascii="宋体" w:hAnsi="宋体" w:cs="宋体"/>
                <w:szCs w:val="21"/>
              </w:rPr>
              <w:t>Q/S</w:t>
            </w:r>
            <w:r>
              <w:rPr>
                <w:rFonts w:hint="eastAsia" w:ascii="宋体" w:hAnsi="宋体" w:cs="宋体"/>
                <w:szCs w:val="21"/>
              </w:rPr>
              <w:t>4.1</w:t>
            </w:r>
          </w:p>
          <w:p>
            <w:pPr>
              <w:pStyle w:val="2"/>
            </w:pPr>
          </w:p>
        </w:tc>
        <w:tc>
          <w:tcPr>
            <w:tcW w:w="10943" w:type="dxa"/>
            <w:vAlign w:val="center"/>
          </w:tcPr>
          <w:p>
            <w:pPr>
              <w:spacing w:line="280" w:lineRule="exact"/>
              <w:ind w:firstLine="420" w:firstLineChars="200"/>
            </w:pPr>
            <w:r>
              <w:rPr>
                <w:rFonts w:hint="eastAsia" w:ascii="宋体" w:hAnsi="宋体" w:cs="宋体"/>
                <w:szCs w:val="21"/>
              </w:rPr>
              <w:t>在确定管理体系范围时公司考虑了以下内容：a各种内部和外部因素；b相关方的要求，包括相关合规义务；c组织的活动、产品和产品；d其组织单元、职能和物理边界。</w:t>
            </w:r>
          </w:p>
          <w:p>
            <w:pPr>
              <w:spacing w:line="280" w:lineRule="exact"/>
              <w:ind w:firstLine="420" w:firstLineChars="200"/>
              <w:jc w:val="left"/>
              <w:rPr>
                <w:rFonts w:ascii="宋体" w:hAnsi="宋体" w:cs="宋体"/>
                <w:szCs w:val="21"/>
              </w:rPr>
            </w:pPr>
            <w:r>
              <w:rPr>
                <w:rFonts w:hint="eastAsia" w:ascii="宋体" w:hAnsi="宋体" w:cs="宋体"/>
                <w:szCs w:val="21"/>
              </w:rPr>
              <w:t>认证范围为：</w:t>
            </w:r>
          </w:p>
          <w:p>
            <w:pPr>
              <w:rPr>
                <w:rFonts w:hint="eastAsia" w:ascii="宋体" w:hAnsi="宋体"/>
                <w:szCs w:val="21"/>
              </w:rPr>
            </w:pPr>
            <w:r>
              <w:rPr>
                <w:rFonts w:hint="eastAsia" w:ascii="宋体" w:hAnsi="宋体"/>
                <w:szCs w:val="21"/>
              </w:rPr>
              <w:t>Q：城市园林绿化；花卉的销售</w:t>
            </w:r>
          </w:p>
          <w:p>
            <w:pPr>
              <w:rPr>
                <w:rFonts w:hint="eastAsia" w:ascii="宋体" w:hAnsi="宋体"/>
                <w:szCs w:val="21"/>
              </w:rPr>
            </w:pPr>
            <w:r>
              <w:rPr>
                <w:rFonts w:hint="eastAsia" w:ascii="宋体" w:hAnsi="宋体"/>
                <w:szCs w:val="21"/>
              </w:rPr>
              <w:t>E：城市园林绿化；花卉的销售所涉及的相关环境管理活动</w:t>
            </w:r>
          </w:p>
          <w:p>
            <w:pPr>
              <w:rPr>
                <w:rFonts w:ascii="宋体" w:hAnsi="宋体"/>
                <w:szCs w:val="21"/>
              </w:rPr>
            </w:pPr>
            <w:r>
              <w:rPr>
                <w:rFonts w:hint="eastAsia" w:ascii="宋体" w:hAnsi="宋体"/>
                <w:szCs w:val="21"/>
              </w:rPr>
              <w:t>O：城市园林绿化；花卉的销售所涉及的相关职业健康安全管理活动</w:t>
            </w:r>
          </w:p>
          <w:p>
            <w:r>
              <w:rPr>
                <w:rFonts w:hint="eastAsia" w:ascii="宋体" w:hAnsi="宋体" w:cs="宋体"/>
                <w:szCs w:val="21"/>
              </w:rPr>
              <w:t>外包情况：无。</w:t>
            </w:r>
          </w:p>
          <w:p>
            <w:pPr>
              <w:spacing w:line="280" w:lineRule="exact"/>
              <w:ind w:firstLine="420" w:firstLineChars="200"/>
              <w:rPr>
                <w:rFonts w:hint="default" w:ascii="宋体" w:hAnsi="宋体" w:eastAsia="宋体" w:cs="宋体"/>
                <w:szCs w:val="21"/>
                <w:lang w:val="en-US" w:eastAsia="zh-CN"/>
              </w:rPr>
            </w:pPr>
            <w:r>
              <w:rPr>
                <w:rFonts w:hint="eastAsia" w:ascii="宋体" w:hAnsi="宋体" w:cs="宋体"/>
                <w:szCs w:val="21"/>
              </w:rPr>
              <w:t>认证主管部门：综合部</w:t>
            </w:r>
            <w:r>
              <w:rPr>
                <w:rFonts w:hint="eastAsia" w:ascii="宋体" w:hAnsi="宋体" w:cs="宋体"/>
                <w:szCs w:val="21"/>
                <w:lang w:val="en-US" w:eastAsia="zh-CN"/>
              </w:rPr>
              <w:t xml:space="preserve">  项目部  工程部</w:t>
            </w:r>
          </w:p>
          <w:p>
            <w:pPr>
              <w:spacing w:line="280" w:lineRule="exact"/>
              <w:ind w:firstLine="420" w:firstLineChars="200"/>
              <w:rPr>
                <w:rFonts w:ascii="宋体" w:hAnsi="宋体" w:cs="宋体"/>
                <w:szCs w:val="21"/>
              </w:rPr>
            </w:pPr>
            <w:r>
              <w:rPr>
                <w:rFonts w:hint="eastAsia" w:ascii="宋体" w:hAnsi="宋体" w:cs="宋体"/>
                <w:szCs w:val="21"/>
              </w:rPr>
              <w:t>认证目的：总经理述：为了提高公司整体的市场竞争力和准入能力，现着力推行管理体系。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280" w:lineRule="exact"/>
              <w:ind w:firstLine="420" w:firstLineChars="200"/>
              <w:rPr>
                <w:rFonts w:ascii="宋体" w:hAnsi="宋体" w:cs="宋体"/>
                <w:szCs w:val="21"/>
              </w:rPr>
            </w:pPr>
            <w:r>
              <w:rPr>
                <w:rFonts w:hint="eastAsia" w:ascii="宋体" w:hAnsi="宋体" w:cs="宋体"/>
                <w:szCs w:val="21"/>
              </w:rPr>
              <w:t>公司行政部每年根据由公司从市场、客户、网络等搜集到的信息并结合公司自身业务运作情况进行分析，通过分析对这些内部和外部因素的相关信息进行监视和评审以确保其充分和适宜。</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80" w:lineRule="exact"/>
              <w:rPr>
                <w:rFonts w:hint="eastAsia" w:ascii="宋体" w:hAnsi="宋体" w:cs="宋体"/>
                <w:szCs w:val="21"/>
              </w:rPr>
            </w:pPr>
            <w:r>
              <w:rPr>
                <w:rFonts w:hint="eastAsia" w:ascii="宋体" w:hAnsi="宋体" w:cs="宋体"/>
                <w:szCs w:val="21"/>
              </w:rPr>
              <w:t>工作人员的协商和参与</w:t>
            </w:r>
          </w:p>
        </w:tc>
        <w:tc>
          <w:tcPr>
            <w:tcW w:w="960" w:type="dxa"/>
          </w:tcPr>
          <w:p>
            <w:pPr>
              <w:spacing w:line="280" w:lineRule="exact"/>
              <w:rPr>
                <w:rFonts w:ascii="宋体" w:hAnsi="宋体" w:cs="宋体"/>
                <w:szCs w:val="21"/>
              </w:rPr>
            </w:pPr>
            <w:r>
              <w:rPr>
                <w:rFonts w:ascii="宋体" w:hAnsi="宋体" w:cs="宋体"/>
                <w:szCs w:val="21"/>
              </w:rPr>
              <w:t>S:5.4</w:t>
            </w:r>
          </w:p>
        </w:tc>
        <w:tc>
          <w:tcPr>
            <w:tcW w:w="10943" w:type="dxa"/>
            <w:vAlign w:val="center"/>
          </w:tcPr>
          <w:p>
            <w:pPr>
              <w:spacing w:line="280" w:lineRule="exact"/>
              <w:ind w:firstLine="420" w:firstLineChars="200"/>
              <w:rPr>
                <w:rFonts w:hint="eastAsia" w:ascii="宋体" w:hAnsi="宋体" w:cs="宋体"/>
                <w:szCs w:val="21"/>
              </w:rPr>
            </w:pPr>
            <w:r>
              <w:rPr>
                <w:rFonts w:hint="eastAsia" w:ascii="宋体" w:hAnsi="宋体" w:cs="宋体"/>
                <w:szCs w:val="21"/>
              </w:rPr>
              <w:t>经了解公司用于在职业健康安全管理体系的开发、策划、实施、绩效评价和改进措施中与所有适用层次和职能的工作人员及其代表（若有）的协商和参与。</w:t>
            </w:r>
          </w:p>
          <w:p>
            <w:pPr>
              <w:spacing w:line="280" w:lineRule="exact"/>
              <w:ind w:firstLine="420" w:firstLineChars="200"/>
              <w:rPr>
                <w:rFonts w:hint="eastAsia" w:ascii="宋体" w:hAnsi="宋体" w:cs="宋体"/>
                <w:szCs w:val="21"/>
              </w:rPr>
            </w:pPr>
            <w:r>
              <w:rPr>
                <w:rFonts w:hint="eastAsia" w:ascii="宋体" w:hAnsi="宋体" w:cs="宋体"/>
                <w:szCs w:val="21"/>
              </w:rPr>
              <w:t>公司任命员工代表</w:t>
            </w:r>
            <w:r>
              <w:rPr>
                <w:rFonts w:ascii="宋体" w:hAnsi="宋体" w:cs="宋体"/>
                <w:szCs w:val="21"/>
              </w:rPr>
              <w:t>—</w:t>
            </w:r>
            <w:r>
              <w:rPr>
                <w:rFonts w:hint="eastAsia" w:ascii="宋体" w:hAnsi="宋体" w:cs="宋体"/>
                <w:szCs w:val="21"/>
              </w:rPr>
              <w:t xml:space="preserve">王丽丽 </w:t>
            </w:r>
          </w:p>
          <w:p>
            <w:pPr>
              <w:spacing w:line="280" w:lineRule="exact"/>
              <w:ind w:firstLine="420" w:firstLineChars="200"/>
              <w:rPr>
                <w:rFonts w:hint="eastAsia" w:ascii="宋体" w:hAnsi="宋体" w:cs="宋体"/>
                <w:szCs w:val="21"/>
              </w:rPr>
            </w:pPr>
            <w:r>
              <w:rPr>
                <w:rFonts w:hint="eastAsia" w:ascii="宋体" w:hAnsi="宋体" w:cs="宋体"/>
                <w:szCs w:val="21"/>
              </w:rPr>
              <w:t>并明确了协商和参与的主要内容及方式方法，主要为：</w:t>
            </w:r>
          </w:p>
          <w:p>
            <w:pPr>
              <w:spacing w:line="280" w:lineRule="exact"/>
              <w:ind w:firstLine="420" w:firstLineChars="200"/>
              <w:rPr>
                <w:rFonts w:hint="eastAsia" w:ascii="宋体" w:hAnsi="宋体" w:cs="宋体"/>
                <w:szCs w:val="21"/>
              </w:rPr>
            </w:pPr>
            <w:r>
              <w:rPr>
                <w:rFonts w:hint="eastAsia" w:ascii="宋体" w:hAnsi="宋体" w:cs="宋体"/>
                <w:szCs w:val="21"/>
              </w:rPr>
              <w:t>协商和参与提供必要的机制、时间、培训和资源；及时提供对明确的、易理解的和相关的职业健康安全管理体系信息的访问渠道；</w:t>
            </w:r>
          </w:p>
          <w:p>
            <w:pPr>
              <w:spacing w:line="280" w:lineRule="exact"/>
              <w:ind w:firstLine="420" w:firstLineChars="200"/>
              <w:rPr>
                <w:rFonts w:hint="eastAsia" w:ascii="宋体" w:hAnsi="宋体" w:cs="宋体"/>
                <w:szCs w:val="21"/>
              </w:rPr>
            </w:pPr>
            <w:r>
              <w:rPr>
                <w:rFonts w:hint="eastAsia" w:ascii="宋体" w:hAnsi="宋体" w:cs="宋体"/>
                <w:szCs w:val="21"/>
              </w:rPr>
              <w:t>主要的沟通协商渠道建立微信群或员工意见箱等内容。</w:t>
            </w:r>
          </w:p>
          <w:p>
            <w:pPr>
              <w:spacing w:line="280" w:lineRule="exact"/>
              <w:ind w:firstLine="420" w:firstLineChars="200"/>
              <w:rPr>
                <w:rFonts w:hint="eastAsia" w:ascii="宋体" w:hAnsi="宋体" w:cs="宋体"/>
                <w:szCs w:val="21"/>
              </w:rPr>
            </w:pPr>
            <w:r>
              <w:rPr>
                <w:rFonts w:hint="eastAsia" w:ascii="宋体" w:hAnsi="宋体" w:cs="宋体"/>
                <w:szCs w:val="21"/>
              </w:rPr>
              <w:t>通过培训室员工知道自身的权益与义务，更好的参与与保护自身的权益。</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方针</w:t>
            </w:r>
          </w:p>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制定方针</w:t>
            </w:r>
          </w:p>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沟通方针</w:t>
            </w:r>
          </w:p>
        </w:tc>
        <w:tc>
          <w:tcPr>
            <w:tcW w:w="960" w:type="dxa"/>
          </w:tcPr>
          <w:p>
            <w:pPr>
              <w:spacing w:line="280" w:lineRule="exact"/>
              <w:rPr>
                <w:rFonts w:asciiTheme="minorEastAsia" w:hAnsiTheme="minorEastAsia" w:eastAsiaTheme="minorEastAsia" w:cstheme="minorEastAsia"/>
                <w:szCs w:val="21"/>
              </w:rPr>
            </w:pPr>
            <w:r>
              <w:rPr>
                <w:rFonts w:asciiTheme="minorEastAsia" w:hAnsiTheme="minorEastAsia" w:eastAsiaTheme="minorEastAsia" w:cstheme="minorEastAsia"/>
                <w:szCs w:val="21"/>
              </w:rPr>
              <w:t>Q/S</w:t>
            </w:r>
            <w:r>
              <w:rPr>
                <w:rFonts w:hint="eastAsia" w:asciiTheme="minorEastAsia" w:hAnsiTheme="minorEastAsia" w:eastAsiaTheme="minorEastAsia" w:cstheme="minorEastAsia"/>
                <w:szCs w:val="21"/>
              </w:rPr>
              <w:t>5.2</w:t>
            </w:r>
          </w:p>
          <w:p>
            <w:pPr>
              <w:snapToGrid w:val="0"/>
              <w:spacing w:line="280" w:lineRule="exact"/>
              <w:rPr>
                <w:rFonts w:asciiTheme="minorEastAsia" w:hAnsiTheme="minorEastAsia" w:eastAsiaTheme="minorEastAsia" w:cstheme="minorEastAsia"/>
                <w:szCs w:val="21"/>
              </w:rPr>
            </w:pPr>
          </w:p>
          <w:p>
            <w:pPr>
              <w:spacing w:line="280" w:lineRule="exact"/>
              <w:rPr>
                <w:rFonts w:asciiTheme="minorEastAsia" w:hAnsiTheme="minorEastAsia" w:eastAsiaTheme="minorEastAsia" w:cstheme="minorEastAsia"/>
                <w:szCs w:val="21"/>
              </w:rPr>
            </w:pPr>
          </w:p>
          <w:p>
            <w:pPr>
              <w:spacing w:line="280" w:lineRule="exact"/>
              <w:rPr>
                <w:rFonts w:asciiTheme="minorEastAsia" w:hAnsiTheme="minorEastAsia" w:eastAsiaTheme="minorEastAsia" w:cstheme="minorEastAsia"/>
                <w:color w:val="FF0000"/>
                <w:szCs w:val="21"/>
              </w:rPr>
            </w:pPr>
          </w:p>
        </w:tc>
        <w:tc>
          <w:tcPr>
            <w:tcW w:w="10943"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该公司管理方针为：</w:t>
            </w:r>
          </w:p>
          <w:p>
            <w:pPr>
              <w:rPr>
                <w:rFonts w:hint="eastAsia"/>
                <w:color w:val="000000"/>
                <w:szCs w:val="21"/>
              </w:rPr>
            </w:pPr>
            <w:r>
              <w:rPr>
                <w:rFonts w:hint="eastAsia"/>
                <w:color w:val="000000"/>
                <w:szCs w:val="21"/>
              </w:rPr>
              <w:t xml:space="preserve">遵守法律法规，以人为本， 持续改进，确保体系有效； </w:t>
            </w:r>
          </w:p>
          <w:p>
            <w:pPr>
              <w:spacing w:line="280" w:lineRule="exact"/>
              <w:ind w:firstLine="420" w:firstLineChars="200"/>
              <w:rPr>
                <w:color w:val="000000"/>
                <w:szCs w:val="21"/>
              </w:rPr>
            </w:pPr>
            <w:r>
              <w:rPr>
                <w:rFonts w:hint="eastAsia"/>
                <w:color w:val="000000"/>
                <w:szCs w:val="21"/>
              </w:rPr>
              <w:t>以顾客为中心，保护环境， 预防事故，创建满意工程。</w:t>
            </w:r>
          </w:p>
          <w:p>
            <w:pPr>
              <w:spacing w:line="2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公司以质量、环境、职业健康安全标准为基础，结合公司实际特制定管理方针。与付延安先生进行交谈，付先生对方针内涵的理解较深刻。方针能为制定目标提供框架，方针基本符合标准的要求。</w:t>
            </w:r>
          </w:p>
          <w:p>
            <w:pPr>
              <w:spacing w:line="2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总经理用会议、文件等手段保证管理方针为全体员工理解并落实到工作中。管理评审时对方针的持续适宜性进行了评审，有评审记录。</w:t>
            </w:r>
          </w:p>
          <w:p>
            <w:pPr>
              <w:spacing w:line="280" w:lineRule="exact"/>
              <w:ind w:firstLine="420" w:firstLineChars="200"/>
              <w:rPr>
                <w:rFonts w:asciiTheme="minorEastAsia" w:hAnsiTheme="minorEastAsia" w:eastAsiaTheme="minorEastAsia" w:cstheme="minorEastAsia"/>
                <w:color w:val="FF0000"/>
                <w:szCs w:val="21"/>
              </w:rPr>
            </w:pPr>
            <w:r>
              <w:rPr>
                <w:rFonts w:hint="eastAsia" w:asciiTheme="minorEastAsia" w:hAnsiTheme="minorEastAsia" w:eastAsiaTheme="minorEastAsia" w:cstheme="minorEastAsia"/>
                <w:szCs w:val="21"/>
              </w:rPr>
              <w:t>以上管理方针通过文件、培训等形式将公司管理方针传达给所有为公司工作或代表公司的人员，相关方也可通过厂区综合部获取公司管理方针。</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管理目标及其实现的策划</w:t>
            </w:r>
          </w:p>
          <w:p>
            <w:pPr>
              <w:spacing w:line="280" w:lineRule="exact"/>
              <w:rPr>
                <w:rFonts w:ascii="宋体" w:hAnsi="宋体" w:cs="宋体"/>
                <w:szCs w:val="21"/>
              </w:rPr>
            </w:pPr>
          </w:p>
        </w:tc>
        <w:tc>
          <w:tcPr>
            <w:tcW w:w="960" w:type="dxa"/>
          </w:tcPr>
          <w:p>
            <w:pPr>
              <w:spacing w:line="280" w:lineRule="exact"/>
              <w:rPr>
                <w:szCs w:val="21"/>
              </w:rPr>
            </w:pPr>
            <w:r>
              <w:rPr>
                <w:szCs w:val="21"/>
              </w:rPr>
              <w:t>Q/S</w:t>
            </w:r>
            <w:r>
              <w:rPr>
                <w:rFonts w:hint="eastAsia"/>
                <w:szCs w:val="21"/>
              </w:rPr>
              <w:t>6.2</w:t>
            </w:r>
          </w:p>
          <w:p>
            <w:pPr>
              <w:spacing w:line="280" w:lineRule="exact"/>
              <w:rPr>
                <w:rFonts w:ascii="宋体" w:hAnsi="宋体" w:cs="宋体"/>
                <w:color w:val="FF0000"/>
                <w:szCs w:val="21"/>
              </w:rPr>
            </w:pPr>
          </w:p>
        </w:tc>
        <w:tc>
          <w:tcPr>
            <w:tcW w:w="10943" w:type="dxa"/>
            <w:vAlign w:val="center"/>
          </w:tcPr>
          <w:p>
            <w:pPr>
              <w:spacing w:line="280" w:lineRule="exact"/>
              <w:ind w:firstLine="420" w:firstLineChars="200"/>
              <w:rPr>
                <w:rFonts w:ascii="宋体" w:hAnsi="宋体" w:cs="宋体"/>
                <w:szCs w:val="21"/>
              </w:rPr>
            </w:pPr>
            <w:r>
              <w:rPr>
                <w:rFonts w:hint="eastAsia" w:ascii="宋体" w:hAnsi="宋体" w:cs="宋体"/>
                <w:szCs w:val="21"/>
              </w:rPr>
              <w:t>公司对管理体系所需的相关职能、层次和过程设定管理目标。在《管理手册》中规划公司的整体管理目标，并以目标管理方法层层展开落实，各部门依据公司整体目标制订相应的管理目标实施方案并统计实绩，根据每年目标达成状况，通过管理审查会议审查评估绩效并制定下一年度的目标。</w:t>
            </w:r>
          </w:p>
          <w:p>
            <w:pPr>
              <w:spacing w:line="280" w:lineRule="exact"/>
              <w:ind w:firstLine="420" w:firstLineChars="200"/>
              <w:rPr>
                <w:rFonts w:ascii="宋体" w:hAnsi="宋体" w:cs="宋体"/>
                <w:szCs w:val="21"/>
              </w:rPr>
            </w:pPr>
            <w:r>
              <w:rPr>
                <w:rFonts w:hint="eastAsia" w:ascii="宋体" w:hAnsi="宋体" w:cs="宋体"/>
                <w:szCs w:val="21"/>
              </w:rPr>
              <w:t>公司对管理体系所需的相关职能、层次和过程设定管理目标。</w:t>
            </w:r>
          </w:p>
          <w:p>
            <w:pPr>
              <w:spacing w:line="280" w:lineRule="exact"/>
              <w:ind w:left="420" w:leftChars="200"/>
              <w:rPr>
                <w:rFonts w:ascii="宋体" w:hAnsi="宋体" w:cs="宋体"/>
                <w:szCs w:val="21"/>
              </w:rPr>
            </w:pPr>
            <w:r>
              <w:rPr>
                <w:rFonts w:hint="eastAsia" w:ascii="宋体" w:hAnsi="宋体" w:cs="宋体"/>
                <w:szCs w:val="21"/>
              </w:rPr>
              <w:t>管理目标涉及质量、环境、职业健康安全，具体为：</w:t>
            </w:r>
          </w:p>
          <w:p>
            <w:pPr>
              <w:numPr>
                <w:ilvl w:val="0"/>
                <w:numId w:val="1"/>
              </w:numPr>
              <w:spacing w:after="0" w:line="340" w:lineRule="exact"/>
              <w:rPr>
                <w:rFonts w:hint="eastAsia" w:ascii="宋体" w:hAnsi="宋体" w:cs="宋体"/>
                <w:szCs w:val="21"/>
              </w:rPr>
            </w:pPr>
            <w:r>
              <w:rPr>
                <w:rFonts w:hint="eastAsia" w:ascii="宋体" w:hAnsi="宋体" w:cs="宋体"/>
                <w:szCs w:val="21"/>
              </w:rPr>
              <w:t>项目质量合格率：98%以上；</w:t>
            </w:r>
          </w:p>
          <w:p>
            <w:pPr>
              <w:numPr>
                <w:ilvl w:val="0"/>
                <w:numId w:val="1"/>
              </w:numPr>
              <w:spacing w:after="0" w:line="340" w:lineRule="exact"/>
              <w:rPr>
                <w:rFonts w:hint="eastAsia" w:ascii="宋体" w:hAnsi="宋体" w:cs="宋体"/>
                <w:szCs w:val="21"/>
              </w:rPr>
            </w:pPr>
            <w:r>
              <w:rPr>
                <w:rFonts w:hint="eastAsia" w:ascii="宋体" w:hAnsi="宋体" w:cs="宋体"/>
                <w:szCs w:val="21"/>
              </w:rPr>
              <w:t>顾客满意程度：95%以上；</w:t>
            </w:r>
          </w:p>
          <w:p>
            <w:pPr>
              <w:numPr>
                <w:ilvl w:val="0"/>
                <w:numId w:val="1"/>
              </w:numPr>
              <w:spacing w:after="0" w:line="340" w:lineRule="exact"/>
              <w:rPr>
                <w:rFonts w:ascii="宋体" w:hAnsi="宋体" w:cs="宋体"/>
                <w:szCs w:val="21"/>
              </w:rPr>
            </w:pPr>
            <w:r>
              <w:rPr>
                <w:rFonts w:hint="eastAsia" w:ascii="宋体" w:hAnsi="宋体" w:cs="宋体"/>
                <w:szCs w:val="21"/>
              </w:rPr>
              <w:t>固体废弃物：分类收集回收率100%；</w:t>
            </w:r>
          </w:p>
          <w:p>
            <w:pPr>
              <w:numPr>
                <w:ilvl w:val="0"/>
                <w:numId w:val="1"/>
              </w:numPr>
              <w:spacing w:after="0" w:line="340" w:lineRule="exact"/>
              <w:rPr>
                <w:rFonts w:ascii="宋体" w:hAnsi="宋体" w:cs="宋体"/>
                <w:szCs w:val="21"/>
              </w:rPr>
            </w:pPr>
            <w:r>
              <w:rPr>
                <w:rFonts w:hint="eastAsia" w:ascii="宋体" w:hAnsi="宋体" w:cs="宋体"/>
                <w:szCs w:val="21"/>
              </w:rPr>
              <w:t>环境污染事故发生率为0；</w:t>
            </w:r>
          </w:p>
          <w:p>
            <w:pPr>
              <w:numPr>
                <w:ilvl w:val="0"/>
                <w:numId w:val="1"/>
              </w:numPr>
              <w:spacing w:after="0" w:line="340" w:lineRule="exact"/>
              <w:rPr>
                <w:rFonts w:hint="eastAsia" w:ascii="宋体" w:hAnsi="宋体" w:cs="宋体"/>
                <w:szCs w:val="21"/>
              </w:rPr>
            </w:pPr>
            <w:r>
              <w:rPr>
                <w:rFonts w:hint="eastAsia" w:ascii="宋体" w:hAnsi="宋体" w:cs="宋体"/>
                <w:szCs w:val="21"/>
              </w:rPr>
              <w:t>火灾发生率0 ；</w:t>
            </w:r>
          </w:p>
          <w:p>
            <w:pPr>
              <w:numPr>
                <w:ilvl w:val="0"/>
                <w:numId w:val="1"/>
              </w:numPr>
              <w:spacing w:after="0" w:line="340" w:lineRule="exact"/>
              <w:rPr>
                <w:rFonts w:hint="eastAsia" w:ascii="宋体" w:hAnsi="宋体" w:cs="宋体"/>
                <w:szCs w:val="21"/>
              </w:rPr>
            </w:pPr>
            <w:r>
              <w:rPr>
                <w:rFonts w:hint="eastAsia" w:ascii="宋体" w:hAnsi="宋体" w:cs="宋体"/>
                <w:szCs w:val="21"/>
              </w:rPr>
              <w:t>无重大安全事件发生</w:t>
            </w:r>
          </w:p>
          <w:p>
            <w:pPr>
              <w:spacing w:line="280" w:lineRule="exact"/>
              <w:rPr>
                <w:rFonts w:ascii="宋体" w:hAnsi="宋体" w:cs="宋体"/>
                <w:szCs w:val="21"/>
              </w:rPr>
            </w:pPr>
            <w:r>
              <w:rPr>
                <w:rFonts w:hint="eastAsia" w:ascii="宋体" w:hAnsi="宋体"/>
                <w:b/>
                <w:szCs w:val="21"/>
              </w:rPr>
              <w:t xml:space="preserve">  </w:t>
            </w:r>
            <w:r>
              <w:rPr>
                <w:rFonts w:hint="eastAsia" w:ascii="宋体" w:hAnsi="宋体" w:cs="宋体"/>
                <w:szCs w:val="21"/>
              </w:rPr>
              <w:t>目标可测量，与公司管理方针一致。</w:t>
            </w:r>
          </w:p>
          <w:p>
            <w:pPr>
              <w:spacing w:line="280" w:lineRule="exact"/>
              <w:ind w:firstLine="420" w:firstLineChars="200"/>
              <w:rPr>
                <w:rFonts w:ascii="宋体" w:hAnsi="宋体" w:cs="宋体"/>
                <w:szCs w:val="21"/>
              </w:rPr>
            </w:pPr>
            <w:r>
              <w:rPr>
                <w:rFonts w:hint="eastAsia" w:ascii="宋体" w:hAnsi="宋体" w:cs="宋体"/>
                <w:szCs w:val="21"/>
              </w:rPr>
              <w:t>每季度由综合部按公司管理目标考核要求统计考核公司管理目标完成情况，提交管理评审会议。查到今年第一季度公司管理目标完成情况，各项目标均已完成，编制：综合部   审核：张志刚   批准：程培培</w:t>
            </w:r>
          </w:p>
          <w:p>
            <w:pPr>
              <w:spacing w:line="280" w:lineRule="exact"/>
              <w:ind w:firstLine="420" w:firstLineChars="200"/>
              <w:rPr>
                <w:rFonts w:ascii="宋体" w:hAnsi="宋体" w:cs="宋体"/>
                <w:kern w:val="0"/>
                <w:szCs w:val="21"/>
              </w:rPr>
            </w:pPr>
            <w:r>
              <w:rPr>
                <w:rFonts w:hint="eastAsia" w:ascii="宋体" w:hAnsi="宋体" w:cs="宋体"/>
                <w:szCs w:val="21"/>
              </w:rPr>
              <w:t>针对不可接受风险制订了管理方案并予以实施，基本有效，详见项目部该条款审核记录。</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280" w:lineRule="exact"/>
              <w:rPr>
                <w:rFonts w:ascii="宋体" w:hAnsi="宋体" w:cs="宋体"/>
                <w:szCs w:val="21"/>
              </w:rPr>
            </w:pPr>
            <w:r>
              <w:rPr>
                <w:rFonts w:hint="eastAsia" w:ascii="宋体" w:hAnsi="宋体" w:cs="宋体"/>
                <w:szCs w:val="21"/>
              </w:rPr>
              <w:t>资源、总则</w:t>
            </w:r>
          </w:p>
          <w:p>
            <w:pPr>
              <w:spacing w:line="280" w:lineRule="exact"/>
              <w:rPr>
                <w:rFonts w:ascii="宋体" w:hAnsi="宋体" w:cs="宋体"/>
                <w:szCs w:val="21"/>
              </w:rPr>
            </w:pPr>
          </w:p>
        </w:tc>
        <w:tc>
          <w:tcPr>
            <w:tcW w:w="960" w:type="dxa"/>
          </w:tcPr>
          <w:p>
            <w:pPr>
              <w:spacing w:line="280" w:lineRule="exact"/>
              <w:rPr>
                <w:szCs w:val="21"/>
              </w:rPr>
            </w:pPr>
            <w:r>
              <w:rPr>
                <w:szCs w:val="21"/>
              </w:rPr>
              <w:t>Q/S</w:t>
            </w:r>
            <w:r>
              <w:rPr>
                <w:rFonts w:hint="eastAsia"/>
                <w:szCs w:val="21"/>
              </w:rPr>
              <w:t>7.1</w:t>
            </w:r>
          </w:p>
          <w:p>
            <w:pPr>
              <w:spacing w:line="280" w:lineRule="exact"/>
              <w:rPr>
                <w:rFonts w:ascii="宋体" w:hAnsi="宋体" w:cs="宋体"/>
                <w:color w:val="FF0000"/>
                <w:szCs w:val="21"/>
              </w:rPr>
            </w:pPr>
          </w:p>
        </w:tc>
        <w:tc>
          <w:tcPr>
            <w:tcW w:w="10943" w:type="dxa"/>
            <w:vAlign w:val="center"/>
          </w:tcPr>
          <w:p>
            <w:pPr>
              <w:spacing w:line="280" w:lineRule="exact"/>
              <w:ind w:firstLine="420" w:firstLineChars="200"/>
              <w:rPr>
                <w:rFonts w:ascii="宋体" w:hAnsi="宋体" w:cs="宋体"/>
                <w:szCs w:val="21"/>
              </w:rPr>
            </w:pPr>
            <w:r>
              <w:rPr>
                <w:rFonts w:hint="eastAsia" w:ascii="宋体" w:hAnsi="宋体" w:cs="宋体"/>
                <w:szCs w:val="21"/>
              </w:rPr>
              <w:t>查公司配备的人力资源，公司总人数</w:t>
            </w:r>
            <w:r>
              <w:rPr>
                <w:rFonts w:hint="eastAsia" w:ascii="宋体" w:hAnsi="宋体" w:cs="宋体"/>
                <w:szCs w:val="21"/>
                <w:lang w:val="en-US" w:eastAsia="zh-CN"/>
              </w:rPr>
              <w:t>15</w:t>
            </w:r>
            <w:r>
              <w:rPr>
                <w:rFonts w:hint="eastAsia" w:ascii="宋体" w:hAnsi="宋体" w:cs="宋体"/>
                <w:szCs w:val="21"/>
              </w:rPr>
              <w:t>人.</w:t>
            </w:r>
          </w:p>
          <w:p>
            <w:pPr>
              <w:spacing w:line="280" w:lineRule="exact"/>
              <w:ind w:firstLine="420" w:firstLineChars="200"/>
              <w:rPr>
                <w:rFonts w:ascii="宋体" w:hAnsi="宋体" w:cs="宋体"/>
                <w:kern w:val="0"/>
                <w:szCs w:val="21"/>
              </w:rPr>
            </w:pPr>
            <w:r>
              <w:rPr>
                <w:rFonts w:hint="eastAsia" w:ascii="宋体" w:hAnsi="宋体" w:cs="宋体"/>
                <w:szCs w:val="21"/>
              </w:rPr>
              <w:t>基础设施：</w:t>
            </w:r>
            <w:r>
              <w:rPr>
                <w:rFonts w:hint="eastAsia"/>
                <w:szCs w:val="22"/>
              </w:rPr>
              <w:t>铁锹、铁镐、手据、园艺剪、割草机、粗枝剪、打草机</w:t>
            </w:r>
            <w:r>
              <w:rPr>
                <w:rFonts w:hint="eastAsia" w:ascii="宋体" w:hAnsi="宋体" w:cs="宋体"/>
                <w:szCs w:val="21"/>
              </w:rPr>
              <w:t>等，台式机笔记本电脑、打印机等设施等，规范文件、资金等必要的资源，能够持续满足顾客需求和管理体系改进的需要。</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2160" w:type="dxa"/>
            <w:vAlign w:val="center"/>
          </w:tcPr>
          <w:p>
            <w:pPr>
              <w:rPr>
                <w:rFonts w:ascii="宋体" w:hAnsi="宋体" w:cs="宋体"/>
                <w:szCs w:val="21"/>
              </w:rPr>
            </w:pPr>
            <w:r>
              <w:rPr>
                <w:rFonts w:hint="eastAsia" w:asciiTheme="minorEastAsia" w:hAnsiTheme="minorEastAsia" w:eastAsiaTheme="minorEastAsia" w:cstheme="minorEastAsia"/>
                <w:szCs w:val="21"/>
              </w:rPr>
              <w:t>绩效测量和监视</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QS:</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9.1.1</w:t>
            </w:r>
          </w:p>
          <w:p/>
        </w:tc>
        <w:tc>
          <w:tcPr>
            <w:tcW w:w="10943" w:type="dxa"/>
            <w:vAlign w:val="center"/>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公司编制了《顾客满意度控制程序》，对清洁服务的质量特性进行监视和测量，以验证其符合要求的程度，确保服务符合要求。</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公司制定《内部审核控制程序》 、《管理评审控制程序》 和《数据分析控制程序》为保证公司质量管理体系的有效运行，通过对管理绩效的监视与测量，确保体系运行的有效性。</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查阅“部门质量目标策划及考核记录表”，</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提供管理目标指标的检查考核工作，均完成目标考核要求。</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查阅“环境和职业健康安全目标指标完成情况检查表”，体系建立至今共进行的管理目标指标的检查考核工作，均完成目标考核要求。</w:t>
            </w:r>
          </w:p>
          <w:p>
            <w:pPr>
              <w:ind w:firstLine="420" w:firstLineChars="200"/>
              <w:rPr>
                <w:rFonts w:asciiTheme="minorEastAsia" w:hAnsiTheme="minorEastAsia" w:eastAsiaTheme="minorEastAsia" w:cstheme="minorEastAsia"/>
                <w:color w:val="FF0000"/>
                <w:szCs w:val="21"/>
              </w:rPr>
            </w:pPr>
            <w:r>
              <w:rPr>
                <w:rFonts w:hint="eastAsia" w:asciiTheme="minorEastAsia" w:hAnsiTheme="minorEastAsia" w:eastAsiaTheme="minorEastAsia" w:cstheme="minorEastAsia"/>
                <w:szCs w:val="21"/>
              </w:rPr>
              <w:t>环境和职业健康安全运行管理检查情况：抽查2020.</w:t>
            </w:r>
            <w:r>
              <w:rPr>
                <w:rFonts w:asciiTheme="minorEastAsia" w:hAnsiTheme="minorEastAsia" w:eastAsiaTheme="minorEastAsia" w:cstheme="minorEastAsia"/>
                <w:szCs w:val="21"/>
              </w:rPr>
              <w:t>05</w:t>
            </w:r>
            <w:r>
              <w:rPr>
                <w:rFonts w:hint="eastAsia" w:asciiTheme="minorEastAsia" w:hAnsiTheme="minorEastAsia" w:eastAsiaTheme="minorEastAsia" w:cstheme="minorEastAsia"/>
                <w:szCs w:val="21"/>
              </w:rPr>
              <w:t>.10管理检查记录，主控部门：综合部，检查人：张志刚 ，对固废收集、节约能源等方面进行检查、劳保用品发放、安全管理进行检查，一切正常。</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查公司为员工购买有养老等保险，提供购买证据。</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外部对公司质量和安全管理要求一般口头交流；对供应商及客户等相关方有“相关方告知书”等。</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目前未发现公司出现违规现象。无被动性绩效的监视和测量。</w:t>
            </w:r>
          </w:p>
          <w:p>
            <w:pPr>
              <w:pStyle w:val="2"/>
            </w:pPr>
            <w:r>
              <w:rPr>
                <w:rFonts w:hint="eastAsia" w:asciiTheme="minorEastAsia" w:hAnsiTheme="minorEastAsia" w:eastAsiaTheme="minorEastAsia" w:cstheme="minorEastAsia"/>
                <w:bCs w:val="0"/>
                <w:szCs w:val="21"/>
              </w:rPr>
              <w:t>公司不需要对环境影响的运行的关键特性和职业健康安全绩效进行监测和测量的设备。</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2160" w:type="dxa"/>
          </w:tcPr>
          <w:p>
            <w:pPr>
              <w:spacing w:line="280" w:lineRule="exact"/>
              <w:rPr>
                <w:rFonts w:ascii="宋体" w:hAnsi="宋体" w:cs="宋体"/>
                <w:szCs w:val="21"/>
              </w:rPr>
            </w:pPr>
            <w:r>
              <w:rPr>
                <w:rFonts w:hint="eastAsia" w:ascii="宋体" w:hAnsi="宋体" w:cs="宋体"/>
                <w:szCs w:val="21"/>
              </w:rPr>
              <w:t>管理评审</w:t>
            </w:r>
          </w:p>
          <w:p>
            <w:pPr>
              <w:spacing w:line="280" w:lineRule="exact"/>
              <w:rPr>
                <w:rFonts w:ascii="宋体" w:hAnsi="宋体" w:cs="宋体"/>
                <w:szCs w:val="21"/>
              </w:rPr>
            </w:pPr>
          </w:p>
        </w:tc>
        <w:tc>
          <w:tcPr>
            <w:tcW w:w="960" w:type="dxa"/>
          </w:tcPr>
          <w:p>
            <w:pPr>
              <w:spacing w:line="280" w:lineRule="exact"/>
              <w:rPr>
                <w:szCs w:val="21"/>
              </w:rPr>
            </w:pPr>
            <w:r>
              <w:rPr>
                <w:szCs w:val="21"/>
              </w:rPr>
              <w:t>Q/S</w:t>
            </w:r>
            <w:r>
              <w:rPr>
                <w:rFonts w:hint="eastAsia"/>
                <w:szCs w:val="21"/>
              </w:rPr>
              <w:t>9.3</w:t>
            </w:r>
          </w:p>
          <w:p>
            <w:pPr>
              <w:spacing w:line="280" w:lineRule="exact"/>
              <w:rPr>
                <w:szCs w:val="21"/>
              </w:rPr>
            </w:pPr>
          </w:p>
          <w:p>
            <w:pPr>
              <w:spacing w:line="280" w:lineRule="exact"/>
              <w:rPr>
                <w:rFonts w:ascii="宋体" w:hAnsi="宋体" w:cs="宋体"/>
                <w:szCs w:val="21"/>
              </w:rPr>
            </w:pPr>
          </w:p>
        </w:tc>
        <w:tc>
          <w:tcPr>
            <w:tcW w:w="10943" w:type="dxa"/>
            <w:vAlign w:val="center"/>
          </w:tcPr>
          <w:p>
            <w:pPr>
              <w:spacing w:line="280" w:lineRule="exact"/>
              <w:ind w:firstLine="420" w:firstLineChars="200"/>
            </w:pPr>
            <w:r>
              <w:rPr>
                <w:rFonts w:hint="eastAsia"/>
              </w:rPr>
              <w:t>公司编制并实施《管理评审程序》，规定管理评审每年进行一次，由</w:t>
            </w:r>
            <w:r>
              <w:rPr>
                <w:rFonts w:hint="eastAsia" w:ascii="宋体" w:hAnsi="宋体"/>
                <w:szCs w:val="21"/>
              </w:rPr>
              <w:t>邓卓总经理</w:t>
            </w:r>
            <w:r>
              <w:rPr>
                <w:rFonts w:hint="eastAsia"/>
              </w:rPr>
              <w:t>决定是否增加管理评审的频次。</w:t>
            </w:r>
          </w:p>
          <w:p>
            <w:pPr>
              <w:spacing w:line="280" w:lineRule="exact"/>
              <w:ind w:firstLine="420" w:firstLineChars="200"/>
            </w:pPr>
            <w:r>
              <w:rPr>
                <w:rFonts w:hint="eastAsia"/>
              </w:rPr>
              <w:t>查策划：在《管理评审程序》中明确了管理评审的实施要求。策划每年进行一次管理评审，间隔不超过12个月。</w:t>
            </w:r>
          </w:p>
          <w:p>
            <w:pPr>
              <w:spacing w:line="280" w:lineRule="exact"/>
              <w:ind w:firstLine="420" w:firstLineChars="200"/>
            </w:pPr>
            <w:r>
              <w:rPr>
                <w:rFonts w:hint="eastAsia"/>
              </w:rPr>
              <w:t>查阅公司管理评审资料，提供：</w:t>
            </w:r>
          </w:p>
          <w:p>
            <w:pPr>
              <w:spacing w:line="280" w:lineRule="exact"/>
            </w:pPr>
            <w:r>
              <w:rPr>
                <w:rFonts w:hint="eastAsia"/>
              </w:rPr>
              <w:t>1.管理评审计划</w:t>
            </w:r>
          </w:p>
          <w:p>
            <w:pPr>
              <w:spacing w:line="280" w:lineRule="exact"/>
              <w:ind w:firstLine="420" w:firstLineChars="200"/>
            </w:pPr>
            <w:r>
              <w:rPr>
                <w:rFonts w:hint="eastAsia"/>
              </w:rPr>
              <w:t>评审时间：计划20</w:t>
            </w:r>
            <w:r>
              <w:t>20</w:t>
            </w:r>
            <w:r>
              <w:rPr>
                <w:rFonts w:hint="eastAsia"/>
              </w:rPr>
              <w:t>年0</w:t>
            </w:r>
            <w:r>
              <w:t>8</w:t>
            </w:r>
            <w:r>
              <w:rPr>
                <w:rFonts w:hint="eastAsia"/>
              </w:rPr>
              <w:t>月2</w:t>
            </w:r>
            <w:r>
              <w:t>8</w:t>
            </w:r>
            <w:r>
              <w:rPr>
                <w:rFonts w:hint="eastAsia"/>
              </w:rPr>
              <w:t>日进行，初审无间隔要求，评审方式：会议评审， 拟稿综合部  ，签发：张志刚，参加人员包括公司总经理、管理者代表、各部门负责人，计划中明确了评审内容和资料准备要求。</w:t>
            </w:r>
          </w:p>
          <w:p>
            <w:pPr>
              <w:spacing w:line="280" w:lineRule="exact"/>
            </w:pPr>
            <w:r>
              <w:rPr>
                <w:rFonts w:hint="eastAsia"/>
              </w:rPr>
              <w:t>2.管理评审会议记录</w:t>
            </w:r>
          </w:p>
          <w:p>
            <w:pPr>
              <w:spacing w:line="280" w:lineRule="exact"/>
              <w:ind w:firstLine="420" w:firstLineChars="200"/>
            </w:pPr>
            <w:r>
              <w:rPr>
                <w:rFonts w:hint="eastAsia"/>
              </w:rPr>
              <w:t>按计划的时间实施了管理评审。管理评审内容包括：管理方针、目标的适宜行和实现情况；管理体系的符合性；内审结果；内外部环境分析及风险应对措施的落实情况；纠正预防措施及持续改进能力；重要环境因素和不可接受风险控制及效果；合规性评价；可能影响管理体系的变更；质量事故、顾客满意度；改进建议等；</w:t>
            </w:r>
          </w:p>
          <w:p>
            <w:pPr>
              <w:spacing w:line="280" w:lineRule="exact"/>
            </w:pPr>
            <w:r>
              <w:rPr>
                <w:rFonts w:hint="eastAsia"/>
              </w:rPr>
              <w:t>3.管理评审报告</w:t>
            </w:r>
          </w:p>
          <w:p>
            <w:pPr>
              <w:spacing w:line="280" w:lineRule="exact"/>
            </w:pPr>
            <w:r>
              <w:rPr>
                <w:rFonts w:hint="eastAsia"/>
              </w:rPr>
              <w:t>管理评审结论：公司各部门基本按照管理体系标准要求实施已初步取得良好的效果。公司方针、目标及管理方案、管理体系文件环境、职业健康安全控制等符合公司目前发展状况，所配备的各类资源基本满足管理体系要求。公司环境、职业健康安全管理体系基本是充分、有效和适宜的。</w:t>
            </w:r>
          </w:p>
          <w:p>
            <w:pPr>
              <w:spacing w:line="280" w:lineRule="exact"/>
            </w:pPr>
            <w:r>
              <w:rPr>
                <w:rFonts w:hint="eastAsia"/>
              </w:rPr>
              <w:t>4.改进计划</w:t>
            </w:r>
          </w:p>
          <w:p>
            <w:pPr>
              <w:pStyle w:val="2"/>
              <w:rPr>
                <w:rFonts w:hint="eastAsia"/>
              </w:rPr>
            </w:pPr>
            <w:r>
              <w:rPr>
                <w:rFonts w:hint="eastAsia"/>
              </w:rPr>
              <w:t>（1）鉴于目前用工的紧缺，招工难度的加大，今后各部门对员工多些人文关怀，尽量减少本部门的人员离职率，对实在不能挽留的员工，在提交《员工离职申请单》，要同时填报《人力需求申请单》，给予管理课在员工离职前充足的时间招聘新的员工。</w:t>
            </w:r>
          </w:p>
          <w:p>
            <w:pPr>
              <w:pStyle w:val="2"/>
              <w:rPr>
                <w:rFonts w:hint="eastAsia"/>
              </w:rPr>
            </w:pPr>
            <w:r>
              <w:rPr>
                <w:rFonts w:hint="eastAsia"/>
              </w:rPr>
              <w:t>（2）由于部分供应商在售后方面有不足的地方，但有一定的价格优势，综合部的合格供应商评审应加强价格因素进行评审，这样才能更全面地考核供应商，也有利于降低公司采购成本。</w:t>
            </w:r>
          </w:p>
          <w:p>
            <w:pPr>
              <w:pStyle w:val="2"/>
            </w:pPr>
            <w:r>
              <w:rPr>
                <w:rFonts w:hint="eastAsia"/>
              </w:rPr>
              <w:t>（3）对公司的员工要就其岗位职责进行有针对性地ISO培训及岗位培训。</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2160" w:type="dxa"/>
            <w:vAlign w:val="top"/>
          </w:tcPr>
          <w:p>
            <w:pPr>
              <w:tabs>
                <w:tab w:val="left" w:pos="7380"/>
              </w:tabs>
              <w:rPr>
                <w:rFonts w:hint="eastAsia" w:ascii="宋体" w:hAnsi="宋体" w:eastAsia="宋体" w:cs="Tahoma"/>
                <w:szCs w:val="21"/>
                <w:lang w:val="en-US" w:eastAsia="zh-CN"/>
              </w:rPr>
            </w:pPr>
            <w:r>
              <w:rPr>
                <w:rFonts w:hint="eastAsia" w:ascii="宋体" w:hAnsi="宋体" w:eastAsia="宋体" w:cs="Tahoma"/>
                <w:szCs w:val="21"/>
                <w:lang w:val="en-US" w:eastAsia="zh-CN"/>
              </w:rPr>
              <w:t>是否具备二阶段审核结论</w:t>
            </w:r>
          </w:p>
          <w:p>
            <w:pPr>
              <w:tabs>
                <w:tab w:val="left" w:pos="7380"/>
              </w:tabs>
              <w:rPr>
                <w:rFonts w:hint="eastAsia" w:ascii="宋体" w:hAnsi="宋体" w:eastAsia="宋体" w:cs="Tahoma"/>
                <w:szCs w:val="21"/>
                <w:lang w:val="en-US" w:eastAsia="zh-CN"/>
              </w:rPr>
            </w:pPr>
          </w:p>
          <w:p>
            <w:pPr>
              <w:spacing w:line="280" w:lineRule="exact"/>
              <w:rPr>
                <w:rFonts w:asciiTheme="minorEastAsia" w:hAnsiTheme="minorEastAsia" w:eastAsiaTheme="minorEastAsia" w:cstheme="minorEastAsia"/>
                <w:kern w:val="2"/>
                <w:sz w:val="21"/>
                <w:szCs w:val="21"/>
                <w:lang w:val="en-US" w:eastAsia="zh-CN" w:bidi="ar-SA"/>
              </w:rPr>
            </w:pPr>
            <w:r>
              <w:rPr>
                <w:rFonts w:hint="eastAsia" w:ascii="宋体" w:hAnsi="宋体" w:eastAsia="宋体" w:cs="Tahoma"/>
                <w:szCs w:val="21"/>
                <w:lang w:val="en-US" w:eastAsia="zh-CN"/>
              </w:rPr>
              <w:t>第二阶段重要审核点等相关内容</w:t>
            </w:r>
          </w:p>
        </w:tc>
        <w:tc>
          <w:tcPr>
            <w:tcW w:w="960" w:type="dxa"/>
            <w:vAlign w:val="top"/>
          </w:tcPr>
          <w:p>
            <w:pPr>
              <w:spacing w:line="280" w:lineRule="exact"/>
              <w:rPr>
                <w:rFonts w:asciiTheme="minorEastAsia" w:hAnsiTheme="minorEastAsia" w:eastAsiaTheme="minorEastAsia" w:cstheme="minorEastAsia"/>
                <w:kern w:val="2"/>
                <w:sz w:val="21"/>
                <w:szCs w:val="21"/>
                <w:lang w:val="en-US" w:eastAsia="zh-CN" w:bidi="ar-SA"/>
              </w:rPr>
            </w:pPr>
          </w:p>
        </w:tc>
        <w:tc>
          <w:tcPr>
            <w:tcW w:w="10943" w:type="dxa"/>
            <w:vAlign w:val="top"/>
          </w:tcPr>
          <w:p>
            <w:pPr>
              <w:tabs>
                <w:tab w:val="left" w:pos="7380"/>
              </w:tabs>
              <w:rPr>
                <w:rFonts w:hint="eastAsia" w:ascii="宋体" w:hAnsi="宋体" w:eastAsia="宋体" w:cs="Tahoma"/>
                <w:szCs w:val="21"/>
                <w:lang w:val="en-US" w:eastAsia="zh-CN"/>
              </w:rPr>
            </w:pPr>
            <w:r>
              <w:rPr>
                <w:rFonts w:hint="eastAsia" w:ascii="宋体" w:hAnsi="宋体" w:eastAsia="宋体" w:cs="Tahoma"/>
                <w:szCs w:val="21"/>
                <w:lang w:val="en-US" w:eastAsia="zh-CN"/>
              </w:rPr>
              <w:t>通过一阶段对受审核方的巡视和观察，对管理体系绩效要求有重大影响的过程、活动、场所和现场运行进行观察、巡视及总体性评价，组织具备二阶段审核条件，可进行二阶段审核。</w:t>
            </w:r>
          </w:p>
          <w:p>
            <w:pPr>
              <w:tabs>
                <w:tab w:val="left" w:pos="7380"/>
              </w:tabs>
              <w:rPr>
                <w:rFonts w:hint="eastAsia" w:ascii="宋体" w:hAnsi="宋体" w:eastAsia="宋体" w:cs="Tahoma"/>
                <w:szCs w:val="21"/>
                <w:lang w:val="en-US" w:eastAsia="zh-CN"/>
              </w:rPr>
            </w:pPr>
          </w:p>
          <w:p>
            <w:pPr>
              <w:tabs>
                <w:tab w:val="left" w:pos="7380"/>
              </w:tabs>
              <w:rPr>
                <w:rFonts w:hint="default" w:ascii="宋体" w:hAnsi="宋体" w:eastAsia="宋体" w:cs="Tahoma"/>
                <w:szCs w:val="21"/>
                <w:lang w:val="en-US" w:eastAsia="zh-CN"/>
              </w:rPr>
            </w:pPr>
            <w:r>
              <w:rPr>
                <w:rFonts w:hint="eastAsia" w:ascii="宋体" w:hAnsi="宋体" w:eastAsia="宋体" w:cs="Tahoma"/>
                <w:szCs w:val="21"/>
                <w:lang w:val="en-US" w:eastAsia="zh-CN"/>
              </w:rPr>
              <w:t>二阶段重点审核：</w:t>
            </w:r>
          </w:p>
          <w:p>
            <w:pPr>
              <w:tabs>
                <w:tab w:val="left" w:pos="7380"/>
              </w:tabs>
              <w:rPr>
                <w:rFonts w:hint="default" w:ascii="宋体" w:hAnsi="宋体" w:eastAsia="宋体" w:cs="Tahoma"/>
                <w:szCs w:val="21"/>
                <w:lang w:val="en-US" w:eastAsia="zh-CN"/>
              </w:rPr>
            </w:pPr>
            <w:r>
              <w:rPr>
                <w:rFonts w:hint="eastAsia" w:ascii="宋体" w:hAnsi="宋体" w:eastAsia="宋体" w:cs="Tahoma"/>
                <w:szCs w:val="21"/>
                <w:lang w:val="en-US" w:eastAsia="zh-CN"/>
              </w:rPr>
              <w:t>Q:</w:t>
            </w:r>
            <w:r>
              <w:t>园林绿化</w:t>
            </w:r>
            <w:r>
              <w:rPr>
                <w:rFonts w:hint="eastAsia" w:ascii="宋体" w:hAnsi="宋体" w:eastAsia="宋体" w:cs="Tahoma"/>
                <w:szCs w:val="21"/>
                <w:lang w:val="en-US" w:eastAsia="zh-CN"/>
              </w:rPr>
              <w:t>过程、检验过程、采购过程、销售过程等</w:t>
            </w:r>
          </w:p>
          <w:p>
            <w:pPr>
              <w:pStyle w:val="2"/>
              <w:rPr>
                <w:rFonts w:hint="default"/>
                <w:lang w:val="en-US" w:eastAsia="zh-CN"/>
              </w:rPr>
            </w:pPr>
            <w:bookmarkStart w:id="0" w:name="_GoBack"/>
            <w:bookmarkEnd w:id="0"/>
            <w:r>
              <w:rPr>
                <w:rFonts w:hint="eastAsia" w:ascii="宋体" w:hAnsi="宋体" w:eastAsia="宋体" w:cs="Tahoma"/>
                <w:szCs w:val="21"/>
                <w:lang w:val="en-US" w:eastAsia="zh-CN"/>
              </w:rPr>
              <w:t>O:危险源辨识、不可接受风险管理方案、相关方的信息沟通、应急准备和响应控制措施等</w:t>
            </w:r>
          </w:p>
          <w:p>
            <w:pPr>
              <w:tabs>
                <w:tab w:val="left" w:pos="7380"/>
              </w:tabs>
              <w:rPr>
                <w:rFonts w:hint="default" w:ascii="宋体" w:hAnsi="宋体" w:eastAsia="宋体" w:cs="Tahoma"/>
                <w:szCs w:val="21"/>
                <w:lang w:val="en-US" w:eastAsia="zh-CN"/>
              </w:rPr>
            </w:pPr>
            <w:r>
              <w:rPr>
                <w:rFonts w:hint="eastAsia" w:ascii="宋体" w:hAnsi="宋体" w:eastAsia="宋体" w:cs="Tahoma"/>
                <w:szCs w:val="21"/>
                <w:lang w:val="en-US" w:eastAsia="zh-CN"/>
              </w:rPr>
              <w:t>重点审核部门：综合部、工程部、项目部</w:t>
            </w:r>
          </w:p>
          <w:p>
            <w:pPr>
              <w:tabs>
                <w:tab w:val="left" w:pos="7380"/>
              </w:tabs>
              <w:rPr>
                <w:rFonts w:hint="eastAsia" w:ascii="宋体" w:hAnsi="宋体" w:eastAsia="宋体" w:cs="Tahoma"/>
                <w:szCs w:val="21"/>
                <w:lang w:val="en-US" w:eastAsia="zh-CN"/>
              </w:rPr>
            </w:pPr>
            <w:r>
              <w:rPr>
                <w:rFonts w:hint="eastAsia" w:ascii="宋体" w:hAnsi="宋体" w:eastAsia="宋体" w:cs="Tahoma"/>
                <w:szCs w:val="21"/>
                <w:lang w:val="en-US" w:eastAsia="zh-CN"/>
              </w:rPr>
              <w:t>重点审核过程：环境因素识别、风险识别评价、运行过程、监视和测量、不符合控制、合规性评价等。</w:t>
            </w:r>
          </w:p>
          <w:p>
            <w:pPr>
              <w:tabs>
                <w:tab w:val="left" w:pos="7380"/>
              </w:tabs>
              <w:rPr>
                <w:rFonts w:hint="default" w:ascii="宋体" w:hAnsi="宋体" w:eastAsia="宋体" w:cs="Tahoma"/>
                <w:szCs w:val="21"/>
                <w:lang w:val="en-US" w:eastAsia="zh-CN"/>
              </w:rPr>
            </w:pPr>
            <w:r>
              <w:rPr>
                <w:rFonts w:hint="eastAsia" w:ascii="宋体" w:hAnsi="宋体" w:eastAsia="宋体" w:cs="Tahoma"/>
                <w:szCs w:val="21"/>
                <w:lang w:val="en-US" w:eastAsia="zh-CN"/>
              </w:rPr>
              <w:t>重点审核场所：园林绿化场所、办公场所、销售场所</w:t>
            </w:r>
          </w:p>
          <w:p>
            <w:pPr>
              <w:ind w:firstLine="420" w:firstLineChars="200"/>
              <w:rPr>
                <w:rFonts w:hint="eastAsia" w:ascii="Times New Roman" w:hAnsi="Times New Roman" w:cs="Times New Roman" w:eastAsiaTheme="minorEastAsia"/>
                <w:kern w:val="2"/>
                <w:sz w:val="21"/>
                <w:lang w:val="en-US" w:eastAsia="zh-CN" w:bidi="ar-SA"/>
              </w:rPr>
            </w:pPr>
            <w:r>
              <w:rPr>
                <w:rFonts w:hint="eastAsia" w:ascii="宋体" w:hAnsi="宋体" w:eastAsia="宋体" w:cs="Tahoma"/>
                <w:szCs w:val="21"/>
                <w:lang w:val="en-US" w:eastAsia="zh-CN"/>
              </w:rPr>
              <w:t>审核时间：2020.10.22-24</w:t>
            </w:r>
          </w:p>
        </w:tc>
        <w:tc>
          <w:tcPr>
            <w:tcW w:w="646" w:type="dxa"/>
          </w:tcPr>
          <w:p>
            <w:pPr>
              <w:rPr>
                <w:rFonts w:ascii="宋体" w:hAnsi="宋体" w:cs="宋体"/>
                <w:szCs w:val="21"/>
              </w:rPr>
            </w:pPr>
          </w:p>
        </w:tc>
      </w:tr>
    </w:tbl>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rPr>
        <w:lang w:val="en-GB"/>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decimal"/>
      <w:lvlText w:val="%1）"/>
      <w:lvlJc w:val="left"/>
      <w:pPr>
        <w:tabs>
          <w:tab w:val="left" w:pos="840"/>
        </w:tabs>
        <w:ind w:left="840" w:hanging="420"/>
      </w:pPr>
      <w:rPr>
        <w:rFonts w:ascii="Times New Roman" w:hAnsi="Times New Roman" w:eastAsia="宋体" w:cs="Times New Roman"/>
      </w:rPr>
    </w:lvl>
    <w:lvl w:ilvl="1" w:tentative="0">
      <w:start w:val="1"/>
      <w:numFmt w:val="decimal"/>
      <w:lvlText w:val="%2、"/>
      <w:lvlJc w:val="left"/>
      <w:pPr>
        <w:tabs>
          <w:tab w:val="left" w:pos="1560"/>
        </w:tabs>
        <w:ind w:left="1560" w:hanging="720"/>
      </w:pPr>
      <w:rPr>
        <w:rFonts w:hint="default"/>
      </w:rPr>
    </w:lvl>
    <w:lvl w:ilvl="2" w:tentative="0">
      <w:start w:val="5"/>
      <w:numFmt w:val="japaneseCounting"/>
      <w:lvlText w:val="第%3章"/>
      <w:lvlJc w:val="left"/>
      <w:pPr>
        <w:tabs>
          <w:tab w:val="left" w:pos="2130"/>
        </w:tabs>
        <w:ind w:left="2130" w:hanging="870"/>
      </w:pPr>
      <w:rPr>
        <w:rFonts w:hint="default"/>
      </w:r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35D63"/>
    <w:rsid w:val="001A2D7F"/>
    <w:rsid w:val="001C5D0F"/>
    <w:rsid w:val="00321332"/>
    <w:rsid w:val="00337922"/>
    <w:rsid w:val="00340867"/>
    <w:rsid w:val="00380837"/>
    <w:rsid w:val="003A198A"/>
    <w:rsid w:val="00410914"/>
    <w:rsid w:val="004F3195"/>
    <w:rsid w:val="00536930"/>
    <w:rsid w:val="00564E53"/>
    <w:rsid w:val="005B1D35"/>
    <w:rsid w:val="00630243"/>
    <w:rsid w:val="00644FE2"/>
    <w:rsid w:val="0067640C"/>
    <w:rsid w:val="0069544D"/>
    <w:rsid w:val="006E678B"/>
    <w:rsid w:val="007757F3"/>
    <w:rsid w:val="007E6AEB"/>
    <w:rsid w:val="00800BF2"/>
    <w:rsid w:val="008078E9"/>
    <w:rsid w:val="00886C4E"/>
    <w:rsid w:val="008973EE"/>
    <w:rsid w:val="00971600"/>
    <w:rsid w:val="009973B4"/>
    <w:rsid w:val="009A2DE9"/>
    <w:rsid w:val="009C28C1"/>
    <w:rsid w:val="009F7EED"/>
    <w:rsid w:val="00A53A38"/>
    <w:rsid w:val="00AF0AAB"/>
    <w:rsid w:val="00B740E7"/>
    <w:rsid w:val="00BF597E"/>
    <w:rsid w:val="00C51A36"/>
    <w:rsid w:val="00C55228"/>
    <w:rsid w:val="00C952AC"/>
    <w:rsid w:val="00CE315A"/>
    <w:rsid w:val="00D06F59"/>
    <w:rsid w:val="00D8388C"/>
    <w:rsid w:val="00EB0164"/>
    <w:rsid w:val="00ED0F62"/>
    <w:rsid w:val="00F82BD2"/>
    <w:rsid w:val="01486283"/>
    <w:rsid w:val="03DC0FCC"/>
    <w:rsid w:val="04343D46"/>
    <w:rsid w:val="044D4B75"/>
    <w:rsid w:val="045B56B3"/>
    <w:rsid w:val="04BA6B7A"/>
    <w:rsid w:val="05CD7495"/>
    <w:rsid w:val="06433CF5"/>
    <w:rsid w:val="071800C4"/>
    <w:rsid w:val="083C5F43"/>
    <w:rsid w:val="08537734"/>
    <w:rsid w:val="08815A9C"/>
    <w:rsid w:val="08A81132"/>
    <w:rsid w:val="09525E59"/>
    <w:rsid w:val="09BC26C5"/>
    <w:rsid w:val="0AF255BC"/>
    <w:rsid w:val="0BEC1E27"/>
    <w:rsid w:val="0D3A6D3B"/>
    <w:rsid w:val="0D9D1D5C"/>
    <w:rsid w:val="0E897CBB"/>
    <w:rsid w:val="0EC76BFE"/>
    <w:rsid w:val="108219C2"/>
    <w:rsid w:val="10BD58B0"/>
    <w:rsid w:val="10CC02BD"/>
    <w:rsid w:val="13EF2575"/>
    <w:rsid w:val="1493723D"/>
    <w:rsid w:val="156E2556"/>
    <w:rsid w:val="157849C1"/>
    <w:rsid w:val="15AD0276"/>
    <w:rsid w:val="16130100"/>
    <w:rsid w:val="17A24658"/>
    <w:rsid w:val="17E90890"/>
    <w:rsid w:val="186E7010"/>
    <w:rsid w:val="18833F23"/>
    <w:rsid w:val="19006116"/>
    <w:rsid w:val="192A3AB8"/>
    <w:rsid w:val="19921EE7"/>
    <w:rsid w:val="1A2C47DF"/>
    <w:rsid w:val="1A5805CF"/>
    <w:rsid w:val="1B846EE2"/>
    <w:rsid w:val="1C701804"/>
    <w:rsid w:val="1CAE3BF5"/>
    <w:rsid w:val="1CB93E63"/>
    <w:rsid w:val="1D224A40"/>
    <w:rsid w:val="1D553A9B"/>
    <w:rsid w:val="1D557804"/>
    <w:rsid w:val="1DA96624"/>
    <w:rsid w:val="1EA12B27"/>
    <w:rsid w:val="1EBF7DFB"/>
    <w:rsid w:val="1F517785"/>
    <w:rsid w:val="1FCB2501"/>
    <w:rsid w:val="1FD6378B"/>
    <w:rsid w:val="2098573E"/>
    <w:rsid w:val="20DA078C"/>
    <w:rsid w:val="21D85A19"/>
    <w:rsid w:val="235E3FCA"/>
    <w:rsid w:val="246D2075"/>
    <w:rsid w:val="249D1B51"/>
    <w:rsid w:val="258C1377"/>
    <w:rsid w:val="25B63D74"/>
    <w:rsid w:val="26EF525E"/>
    <w:rsid w:val="272F0E48"/>
    <w:rsid w:val="27B32443"/>
    <w:rsid w:val="27F35084"/>
    <w:rsid w:val="28D83944"/>
    <w:rsid w:val="28FE2F29"/>
    <w:rsid w:val="2AC46F78"/>
    <w:rsid w:val="2AF844C7"/>
    <w:rsid w:val="2C3A2852"/>
    <w:rsid w:val="2D546CAF"/>
    <w:rsid w:val="2D5E512C"/>
    <w:rsid w:val="2DA74856"/>
    <w:rsid w:val="2F5C7822"/>
    <w:rsid w:val="308A61A3"/>
    <w:rsid w:val="31631119"/>
    <w:rsid w:val="330904BA"/>
    <w:rsid w:val="345F4D69"/>
    <w:rsid w:val="34617585"/>
    <w:rsid w:val="348E0B61"/>
    <w:rsid w:val="34B30427"/>
    <w:rsid w:val="35EB5546"/>
    <w:rsid w:val="379B573F"/>
    <w:rsid w:val="37A51D10"/>
    <w:rsid w:val="38E16034"/>
    <w:rsid w:val="399F0E61"/>
    <w:rsid w:val="39B0398A"/>
    <w:rsid w:val="3A135DBE"/>
    <w:rsid w:val="3B115DC4"/>
    <w:rsid w:val="3B227900"/>
    <w:rsid w:val="3DB575F2"/>
    <w:rsid w:val="3FE4412B"/>
    <w:rsid w:val="40134513"/>
    <w:rsid w:val="40C4529F"/>
    <w:rsid w:val="41BF7F6C"/>
    <w:rsid w:val="424B7984"/>
    <w:rsid w:val="43613655"/>
    <w:rsid w:val="45256947"/>
    <w:rsid w:val="454511DF"/>
    <w:rsid w:val="458C0DD7"/>
    <w:rsid w:val="46FC186C"/>
    <w:rsid w:val="48E731AA"/>
    <w:rsid w:val="49046B1C"/>
    <w:rsid w:val="4AF12E50"/>
    <w:rsid w:val="4B8F4629"/>
    <w:rsid w:val="4D034732"/>
    <w:rsid w:val="4D115CB9"/>
    <w:rsid w:val="4D226AAC"/>
    <w:rsid w:val="4DA45115"/>
    <w:rsid w:val="505E674E"/>
    <w:rsid w:val="50DE4DBD"/>
    <w:rsid w:val="51C3292E"/>
    <w:rsid w:val="51F65C49"/>
    <w:rsid w:val="52EA70C8"/>
    <w:rsid w:val="52F26A7F"/>
    <w:rsid w:val="554E28FE"/>
    <w:rsid w:val="566C2870"/>
    <w:rsid w:val="57B57DBB"/>
    <w:rsid w:val="58DF190E"/>
    <w:rsid w:val="58F13324"/>
    <w:rsid w:val="59441620"/>
    <w:rsid w:val="5B8E2D5D"/>
    <w:rsid w:val="5C0430D5"/>
    <w:rsid w:val="5CD91574"/>
    <w:rsid w:val="5D0E28AF"/>
    <w:rsid w:val="5EA12B9A"/>
    <w:rsid w:val="61495338"/>
    <w:rsid w:val="61A11EA0"/>
    <w:rsid w:val="62CB5E8E"/>
    <w:rsid w:val="62F25759"/>
    <w:rsid w:val="63511FA7"/>
    <w:rsid w:val="63663611"/>
    <w:rsid w:val="645158D0"/>
    <w:rsid w:val="6496711E"/>
    <w:rsid w:val="64B47601"/>
    <w:rsid w:val="64B52C73"/>
    <w:rsid w:val="64C75CF6"/>
    <w:rsid w:val="64E67A77"/>
    <w:rsid w:val="65631D09"/>
    <w:rsid w:val="65F3314E"/>
    <w:rsid w:val="6728581E"/>
    <w:rsid w:val="674B7AEA"/>
    <w:rsid w:val="67A07670"/>
    <w:rsid w:val="68056E47"/>
    <w:rsid w:val="68194C3B"/>
    <w:rsid w:val="69372D96"/>
    <w:rsid w:val="69C55CFF"/>
    <w:rsid w:val="6A12542A"/>
    <w:rsid w:val="6C4C3A45"/>
    <w:rsid w:val="6C6939C3"/>
    <w:rsid w:val="6E311877"/>
    <w:rsid w:val="6E336B29"/>
    <w:rsid w:val="6EA2154F"/>
    <w:rsid w:val="6ED45DD7"/>
    <w:rsid w:val="6F4021E5"/>
    <w:rsid w:val="70E2745F"/>
    <w:rsid w:val="7111286E"/>
    <w:rsid w:val="713E1B08"/>
    <w:rsid w:val="71701991"/>
    <w:rsid w:val="71A150C1"/>
    <w:rsid w:val="72340CB9"/>
    <w:rsid w:val="72DE46DF"/>
    <w:rsid w:val="730846B2"/>
    <w:rsid w:val="7480693E"/>
    <w:rsid w:val="74983E64"/>
    <w:rsid w:val="761A29D2"/>
    <w:rsid w:val="77107979"/>
    <w:rsid w:val="77144069"/>
    <w:rsid w:val="780B6495"/>
    <w:rsid w:val="7A8D6040"/>
    <w:rsid w:val="7BDD4178"/>
    <w:rsid w:val="7C5A28BF"/>
    <w:rsid w:val="7E42085A"/>
    <w:rsid w:val="7F542F90"/>
    <w:rsid w:val="7FC01F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Header Char"/>
    <w:basedOn w:val="7"/>
    <w:link w:val="5"/>
    <w:qFormat/>
    <w:uiPriority w:val="99"/>
    <w:rPr>
      <w:rFonts w:ascii="Times New Roman" w:hAnsi="Times New Roman" w:eastAsia="宋体" w:cs="Times New Roman"/>
      <w:sz w:val="18"/>
      <w:szCs w:val="18"/>
    </w:rPr>
  </w:style>
  <w:style w:type="character" w:customStyle="1" w:styleId="9">
    <w:name w:val="Footer Char"/>
    <w:basedOn w:val="7"/>
    <w:link w:val="4"/>
    <w:qFormat/>
    <w:uiPriority w:val="99"/>
    <w:rPr>
      <w:rFonts w:ascii="Times New Roman" w:hAnsi="Times New Roman" w:eastAsia="宋体" w:cs="Times New Roman"/>
      <w:sz w:val="18"/>
      <w:szCs w:val="18"/>
    </w:rPr>
  </w:style>
  <w:style w:type="character" w:customStyle="1" w:styleId="10">
    <w:name w:val="Balloon Text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styleId="12">
    <w:name w:val="List Paragraph"/>
    <w:basedOn w:val="1"/>
    <w:uiPriority w:val="99"/>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TUV</Company>
  <Pages>6</Pages>
  <Words>461</Words>
  <Characters>2628</Characters>
  <Lines>21</Lines>
  <Paragraphs>6</Paragraphs>
  <TotalTime>0</TotalTime>
  <ScaleCrop>false</ScaleCrop>
  <LinksUpToDate>false</LinksUpToDate>
  <CharactersWithSpaces>3083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86136</cp:lastModifiedBy>
  <dcterms:modified xsi:type="dcterms:W3CDTF">2020-10-25T14:58:41Z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