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受审核部门：综合部 （含财务）          主管领导：肖立恒     陪同人员：王丽丽</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年1</w:t>
            </w:r>
            <w:r>
              <w:rPr>
                <w:rFonts w:ascii="宋体" w:hAnsi="宋体" w:cs="宋体"/>
                <w:szCs w:val="21"/>
              </w:rPr>
              <w:t>0</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szCs w:val="21"/>
              </w:rPr>
            </w:pPr>
            <w:bookmarkStart w:id="0" w:name="_GoBack"/>
            <w:bookmarkEnd w:id="0"/>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Q/S5.3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主持综合部经理工作；</w:t>
            </w:r>
          </w:p>
          <w:p>
            <w:pPr>
              <w:spacing w:line="360" w:lineRule="auto"/>
              <w:ind w:firstLine="420" w:firstLineChars="200"/>
            </w:pPr>
            <w:r>
              <w:rPr>
                <w:rFonts w:hint="eastAsia"/>
              </w:rPr>
              <w:t>协助管理者代表组建公司的 质量、环境、职业健康安全管理体系，并协助维持体系的运行和持续改进；</w:t>
            </w:r>
          </w:p>
          <w:p>
            <w:pPr>
              <w:spacing w:line="360" w:lineRule="auto"/>
              <w:ind w:firstLine="420" w:firstLineChars="200"/>
            </w:pPr>
            <w:r>
              <w:rPr>
                <w:rFonts w:hint="eastAsia"/>
              </w:rPr>
              <w:t>负责《管理手册》、《程序文件》等质量管理体系文件的标识、编号、发放、回收、处置等控制管理</w:t>
            </w:r>
          </w:p>
          <w:p>
            <w:pPr>
              <w:spacing w:line="360" w:lineRule="auto"/>
              <w:ind w:firstLine="420" w:firstLineChars="200"/>
              <w:rPr>
                <w:rFonts w:hint="eastAsia" w:ascii="宋体" w:hAnsi="宋体" w:eastAsia="宋体" w:cs="宋体"/>
                <w:szCs w:val="21"/>
                <w:lang w:val="en-US" w:eastAsia="zh-CN"/>
              </w:rPr>
            </w:pPr>
            <w:r>
              <w:rPr>
                <w:rFonts w:hint="eastAsia"/>
              </w:rPr>
              <w:t>组织负责公司内审工作</w:t>
            </w:r>
            <w:r>
              <w:rPr>
                <w:rFonts w:hint="eastAsia"/>
                <w:lang w:val="en-US" w:eastAsia="zh-CN"/>
              </w:rPr>
              <w:t>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Q/S6.1.1</w:t>
            </w:r>
          </w:p>
          <w:p>
            <w:pPr>
              <w:spacing w:line="280" w:lineRule="exact"/>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spacing w:line="360" w:lineRule="auto"/>
              <w:ind w:firstLine="420" w:firstLineChars="200"/>
              <w:rPr>
                <w:rFonts w:ascii="宋体" w:hAnsi="宋体" w:cs="宋体"/>
                <w:szCs w:val="21"/>
              </w:rPr>
            </w:pPr>
            <w:r>
              <w:rPr>
                <w:rFonts w:hint="eastAsia" w:ascii="宋体" w:hAnsi="宋体" w:cs="宋体"/>
                <w:szCs w:val="21"/>
              </w:rPr>
              <w:t>主要措施确定战略加强采购、存储、销售环节环保控制；通过差异化策略提高竞争力。效果待观察。机遇主要是现在水利设备需求和汽车加工社会需求不断增多。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t>S</w:t>
            </w:r>
            <w:r>
              <w:rPr>
                <w:rFonts w:hint="eastAsia"/>
              </w:rPr>
              <w:t>6.1.2</w:t>
            </w:r>
          </w:p>
          <w:p>
            <w:pPr>
              <w:spacing w:line="280" w:lineRule="exact"/>
            </w:pPr>
          </w:p>
          <w:p>
            <w:pPr>
              <w:pStyle w:val="2"/>
            </w:pPr>
          </w:p>
        </w:tc>
        <w:tc>
          <w:tcPr>
            <w:tcW w:w="10943"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危险源辨识、风险评价和风险控制程序》A/0版本，确保公司在所有管理活动或服务过程中能最大限度、充分地进行危险源辨识与风险性评价，确定不可接受风险并及时更新，实现对危险源与不可接受风险的有效控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提供了《危险源辨识、风险评价和控制措施的确定表》，对活动场所产生的危险源辨识并进行风险评价，以确定控制措施，经查阅已辨识：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不可接受风险</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项：潜在火灾、触电、</w:t>
            </w:r>
            <w:r>
              <w:rPr>
                <w:rFonts w:hint="eastAsia" w:asciiTheme="minorEastAsia" w:hAnsiTheme="minorEastAsia" w:eastAsiaTheme="minorEastAsia" w:cstheme="minorEastAsia"/>
                <w:szCs w:val="21"/>
                <w:lang w:val="en-US" w:eastAsia="zh-CN"/>
              </w:rPr>
              <w:t>意外</w:t>
            </w:r>
            <w:r>
              <w:rPr>
                <w:rFonts w:hint="eastAsia" w:asciiTheme="minorEastAsia" w:hAnsiTheme="minorEastAsia" w:eastAsiaTheme="minorEastAsia" w:cstheme="minorEastAsia"/>
                <w:szCs w:val="21"/>
              </w:rPr>
              <w:t>伤害等</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szCs w:val="21"/>
              </w:rPr>
              <w:t>S</w:t>
            </w:r>
            <w:r>
              <w:rPr>
                <w:rFonts w:hint="eastAsia"/>
                <w:szCs w:val="21"/>
              </w:rPr>
              <w:t>6.1.3</w:t>
            </w:r>
          </w:p>
          <w:p>
            <w:pPr>
              <w:spacing w:line="280" w:lineRule="exact"/>
              <w:rPr>
                <w:rFonts w:ascii="宋体" w:hAnsi="宋体" w:cs="宋体"/>
                <w:szCs w:val="21"/>
              </w:rPr>
            </w:pPr>
          </w:p>
        </w:tc>
        <w:tc>
          <w:tcPr>
            <w:tcW w:w="10943" w:type="dxa"/>
          </w:tcPr>
          <w:p>
            <w:pPr>
              <w:snapToGrid w:val="0"/>
              <w:spacing w:line="280" w:lineRule="exact"/>
              <w:jc w:val="left"/>
            </w:pPr>
            <w:r>
              <w:rPr>
                <w:rFonts w:hint="eastAsia"/>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pPr>
            <w:r>
              <w:rPr>
                <w:rFonts w:hint="eastAsia"/>
              </w:rPr>
              <w:t>提供了《法律法规清单》，对《中华人民共和国安全生产法》、《中华人民共和国安全生产法》、《中华人民共和国食品卫生法》、《劳动防护用品管理规定》、《国家职业卫生标准管理办法》、《企业职工劳动安全卫生教育管理规定》、《劳动防护用品选用规则》、《生产过程危险和有害因素》、《女职工劳动保护规定》，《北京市人民政府关于进一步明确责任加强新型冠状病毒感染的肺炎预防控制工作的通知》等</w:t>
            </w:r>
          </w:p>
          <w:p>
            <w:pPr>
              <w:snapToGrid w:val="0"/>
              <w:spacing w:line="280" w:lineRule="exact"/>
              <w:jc w:val="left"/>
            </w:pPr>
            <w:r>
              <w:rPr>
                <w:rFonts w:hint="eastAsia"/>
              </w:rPr>
              <w:t>北京市安全生产条例</w:t>
            </w:r>
          </w:p>
          <w:p>
            <w:pPr>
              <w:snapToGrid w:val="0"/>
              <w:spacing w:line="280" w:lineRule="exact"/>
              <w:jc w:val="left"/>
            </w:pPr>
            <w:r>
              <w:rPr>
                <w:rFonts w:hint="eastAsia"/>
              </w:rPr>
              <w:t>北京市职业病防治卫生监督条例</w:t>
            </w:r>
          </w:p>
          <w:p>
            <w:pPr>
              <w:snapToGrid w:val="0"/>
              <w:spacing w:line="280" w:lineRule="exact"/>
              <w:jc w:val="left"/>
            </w:pPr>
            <w:r>
              <w:rPr>
                <w:rFonts w:hint="eastAsia"/>
              </w:rPr>
              <w:t>北京市消防条例</w:t>
            </w:r>
          </w:p>
          <w:p>
            <w:pPr>
              <w:snapToGrid w:val="0"/>
              <w:spacing w:line="280" w:lineRule="exact"/>
              <w:jc w:val="left"/>
            </w:pPr>
            <w:r>
              <w:rPr>
                <w:rFonts w:hint="eastAsia"/>
              </w:rPr>
              <w:t>北京市实施&lt;工伤保险条例&gt;办法</w:t>
            </w:r>
          </w:p>
          <w:p>
            <w:pPr>
              <w:snapToGrid w:val="0"/>
              <w:spacing w:line="280" w:lineRule="exact"/>
              <w:jc w:val="left"/>
            </w:pPr>
            <w:r>
              <w:rPr>
                <w:rFonts w:hint="eastAsia"/>
              </w:rPr>
              <w:t>北京市劳动保护监察条例</w:t>
            </w:r>
          </w:p>
          <w:p>
            <w:pPr>
              <w:snapToGrid w:val="0"/>
              <w:spacing w:line="280" w:lineRule="exact"/>
              <w:jc w:val="left"/>
            </w:pPr>
            <w:r>
              <w:rPr>
                <w:rFonts w:hint="eastAsia"/>
              </w:rPr>
              <w:t>北京市实施《女职工劳动保护规定》的若干规定等</w:t>
            </w:r>
          </w:p>
          <w:p>
            <w:pPr>
              <w:snapToGrid w:val="0"/>
              <w:spacing w:line="280" w:lineRule="exact"/>
              <w:jc w:val="left"/>
            </w:pPr>
            <w:r>
              <w:rPr>
                <w:rFonts w:hint="eastAsia"/>
              </w:rPr>
              <w:t>公司得法律法规识别比较全面，对标准职业健康安全方面法律法规与其他要求均列入了清单，收集基本齐全，收集部门行政部，编制-综合部 ，审核- 张志刚， 批准- 程培培 ，时间 2020.0</w:t>
            </w:r>
            <w:r>
              <w:t>5</w:t>
            </w:r>
            <w:r>
              <w:rPr>
                <w:rFonts w:hint="eastAsia"/>
              </w:rPr>
              <w:t>.10更新。</w:t>
            </w:r>
          </w:p>
          <w:p>
            <w:pPr>
              <w:snapToGrid w:val="0"/>
              <w:spacing w:line="280" w:lineRule="exact"/>
              <w:jc w:val="left"/>
            </w:pPr>
            <w:r>
              <w:rPr>
                <w:rFonts w:hint="eastAsia"/>
              </w:rPr>
              <w:t>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numPr>
                <w:ilvl w:val="0"/>
                <w:numId w:val="1"/>
              </w:numPr>
              <w:spacing w:after="0" w:line="340" w:lineRule="exact"/>
              <w:rPr>
                <w:rFonts w:hint="eastAsia"/>
                <w:szCs w:val="21"/>
              </w:rPr>
            </w:pPr>
            <w:r>
              <w:rPr>
                <w:rFonts w:hint="eastAsia"/>
                <w:szCs w:val="21"/>
              </w:rPr>
              <w:t>项目质量合格率：98%以上；</w:t>
            </w:r>
          </w:p>
          <w:p>
            <w:pPr>
              <w:numPr>
                <w:ilvl w:val="0"/>
                <w:numId w:val="1"/>
              </w:numPr>
              <w:spacing w:after="0" w:line="340" w:lineRule="exact"/>
              <w:rPr>
                <w:rFonts w:hint="eastAsia"/>
                <w:szCs w:val="21"/>
              </w:rPr>
            </w:pPr>
            <w:r>
              <w:rPr>
                <w:rFonts w:hint="eastAsia"/>
                <w:szCs w:val="21"/>
              </w:rPr>
              <w:t>顾客满意程度：95%以上；</w:t>
            </w:r>
          </w:p>
          <w:p>
            <w:pPr>
              <w:numPr>
                <w:ilvl w:val="0"/>
                <w:numId w:val="1"/>
              </w:numPr>
              <w:spacing w:after="0" w:line="340" w:lineRule="exact"/>
              <w:rPr>
                <w:szCs w:val="21"/>
              </w:rPr>
            </w:pPr>
            <w:r>
              <w:rPr>
                <w:rFonts w:hint="eastAsia"/>
                <w:szCs w:val="21"/>
              </w:rPr>
              <w:t>固体废弃物：分类收集回收率100%；</w:t>
            </w:r>
          </w:p>
          <w:p>
            <w:pPr>
              <w:numPr>
                <w:ilvl w:val="0"/>
                <w:numId w:val="1"/>
              </w:numPr>
              <w:spacing w:after="0" w:line="340" w:lineRule="exact"/>
              <w:rPr>
                <w:szCs w:val="21"/>
              </w:rPr>
            </w:pPr>
            <w:r>
              <w:rPr>
                <w:rFonts w:hint="eastAsia"/>
                <w:szCs w:val="21"/>
              </w:rPr>
              <w:t>环境污染事故发生率为0；</w:t>
            </w:r>
          </w:p>
          <w:p>
            <w:pPr>
              <w:numPr>
                <w:ilvl w:val="0"/>
                <w:numId w:val="1"/>
              </w:numPr>
              <w:spacing w:after="0" w:line="340" w:lineRule="exact"/>
              <w:rPr>
                <w:rFonts w:hint="eastAsia"/>
                <w:szCs w:val="21"/>
              </w:rPr>
            </w:pPr>
            <w:r>
              <w:rPr>
                <w:rFonts w:hint="eastAsia"/>
                <w:szCs w:val="21"/>
              </w:rPr>
              <w:t>火灾发生率0 ；</w:t>
            </w:r>
          </w:p>
          <w:p>
            <w:pPr>
              <w:numPr>
                <w:ilvl w:val="0"/>
                <w:numId w:val="1"/>
              </w:numPr>
              <w:spacing w:after="0" w:line="340" w:lineRule="exact"/>
              <w:rPr>
                <w:rFonts w:hint="eastAsia"/>
                <w:szCs w:val="21"/>
              </w:rPr>
            </w:pPr>
            <w:r>
              <w:rPr>
                <w:rFonts w:hint="eastAsia"/>
                <w:szCs w:val="21"/>
              </w:rPr>
              <w:t>6）无重大安全事件发生</w:t>
            </w:r>
          </w:p>
          <w:p>
            <w:pPr>
              <w:spacing w:line="280" w:lineRule="exact"/>
              <w:ind w:firstLine="420" w:firstLineChars="200"/>
              <w:rPr>
                <w:szCs w:val="21"/>
              </w:rPr>
            </w:pPr>
            <w:r>
              <w:rPr>
                <w:szCs w:val="21"/>
              </w:rPr>
              <w:t xml:space="preserve">                     </w:t>
            </w:r>
          </w:p>
          <w:p>
            <w:pPr>
              <w:spacing w:line="280" w:lineRule="exact"/>
              <w:ind w:firstLine="420" w:firstLineChars="200"/>
              <w:rPr>
                <w:szCs w:val="21"/>
              </w:rPr>
            </w:pPr>
            <w:r>
              <w:rPr>
                <w:rFonts w:hint="eastAsia"/>
                <w:szCs w:val="21"/>
              </w:rPr>
              <w:t>目标均可量化可测量，提供目标统计表。最近一次20</w:t>
            </w:r>
            <w:r>
              <w:rPr>
                <w:szCs w:val="21"/>
              </w:rPr>
              <w:t>20</w:t>
            </w:r>
            <w:r>
              <w:rPr>
                <w:rFonts w:hint="eastAsia"/>
                <w:szCs w:val="21"/>
              </w:rPr>
              <w:t>.3月考核，行政部管理目标均已完成。考核人：查、张志刚。针对以上目标，公司针对火灾、废弃物、意外伤害制定了相应管理方案，内容涉及：方法措施、执行部门、负责人、预算、完成日期等。编制：综合部   审核：张志刚     批准：程培培</w:t>
            </w:r>
          </w:p>
          <w:p>
            <w:pPr>
              <w:spacing w:line="280" w:lineRule="exact"/>
              <w:ind w:firstLine="420" w:firstLineChars="200"/>
              <w:rPr>
                <w:szCs w:val="21"/>
              </w:rPr>
            </w:pPr>
            <w:r>
              <w:rPr>
                <w:rFonts w:hint="eastAsia"/>
                <w:szCs w:val="21"/>
              </w:rPr>
              <w:t>抽查：火灾发生率为0。方法措施：定期检查电器设备，发现问题及时反馈，成立应急预案小组，对发生火灾及时处理，详见“火灾应急预案”；防止意外伤害，加强培训不断提高安全意识。执行部门：各部门、负责人：王晓明， 完成日期：持续执行</w:t>
            </w:r>
          </w:p>
          <w:p>
            <w:pPr>
              <w:spacing w:line="280" w:lineRule="exact"/>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center"/>
          </w:tcPr>
          <w:p>
            <w:r>
              <w:rPr>
                <w:rFonts w:hint="eastAsia" w:cs="Lucida Sans"/>
                <w:b/>
              </w:rPr>
              <w:t>基础设施</w:t>
            </w:r>
          </w:p>
        </w:tc>
        <w:tc>
          <w:tcPr>
            <w:tcW w:w="960" w:type="dxa"/>
            <w:vAlign w:val="center"/>
          </w:tcPr>
          <w:p>
            <w:r>
              <w:rPr>
                <w:rFonts w:hint="eastAsia" w:cs="Lucida Sans"/>
                <w:b/>
              </w:rPr>
              <w:t>Q</w:t>
            </w:r>
            <w:r>
              <w:rPr>
                <w:rFonts w:cs="Lucida Sans"/>
                <w:b/>
              </w:rPr>
              <w:t>7.1.3</w:t>
            </w:r>
          </w:p>
        </w:tc>
        <w:tc>
          <w:tcPr>
            <w:tcW w:w="10943" w:type="dxa"/>
            <w:vAlign w:val="center"/>
          </w:tcPr>
          <w:p>
            <w:pPr>
              <w:spacing w:line="360" w:lineRule="auto"/>
              <w:ind w:firstLine="420" w:firstLineChars="200"/>
              <w:rPr>
                <w:color w:val="000000" w:themeColor="text1"/>
              </w:rPr>
            </w:pPr>
            <w:r>
              <w:rPr>
                <w:rFonts w:hint="eastAsia"/>
                <w:color w:val="000000" w:themeColor="text1"/>
              </w:rPr>
              <w:t>公司地址：北京市通州区宋庄镇小堡村艺术东区</w:t>
            </w:r>
          </w:p>
          <w:p>
            <w:pPr>
              <w:spacing w:line="360" w:lineRule="auto"/>
              <w:ind w:firstLine="420" w:firstLineChars="200"/>
              <w:rPr>
                <w:color w:val="000000" w:themeColor="text1"/>
              </w:rPr>
            </w:pPr>
            <w:r>
              <w:rPr>
                <w:rFonts w:hint="eastAsia"/>
                <w:color w:val="000000" w:themeColor="text1"/>
              </w:rPr>
              <w:t>有配套的电脑、打印机、电话及环保消防设备</w:t>
            </w:r>
          </w:p>
          <w:p>
            <w:pPr>
              <w:spacing w:line="360" w:lineRule="auto"/>
              <w:ind w:firstLine="420" w:firstLineChars="200"/>
              <w:rPr>
                <w:color w:val="000000" w:themeColor="text1"/>
              </w:rPr>
            </w:pPr>
            <w:r>
              <w:rPr>
                <w:rFonts w:hint="eastAsia"/>
                <w:color w:val="000000" w:themeColor="text1"/>
              </w:rPr>
              <w:t>有办公设备电脑、办公桌椅、电脑、电话</w:t>
            </w:r>
          </w:p>
          <w:p>
            <w:pPr>
              <w:spacing w:line="360" w:lineRule="auto"/>
              <w:ind w:firstLine="420" w:firstLineChars="200"/>
              <w:rPr>
                <w:color w:val="000000" w:themeColor="text1"/>
              </w:rPr>
            </w:pPr>
            <w:r>
              <w:rPr>
                <w:rFonts w:hint="eastAsia"/>
                <w:color w:val="000000" w:themeColor="text1"/>
              </w:rPr>
              <w:t>有具有专业的销售人员、办公人员、库房管理人员，经过核实，企业人数为6人。</w:t>
            </w:r>
          </w:p>
          <w:p>
            <w:pPr>
              <w:rPr>
                <w:color w:val="000000" w:themeColor="text1"/>
              </w:rPr>
            </w:pPr>
            <w:r>
              <w:rPr>
                <w:rFonts w:hint="eastAsia"/>
                <w:color w:val="000000" w:themeColor="text1"/>
              </w:rPr>
              <w:t xml:space="preserve">   特殊岗位人员：无特殊岗位人员</w:t>
            </w:r>
          </w:p>
          <w:p>
            <w:pPr>
              <w:pStyle w:val="2"/>
            </w:pPr>
            <w:r>
              <w:rPr>
                <w:rFonts w:hint="eastAsia"/>
              </w:rPr>
              <w:t>主要设备制定保养计划，分为一级、二级、三级保养。</w:t>
            </w:r>
          </w:p>
          <w:p>
            <w:pPr>
              <w:rPr>
                <w:rFonts w:cs="Lucida Sans"/>
                <w:bCs/>
                <w:color w:val="000000" w:themeColor="text1"/>
              </w:rPr>
            </w:pPr>
            <w:r>
              <w:rPr>
                <w:rFonts w:hint="eastAsia" w:cs="Lucida Sans"/>
                <w:bCs/>
              </w:rPr>
              <w:t>提供维修保养计划及记录，满足要求。公司根据质量管理和技术的需要，配备了行政办公用房及通讯、信息系统等基础设施</w:t>
            </w:r>
            <w:r>
              <w:rPr>
                <w:rFonts w:cs="Lucida Sans"/>
                <w:bCs/>
              </w:rPr>
              <w:t>。公司编制了《</w:t>
            </w:r>
            <w:r>
              <w:rPr>
                <w:rFonts w:hint="eastAsia" w:cs="Lucida Sans"/>
                <w:bCs/>
              </w:rPr>
              <w:t>基础设施控制程序</w:t>
            </w:r>
            <w:r>
              <w:rPr>
                <w:rFonts w:cs="Lucida Sans"/>
                <w:bCs/>
              </w:rPr>
              <w:t>》 并配备有办</w:t>
            </w:r>
            <w:r>
              <w:rPr>
                <w:rFonts w:hint="eastAsia" w:cs="Lucida Sans"/>
                <w:bCs/>
              </w:rPr>
              <w:t>公桌椅，水电、空调、会议室、消防设施设备，</w:t>
            </w:r>
            <w:r>
              <w:rPr>
                <w:rFonts w:hint="eastAsia" w:cs="Lucida Sans"/>
                <w:bCs/>
                <w:color w:val="000000" w:themeColor="text1"/>
              </w:rPr>
              <w:t>并有电脑、打印机、电话、传真机、复印机等办公设备；满足办公需要。</w:t>
            </w:r>
          </w:p>
          <w:p>
            <w:pPr>
              <w:rPr>
                <w:rFonts w:cs="Lucida Sans"/>
                <w:bCs/>
                <w:color w:val="000000" w:themeColor="text1"/>
              </w:rPr>
            </w:pPr>
            <w:r>
              <w:rPr>
                <w:rFonts w:hint="eastAsia" w:cs="Lucida Sans"/>
                <w:bCs/>
                <w:color w:val="000000" w:themeColor="text1"/>
              </w:rPr>
              <w:t>抽：《设备维修保养计划》</w:t>
            </w:r>
          </w:p>
          <w:p>
            <w:pPr>
              <w:rPr>
                <w:rFonts w:cs="Lucida Sans"/>
                <w:bCs/>
                <w:color w:val="000000" w:themeColor="text1"/>
              </w:rPr>
            </w:pPr>
            <w:r>
              <w:rPr>
                <w:rFonts w:hint="eastAsia" w:cs="Lucida Sans"/>
                <w:bCs/>
                <w:color w:val="000000" w:themeColor="text1"/>
              </w:rPr>
              <w:t>依照计划进行打药车实施定期维护保养，提供相关的一级保养记录，保养人：</w:t>
            </w:r>
            <w:r>
              <w:rPr>
                <w:rFonts w:hint="eastAsia"/>
                <w:color w:val="000000" w:themeColor="text1"/>
              </w:rPr>
              <w:t xml:space="preserve"> </w:t>
            </w:r>
            <w:r>
              <w:rPr>
                <w:rFonts w:hint="eastAsia" w:cs="Lucida Sans"/>
                <w:bCs/>
                <w:color w:val="000000" w:themeColor="text1"/>
              </w:rPr>
              <w:t>。</w:t>
            </w:r>
          </w:p>
          <w:p>
            <w:pPr>
              <w:pStyle w:val="2"/>
            </w:pPr>
          </w:p>
          <w:p>
            <w:pPr>
              <w:spacing w:before="120" w:line="160" w:lineRule="exact"/>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Q/S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p>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pStyle w:val="2"/>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szCs w:val="21"/>
              </w:rPr>
              <w:t>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本部门执行SJSD-- CX-15-2020 职业健康安全的监视和测量程序、SJSD-- CX-11-2020 环境和职业健康安全应急准备与响应程序、SJSD-- CX-18-2020 职业健康安全不符合控制程序、SJSD-- CX-21-2020 安全施工控制措施程序、</w:t>
            </w:r>
            <w:r>
              <w:rPr>
                <w:rFonts w:hint="eastAsia"/>
                <w:szCs w:val="21"/>
                <w:lang w:val="en-GB"/>
              </w:rPr>
              <w:t>车辆管理规定</w:t>
            </w:r>
            <w:r>
              <w:rPr>
                <w:rFonts w:hint="eastAsia"/>
                <w:szCs w:val="21"/>
              </w:rPr>
              <w:t>等。</w:t>
            </w:r>
          </w:p>
          <w:p>
            <w:pPr>
              <w:ind w:firstLine="420" w:firstLineChars="200"/>
              <w:rPr>
                <w:rFonts w:ascii="宋体" w:hAnsi="宋体" w:cs="宋体"/>
                <w:color w:val="000000" w:themeColor="text1"/>
                <w:szCs w:val="21"/>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w:t>
            </w:r>
          </w:p>
          <w:p>
            <w:pPr>
              <w:pStyle w:val="2"/>
              <w:rPr>
                <w:lang w:val="en-GB"/>
              </w:rPr>
            </w:pPr>
          </w:p>
          <w:p>
            <w:pPr>
              <w:spacing w:before="120" w:line="160" w:lineRule="exact"/>
              <w:rPr>
                <w:b/>
                <w:color w:val="000000" w:themeColor="text1"/>
              </w:rPr>
            </w:pPr>
            <w:r>
              <w:rPr>
                <w:rFonts w:hint="eastAsia"/>
                <w:b/>
                <w:color w:val="000000" w:themeColor="text1"/>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办公室</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lang w:val="en-GB"/>
              </w:rPr>
            </w:pPr>
            <w:r>
              <w:rPr>
                <w:rFonts w:hint="eastAsia"/>
              </w:rPr>
              <w:t>职业健康的危险源控制过程贯穿整改过程</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60" w:firstLineChars="200"/>
              <w:rPr>
                <w:szCs w:val="21"/>
              </w:rPr>
            </w:pPr>
            <w:r>
              <w:rPr>
                <w:rFonts w:hint="eastAsia"/>
                <w:szCs w:val="21"/>
              </w:rPr>
              <w:t>提供财务资金保障情况：</w:t>
            </w:r>
          </w:p>
          <w:p>
            <w:pPr>
              <w:pStyle w:val="2"/>
              <w:ind w:firstLine="460" w:firstLineChars="200"/>
              <w:rPr>
                <w:color w:val="000000" w:themeColor="text1"/>
                <w:szCs w:val="21"/>
              </w:rPr>
            </w:pPr>
            <w:r>
              <w:rPr>
                <w:color w:val="000000" w:themeColor="text1"/>
                <w:szCs w:val="21"/>
              </w:rPr>
              <w:t>项目</w:t>
            </w:r>
            <w:r>
              <w:rPr>
                <w:color w:val="000000" w:themeColor="text1"/>
                <w:szCs w:val="21"/>
              </w:rPr>
              <w:tab/>
            </w:r>
            <w:r>
              <w:rPr>
                <w:color w:val="000000" w:themeColor="text1"/>
                <w:szCs w:val="21"/>
              </w:rPr>
              <w:t>实际投入（单位：元）</w:t>
            </w:r>
          </w:p>
          <w:p>
            <w:pPr>
              <w:pStyle w:val="2"/>
              <w:ind w:firstLine="460" w:firstLineChars="200"/>
              <w:rPr>
                <w:color w:val="000000" w:themeColor="text1"/>
                <w:szCs w:val="21"/>
              </w:rPr>
            </w:pPr>
            <w:r>
              <w:rPr>
                <w:color w:val="000000" w:themeColor="text1"/>
                <w:szCs w:val="21"/>
              </w:rPr>
              <w:t>培训费</w:t>
            </w:r>
            <w:r>
              <w:rPr>
                <w:color w:val="000000" w:themeColor="text1"/>
                <w:szCs w:val="21"/>
              </w:rPr>
              <w:tab/>
            </w:r>
            <w:r>
              <w:rPr>
                <w:color w:val="000000" w:themeColor="text1"/>
                <w:szCs w:val="21"/>
              </w:rPr>
              <w:t>3000</w:t>
            </w:r>
          </w:p>
          <w:p>
            <w:pPr>
              <w:pStyle w:val="2"/>
              <w:ind w:firstLine="460" w:firstLineChars="200"/>
              <w:rPr>
                <w:color w:val="000000" w:themeColor="text1"/>
                <w:szCs w:val="21"/>
              </w:rPr>
            </w:pPr>
            <w:r>
              <w:rPr>
                <w:color w:val="000000" w:themeColor="text1"/>
                <w:szCs w:val="21"/>
              </w:rPr>
              <w:t>体检费</w:t>
            </w:r>
            <w:r>
              <w:rPr>
                <w:color w:val="000000" w:themeColor="text1"/>
                <w:szCs w:val="21"/>
              </w:rPr>
              <w:tab/>
            </w:r>
            <w:r>
              <w:rPr>
                <w:rFonts w:hint="eastAsia"/>
                <w:color w:val="000000" w:themeColor="text1"/>
                <w:szCs w:val="21"/>
              </w:rPr>
              <w:t>2000</w:t>
            </w:r>
          </w:p>
          <w:p>
            <w:pPr>
              <w:pStyle w:val="2"/>
              <w:ind w:firstLine="460" w:firstLineChars="200"/>
              <w:rPr>
                <w:color w:val="000000" w:themeColor="text1"/>
                <w:szCs w:val="21"/>
              </w:rPr>
            </w:pPr>
            <w:r>
              <w:rPr>
                <w:color w:val="000000" w:themeColor="text1"/>
                <w:szCs w:val="21"/>
              </w:rPr>
              <w:t>劳动保护用品投入</w:t>
            </w:r>
            <w:r>
              <w:rPr>
                <w:color w:val="000000" w:themeColor="text1"/>
                <w:szCs w:val="21"/>
              </w:rPr>
              <w:tab/>
            </w:r>
            <w:r>
              <w:rPr>
                <w:rFonts w:hint="eastAsia"/>
                <w:color w:val="000000" w:themeColor="text1"/>
                <w:szCs w:val="21"/>
              </w:rPr>
              <w:t>30</w:t>
            </w:r>
            <w:r>
              <w:rPr>
                <w:color w:val="000000" w:themeColor="text1"/>
                <w:szCs w:val="21"/>
              </w:rPr>
              <w:t>00</w:t>
            </w:r>
          </w:p>
          <w:p>
            <w:pPr>
              <w:pStyle w:val="2"/>
              <w:ind w:firstLine="460" w:firstLineChars="200"/>
              <w:rPr>
                <w:color w:val="000000" w:themeColor="text1"/>
                <w:szCs w:val="21"/>
              </w:rPr>
            </w:pPr>
            <w:r>
              <w:rPr>
                <w:color w:val="000000" w:themeColor="text1"/>
                <w:szCs w:val="21"/>
              </w:rPr>
              <w:t>垃圾清运及保洁费</w:t>
            </w:r>
            <w:r>
              <w:rPr>
                <w:color w:val="000000" w:themeColor="text1"/>
                <w:szCs w:val="21"/>
              </w:rPr>
              <w:tab/>
            </w:r>
            <w:r>
              <w:rPr>
                <w:color w:val="000000" w:themeColor="text1"/>
                <w:szCs w:val="21"/>
              </w:rPr>
              <w:t>3000</w:t>
            </w:r>
          </w:p>
          <w:p>
            <w:pPr>
              <w:pStyle w:val="2"/>
              <w:ind w:firstLine="460" w:firstLineChars="200"/>
              <w:rPr>
                <w:color w:val="000000" w:themeColor="text1"/>
                <w:szCs w:val="21"/>
              </w:rPr>
            </w:pPr>
            <w:r>
              <w:rPr>
                <w:rFonts w:hint="eastAsia"/>
                <w:color w:val="000000" w:themeColor="text1"/>
                <w:szCs w:val="21"/>
              </w:rPr>
              <w:t>现场与公司的财务经理沟通，公司建立了完善的财务管理制度，公司的环境及职业健康安全资金保障充足。</w:t>
            </w:r>
          </w:p>
          <w:p>
            <w:pPr>
              <w:pStyle w:val="2"/>
              <w:ind w:firstLine="460" w:firstLineChars="200"/>
              <w:rPr>
                <w:color w:val="000000" w:themeColor="text1"/>
                <w:szCs w:val="21"/>
              </w:rPr>
            </w:pPr>
            <w:r>
              <w:rPr>
                <w:rFonts w:hint="eastAsia"/>
                <w:color w:val="000000" w:themeColor="text1"/>
                <w:szCs w:val="21"/>
              </w:rPr>
              <w:t>职业健康安全运行正常</w:t>
            </w:r>
          </w:p>
          <w:p>
            <w:pPr>
              <w:spacing w:before="120" w:line="160" w:lineRule="exact"/>
              <w:rPr>
                <w:rFonts w:ascii="宋体" w:hAnsi="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S9.1.2</w:t>
            </w:r>
          </w:p>
          <w:p/>
        </w:tc>
        <w:tc>
          <w:tcPr>
            <w:tcW w:w="10943" w:type="dxa"/>
            <w:vAlign w:val="center"/>
          </w:tcPr>
          <w:p>
            <w:pPr>
              <w:spacing w:line="400" w:lineRule="exact"/>
              <w:ind w:firstLine="420" w:firstLineChars="200"/>
              <w:rPr>
                <w:szCs w:val="21"/>
              </w:rPr>
            </w:pPr>
            <w:r>
              <w:rPr>
                <w:rFonts w:hint="eastAsia"/>
                <w:szCs w:val="21"/>
              </w:rPr>
              <w:t>编制SJSD-- CX-05-2020 法律法规和其他要求及合规性评价控制程序</w:t>
            </w:r>
          </w:p>
          <w:p>
            <w:pPr>
              <w:rPr>
                <w:szCs w:val="21"/>
              </w:rPr>
            </w:pPr>
            <w:r>
              <w:rPr>
                <w:rFonts w:hint="eastAsia"/>
                <w:szCs w:val="21"/>
              </w:rPr>
              <w:t>提供《合规性评价记录》及</w:t>
            </w:r>
            <w:r>
              <w:rPr>
                <w:rFonts w:hint="eastAsia" w:ascii="宋体" w:hAnsi="宋体" w:cs="宋体"/>
                <w:szCs w:val="21"/>
              </w:rPr>
              <w:t>《合规性评价报告》2020年0</w:t>
            </w:r>
            <w:r>
              <w:rPr>
                <w:rFonts w:ascii="宋体" w:hAnsi="宋体" w:cs="宋体"/>
                <w:szCs w:val="21"/>
              </w:rPr>
              <w:t>5</w:t>
            </w:r>
            <w:r>
              <w:rPr>
                <w:rFonts w:hint="eastAsia" w:ascii="宋体" w:hAnsi="宋体" w:cs="宋体"/>
                <w:szCs w:val="21"/>
              </w:rPr>
              <w:t>月2</w:t>
            </w:r>
            <w:r>
              <w:rPr>
                <w:rFonts w:ascii="宋体" w:hAnsi="宋体" w:cs="宋体"/>
                <w:szCs w:val="21"/>
              </w:rPr>
              <w:t>0</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评价人员：肖立恒、张志刚</w:t>
            </w:r>
            <w:r>
              <w:rPr>
                <w:rFonts w:hint="eastAsia"/>
              </w:rPr>
              <w:t>等</w:t>
            </w:r>
            <w:r>
              <w:rPr>
                <w:rFonts w:hint="eastAsia"/>
                <w:szCs w:val="21"/>
              </w:rPr>
              <w:t>。</w:t>
            </w:r>
            <w:r>
              <w:rPr>
                <w:rFonts w:hint="eastAsia" w:ascii="宋体" w:hAnsi="宋体" w:cs="宋体"/>
                <w:szCs w:val="21"/>
              </w:rPr>
              <w:t>经查合规性评价基本符合要求。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ascii="宋体" w:hAnsi="宋体" w:cs="宋体"/>
                <w:kern w:val="0"/>
                <w:szCs w:val="21"/>
              </w:rPr>
              <w:t>Q/S</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由管理者代表张志刚定期组织内部审核，一般每年进行一次内部审核，时间间隔不超过12个月，抽查最近一次的内部审核情况：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年度审核计划：提供《内部审核实施计划》，其内容已包括了审核目的、范围、准则、审核方法、日期（2020年0</w:t>
            </w:r>
            <w:r>
              <w:rPr>
                <w:szCs w:val="21"/>
              </w:rPr>
              <w:t>8</w:t>
            </w:r>
            <w:r>
              <w:rPr>
                <w:rFonts w:hint="eastAsia"/>
                <w:szCs w:val="21"/>
              </w:rPr>
              <w:t>月20），审核依据：GB/T19001-2016/ISO9001:2015,E：GB/T 24001-2016/ISO14001:2015,O：GB/T45001-2020 / ISO45001：2018；公司管理体系文件；行业法律法规及相关文件拟稿。</w:t>
            </w:r>
          </w:p>
          <w:p>
            <w:pPr>
              <w:rPr>
                <w:rFonts w:ascii="宋体" w:hAnsi="宋体"/>
                <w:szCs w:val="21"/>
              </w:rPr>
            </w:pPr>
            <w:r>
              <w:rPr>
                <w:rFonts w:hint="eastAsia" w:ascii="宋体" w:hAnsi="宋体"/>
                <w:szCs w:val="21"/>
              </w:rPr>
              <w:t>查看《不合格项报告》1份，</w:t>
            </w:r>
            <w:r>
              <w:rPr>
                <w:rFonts w:hint="eastAsia" w:ascii="宋体" w:hAnsi="宋体" w:cs="宋体"/>
                <w:sz w:val="24"/>
              </w:rPr>
              <w:t>审核发现,综合部未能提供7月份的人员培训记录。；</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不符合与审核记录中不符合的事实描述基本一致。</w:t>
            </w:r>
          </w:p>
          <w:p>
            <w:pPr>
              <w:spacing w:line="280" w:lineRule="exact"/>
              <w:ind w:firstLine="420" w:firstLineChars="200"/>
              <w:rPr>
                <w:szCs w:val="21"/>
              </w:rPr>
            </w:pPr>
          </w:p>
        </w:tc>
        <w:tc>
          <w:tcPr>
            <w:tcW w:w="646" w:type="dxa"/>
          </w:tcPr>
          <w:p>
            <w:pPr>
              <w:rPr>
                <w:rFonts w:ascii="宋体" w:hAnsi="宋体" w:cs="宋体"/>
                <w:szCs w:val="21"/>
              </w:rPr>
            </w:pP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Light"/>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微软雅黑 Light">
    <w:panose1 w:val="020B0502040204020203"/>
    <w:charset w:val="86"/>
    <w:family w:val="auto"/>
    <w:pitch w:val="default"/>
    <w:sig w:usb0="80000287" w:usb1="2ACF001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840"/>
        </w:tabs>
        <w:ind w:left="840" w:hanging="420"/>
      </w:pPr>
      <w:rPr>
        <w:rFonts w:ascii="Times New Roman" w:hAnsi="Times New Roman" w:eastAsia="宋体" w:cs="Times New Roman"/>
      </w:rPr>
    </w:lvl>
    <w:lvl w:ilvl="1" w:tentative="0">
      <w:start w:val="1"/>
      <w:numFmt w:val="decimal"/>
      <w:lvlText w:val="%2、"/>
      <w:lvlJc w:val="left"/>
      <w:pPr>
        <w:tabs>
          <w:tab w:val="left" w:pos="1560"/>
        </w:tabs>
        <w:ind w:left="1560" w:hanging="720"/>
      </w:pPr>
      <w:rPr>
        <w:rFonts w:hint="default"/>
      </w:rPr>
    </w:lvl>
    <w:lvl w:ilvl="2" w:tentative="0">
      <w:start w:val="5"/>
      <w:numFmt w:val="japaneseCounting"/>
      <w:lvlText w:val="第%3章"/>
      <w:lvlJc w:val="left"/>
      <w:pPr>
        <w:tabs>
          <w:tab w:val="left" w:pos="2130"/>
        </w:tabs>
        <w:ind w:left="2130" w:hanging="87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373A"/>
    <w:rsid w:val="00060750"/>
    <w:rsid w:val="000739BE"/>
    <w:rsid w:val="000E3042"/>
    <w:rsid w:val="00102C2D"/>
    <w:rsid w:val="00110EDF"/>
    <w:rsid w:val="001123B3"/>
    <w:rsid w:val="001A2D7F"/>
    <w:rsid w:val="001D1990"/>
    <w:rsid w:val="001F1234"/>
    <w:rsid w:val="00247B3C"/>
    <w:rsid w:val="00337922"/>
    <w:rsid w:val="00340867"/>
    <w:rsid w:val="00380837"/>
    <w:rsid w:val="003A198A"/>
    <w:rsid w:val="003D36DA"/>
    <w:rsid w:val="00410914"/>
    <w:rsid w:val="00467319"/>
    <w:rsid w:val="004A5111"/>
    <w:rsid w:val="00536930"/>
    <w:rsid w:val="00564E53"/>
    <w:rsid w:val="00595C2E"/>
    <w:rsid w:val="00644FE2"/>
    <w:rsid w:val="00653868"/>
    <w:rsid w:val="00670ABE"/>
    <w:rsid w:val="00674B7D"/>
    <w:rsid w:val="0067640C"/>
    <w:rsid w:val="006813C1"/>
    <w:rsid w:val="006E678B"/>
    <w:rsid w:val="007020C1"/>
    <w:rsid w:val="007757F3"/>
    <w:rsid w:val="007E6AEB"/>
    <w:rsid w:val="00831F15"/>
    <w:rsid w:val="00845CDB"/>
    <w:rsid w:val="00866E70"/>
    <w:rsid w:val="00867EC0"/>
    <w:rsid w:val="008973EE"/>
    <w:rsid w:val="0090631B"/>
    <w:rsid w:val="009306B5"/>
    <w:rsid w:val="0093791E"/>
    <w:rsid w:val="00971600"/>
    <w:rsid w:val="009973B4"/>
    <w:rsid w:val="009C28C1"/>
    <w:rsid w:val="009D02F0"/>
    <w:rsid w:val="009F7EED"/>
    <w:rsid w:val="00A20BA1"/>
    <w:rsid w:val="00A93DC5"/>
    <w:rsid w:val="00AF0AAB"/>
    <w:rsid w:val="00B90CD3"/>
    <w:rsid w:val="00BC6F9D"/>
    <w:rsid w:val="00BF597E"/>
    <w:rsid w:val="00C073BA"/>
    <w:rsid w:val="00C51A36"/>
    <w:rsid w:val="00C55228"/>
    <w:rsid w:val="00C80AE1"/>
    <w:rsid w:val="00CB2EAB"/>
    <w:rsid w:val="00CE315A"/>
    <w:rsid w:val="00CF7141"/>
    <w:rsid w:val="00D06F59"/>
    <w:rsid w:val="00D4759C"/>
    <w:rsid w:val="00D8388C"/>
    <w:rsid w:val="00E10AB3"/>
    <w:rsid w:val="00E21595"/>
    <w:rsid w:val="00E236E6"/>
    <w:rsid w:val="00E96ABE"/>
    <w:rsid w:val="00EA4982"/>
    <w:rsid w:val="00EB0164"/>
    <w:rsid w:val="00ED0F62"/>
    <w:rsid w:val="00F03828"/>
    <w:rsid w:val="00FC77EA"/>
    <w:rsid w:val="017F003F"/>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20</Pages>
  <Words>1548</Words>
  <Characters>8830</Characters>
  <Lines>73</Lines>
  <Paragraphs>20</Paragraphs>
  <TotalTime>79</TotalTime>
  <ScaleCrop>false</ScaleCrop>
  <LinksUpToDate>false</LinksUpToDate>
  <CharactersWithSpaces>10358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2020-10-25T12:16:56Z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