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rPr>
          <w:sz w:val="32"/>
          <w:szCs w:val="32"/>
          <w:u w:val="single"/>
        </w:rPr>
      </w:pPr>
      <w:r>
        <w:rPr>
          <w:rFonts w:hint="eastAsia"/>
          <w:sz w:val="32"/>
          <w:szCs w:val="32"/>
        </w:rPr>
        <w:t>合同编号：</w:t>
      </w:r>
      <w:r>
        <w:rPr>
          <w:rFonts w:hint="eastAsia" w:ascii="楷体" w:hAnsi="楷体" w:eastAsia="楷体"/>
          <w:color w:val="000000"/>
          <w:sz w:val="28"/>
          <w:szCs w:val="28"/>
          <w:u w:val="single"/>
        </w:rPr>
        <w:t xml:space="preserve"> </w:t>
      </w:r>
      <w:bookmarkStart w:id="0" w:name="合同编号"/>
      <w:r>
        <w:rPr>
          <w:sz w:val="24"/>
          <w:u w:val="single"/>
        </w:rPr>
        <w:t>0545-2020-FH</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snapToGrid w:val="0"/>
        <w:spacing w:after="93" w:afterLines="30"/>
        <w:ind w:firstLine="280" w:firstLineChars="100"/>
        <w:rPr>
          <w:rFonts w:ascii="楷体" w:hAnsi="楷体" w:eastAsia="楷体"/>
          <w:b/>
          <w:color w:val="000000" w:themeColor="text1"/>
          <w:sz w:val="32"/>
          <w:szCs w:val="32"/>
          <w:u w:val="single"/>
          <w14:textFill>
            <w14:solidFill>
              <w14:schemeClr w14:val="tx1"/>
            </w14:solidFill>
          </w14:textFill>
        </w:rPr>
      </w:pPr>
      <w:r>
        <w:rPr>
          <w:rFonts w:hint="eastAsia"/>
          <w:sz w:val="28"/>
          <w:szCs w:val="28"/>
        </w:rPr>
        <w:t>受审核方：</w:t>
      </w:r>
      <w:r>
        <w:rPr>
          <w:rFonts w:hint="eastAsia"/>
          <w:sz w:val="28"/>
          <w:szCs w:val="28"/>
          <w:u w:val="single"/>
        </w:rPr>
        <w:t xml:space="preserve">  </w:t>
      </w:r>
      <w:bookmarkStart w:id="1" w:name="组织名称"/>
      <w:r>
        <w:rPr>
          <w:sz w:val="28"/>
          <w:szCs w:val="28"/>
          <w:u w:val="single"/>
        </w:rPr>
        <w:t>福建潇湘府餐饮服务有限公司</w:t>
      </w:r>
      <w:bookmarkEnd w:id="1"/>
      <w:r>
        <w:rPr>
          <w:rFonts w:hint="eastAsia"/>
          <w:sz w:val="28"/>
          <w:szCs w:val="28"/>
          <w:u w:val="single"/>
        </w:rPr>
        <w:t xml:space="preserve">                    </w:t>
      </w:r>
      <w:r>
        <w:rPr>
          <w:rFonts w:hint="eastAsia"/>
          <w:sz w:val="28"/>
          <w:szCs w:val="28"/>
        </w:rPr>
        <w:t xml:space="preserve"> </w:t>
      </w:r>
    </w:p>
    <w:p>
      <w:pPr>
        <w:snapToGrid w:val="0"/>
        <w:spacing w:after="93" w:afterLines="30"/>
        <w:ind w:firstLine="321" w:firstLineChars="100"/>
        <w:rPr>
          <w:rFonts w:ascii="楷体" w:hAnsi="楷体" w:eastAsia="楷体"/>
          <w:b/>
          <w:color w:val="000000" w:themeColor="text1"/>
          <w:sz w:val="32"/>
          <w:szCs w:val="32"/>
          <w:u w:val="single"/>
          <w14:textFill>
            <w14:solidFill>
              <w14:schemeClr w14:val="tx1"/>
            </w14:solidFill>
          </w14:textFill>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rPr>
      </w:pP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rPr>
          <w:rFonts w:hint="eastAsia"/>
          <w:sz w:val="32"/>
          <w:szCs w:val="32"/>
        </w:rPr>
        <w:fldChar w:fldCharType="begin"/>
      </w:r>
      <w:r>
        <w:rPr>
          <w:sz w:val="32"/>
          <w:szCs w:val="32"/>
        </w:rPr>
        <w:instrText xml:space="preserve"> HYPERLINK "http://www.china-isc.org.cn" </w:instrText>
      </w:r>
      <w:r>
        <w:rPr>
          <w:rFonts w:hint="eastAsia"/>
          <w:sz w:val="32"/>
          <w:szCs w:val="32"/>
        </w:rPr>
        <w:fldChar w:fldCharType="separate"/>
      </w:r>
      <w:r>
        <w:rPr>
          <w:rFonts w:hint="eastAsia"/>
          <w:sz w:val="32"/>
          <w:szCs w:val="32"/>
        </w:rPr>
        <w:t>www.china-isc.org.cn</w:t>
      </w:r>
      <w:r>
        <w:rPr>
          <w:rFonts w:hint="eastAsia"/>
          <w:sz w:val="32"/>
          <w:szCs w:val="32"/>
        </w:rPr>
        <w:fldChar w:fldCharType="end"/>
      </w:r>
    </w:p>
    <w:p>
      <w:pPr>
        <w:rPr>
          <w:sz w:val="32"/>
          <w:szCs w:val="32"/>
        </w:rPr>
      </w:pPr>
    </w:p>
    <w:p>
      <w:r>
        <w:rPr>
          <w:rFonts w:hint="eastAsia"/>
        </w:rPr>
        <w:t>一、受审核方基本信息</w:t>
      </w:r>
    </w:p>
    <w:tbl>
      <w:tblPr>
        <w:tblStyle w:val="2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spacing w:line="280" w:lineRule="exact"/>
              <w:rPr>
                <w:rFonts w:ascii="宋体"/>
                <w:b/>
                <w:color w:val="000000"/>
                <w:szCs w:val="21"/>
              </w:rPr>
            </w:pPr>
            <w:r>
              <w:rPr>
                <w:szCs w:val="21"/>
              </w:rPr>
              <w:t>福建潇湘府餐饮服务有限公司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r>
              <w:rPr>
                <w:rFonts w:hint="eastAsia" w:ascii="宋体" w:hAnsi="宋体"/>
                <w:szCs w:val="21"/>
              </w:rPr>
              <w:t>福建省福州市仓山区上三路</w:t>
            </w:r>
            <w:r>
              <w:rPr>
                <w:rFonts w:ascii="宋体" w:hAnsi="宋体"/>
                <w:szCs w:val="21"/>
              </w:rPr>
              <w:t>125</w:t>
            </w:r>
            <w:r>
              <w:rPr>
                <w:rFonts w:hint="eastAsia" w:ascii="宋体" w:hAnsi="宋体"/>
                <w:szCs w:val="21"/>
              </w:rPr>
              <w:t>号福建农业职业技术学院首山校区经管楼三层301室</w:t>
            </w:r>
          </w:p>
        </w:tc>
        <w:tc>
          <w:tcPr>
            <w:tcW w:w="1242" w:type="dxa"/>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p/>
        </w:tc>
        <w:tc>
          <w:tcPr>
            <w:tcW w:w="1771" w:type="dxa"/>
          </w:tcPr>
          <w:p>
            <w:pPr>
              <w:spacing w:line="280" w:lineRule="exact"/>
              <w:rPr>
                <w:rFonts w:ascii="宋体"/>
                <w:b/>
                <w:color w:val="000000"/>
                <w:szCs w:val="21"/>
              </w:rPr>
            </w:pPr>
            <w:r>
              <w:rPr>
                <w:rFonts w:ascii="宋体" w:hAnsi="宋体"/>
              </w:rPr>
              <w:t>350007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r>
              <w:rPr>
                <w:rFonts w:hint="eastAsia" w:ascii="宋体" w:hAnsi="宋体"/>
                <w:color w:val="000000" w:themeColor="text1"/>
                <w:szCs w:val="21"/>
                <w14:textFill>
                  <w14:solidFill>
                    <w14:schemeClr w14:val="tx1"/>
                  </w14:solidFill>
                </w14:textFill>
              </w:rPr>
              <w:t>福建省福州市仓山区上三路190号综合楼1层</w:t>
            </w:r>
          </w:p>
        </w:tc>
        <w:tc>
          <w:tcPr>
            <w:tcW w:w="1242" w:type="dxa"/>
            <w:vMerge w:val="continue"/>
            <w:vAlign w:val="center"/>
          </w:tcPr>
          <w:p/>
        </w:tc>
        <w:tc>
          <w:tcPr>
            <w:tcW w:w="1771" w:type="dxa"/>
          </w:tcPr>
          <w:p>
            <w:pPr>
              <w:spacing w:line="280" w:lineRule="exact"/>
              <w:rPr>
                <w:rFonts w:ascii="宋体"/>
                <w:b/>
                <w:color w:val="000000"/>
                <w:szCs w:val="21"/>
              </w:rPr>
            </w:pPr>
            <w:r>
              <w:rPr>
                <w:rFonts w:ascii="宋体" w:hAnsi="宋体"/>
              </w:rPr>
              <w:t>350007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center"/>
          </w:tcPr>
          <w:p>
            <w:pPr>
              <w:spacing w:line="320" w:lineRule="exact"/>
              <w:jc w:val="center"/>
              <w:rPr>
                <w:rFonts w:ascii="宋体" w:hAnsi="宋体"/>
                <w:b/>
                <w:color w:val="000000" w:themeColor="text1"/>
                <w:sz w:val="20"/>
                <w:szCs w:val="20"/>
                <w14:textFill>
                  <w14:solidFill>
                    <w14:schemeClr w14:val="tx1"/>
                  </w14:solidFill>
                </w14:textFill>
              </w:rPr>
            </w:pPr>
            <w:bookmarkStart w:id="2" w:name="联系人"/>
            <w:r>
              <w:rPr>
                <w:szCs w:val="21"/>
              </w:rPr>
              <w:t>胡泽慧</w:t>
            </w:r>
            <w:bookmarkEnd w:id="2"/>
          </w:p>
        </w:tc>
        <w:tc>
          <w:tcPr>
            <w:tcW w:w="1313" w:type="dxa"/>
            <w:vAlign w:val="center"/>
          </w:tcPr>
          <w:p>
            <w:pPr>
              <w:spacing w:line="320" w:lineRule="exact"/>
              <w:jc w:val="center"/>
              <w:rPr>
                <w:rFonts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电话</w:t>
            </w:r>
          </w:p>
        </w:tc>
        <w:tc>
          <w:tcPr>
            <w:tcW w:w="2180" w:type="dxa"/>
            <w:vAlign w:val="center"/>
          </w:tcPr>
          <w:p>
            <w:pPr>
              <w:spacing w:line="320" w:lineRule="exact"/>
              <w:jc w:val="center"/>
              <w:rPr>
                <w:rFonts w:ascii="宋体" w:hAnsi="宋体"/>
                <w:b/>
                <w:color w:val="000000" w:themeColor="text1"/>
                <w:sz w:val="20"/>
                <w:szCs w:val="20"/>
                <w14:textFill>
                  <w14:solidFill>
                    <w14:schemeClr w14:val="tx1"/>
                  </w14:solidFill>
                </w14:textFill>
              </w:rPr>
            </w:pPr>
            <w:bookmarkStart w:id="3" w:name="联系人电话"/>
            <w:r>
              <w:rPr>
                <w:szCs w:val="21"/>
              </w:rPr>
              <w:t>18650601070</w:t>
            </w:r>
            <w:bookmarkEnd w:id="3"/>
          </w:p>
        </w:tc>
        <w:tc>
          <w:tcPr>
            <w:tcW w:w="1242" w:type="dxa"/>
            <w:vAlign w:val="center"/>
          </w:tcPr>
          <w:p>
            <w:r>
              <w:rPr>
                <w:rFonts w:hint="eastAsia"/>
              </w:rPr>
              <w:t>传真</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pPr>
              <w:rPr>
                <w:rFonts w:ascii="宋体"/>
                <w:bCs/>
                <w:color w:val="000000"/>
                <w:szCs w:val="21"/>
              </w:rPr>
            </w:pPr>
            <w:r>
              <w:rPr>
                <w:rFonts w:hint="eastAsia" w:ascii="宋体" w:hAnsi="宋体"/>
                <w:color w:val="000000" w:themeColor="text1"/>
                <w:sz w:val="20"/>
                <w:szCs w:val="20"/>
                <w14:textFill>
                  <w14:solidFill>
                    <w14:schemeClr w14:val="tx1"/>
                  </w14:solidFill>
                </w14:textFill>
              </w:rPr>
              <w:t>陈辉</w:t>
            </w:r>
          </w:p>
        </w:tc>
        <w:tc>
          <w:tcPr>
            <w:tcW w:w="1313" w:type="dxa"/>
            <w:vAlign w:val="center"/>
          </w:tcPr>
          <w:p>
            <w:pPr>
              <w:jc w:val="center"/>
              <w:rPr>
                <w:rFonts w:ascii="宋体"/>
                <w:bCs/>
                <w:color w:val="000000"/>
                <w:szCs w:val="21"/>
              </w:rPr>
            </w:pPr>
            <w:r>
              <w:rPr>
                <w:rFonts w:hint="eastAsia" w:ascii="宋体" w:hAnsi="宋体"/>
                <w:bCs/>
                <w:color w:val="000000"/>
                <w:szCs w:val="21"/>
              </w:rPr>
              <w:t>管理者代表</w:t>
            </w:r>
          </w:p>
        </w:tc>
        <w:tc>
          <w:tcPr>
            <w:tcW w:w="2180" w:type="dxa"/>
          </w:tcPr>
          <w:p>
            <w:pPr>
              <w:ind w:firstLine="210" w:firstLineChars="100"/>
              <w:rPr>
                <w:rFonts w:ascii="宋体"/>
                <w:bCs/>
                <w:color w:val="000000"/>
                <w:szCs w:val="21"/>
              </w:rPr>
            </w:pPr>
            <w:r>
              <w:rPr>
                <w:rFonts w:hint="eastAsia" w:ascii="宋体"/>
                <w:bCs/>
                <w:color w:val="000000"/>
                <w:szCs w:val="21"/>
              </w:rPr>
              <w:t>林</w:t>
            </w:r>
            <w:r>
              <w:rPr>
                <w:rFonts w:ascii="宋体"/>
                <w:bCs/>
                <w:color w:val="000000"/>
                <w:szCs w:val="21"/>
              </w:rPr>
              <w:t>景锋</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受审核组织的班次：☑单班 □双班 □三班  □其他</w:t>
            </w:r>
          </w:p>
          <w:p>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left"/>
              <w:rPr>
                <w:rFonts w:ascii="宋体" w:hAnsi="宋体"/>
                <w:b/>
                <w:bCs/>
                <w:color w:val="000000"/>
                <w:sz w:val="20"/>
              </w:rPr>
            </w:pPr>
            <w:r>
              <w:rPr>
                <w:rFonts w:hint="eastAsia" w:ascii="宋体" w:hAnsi="宋体"/>
                <w:b/>
                <w:bCs/>
                <w:color w:val="000000"/>
                <w:sz w:val="20"/>
              </w:rPr>
              <w:t>红案：</w:t>
            </w:r>
          </w:p>
          <w:p>
            <w:pPr>
              <w:snapToGrid w:val="0"/>
              <w:spacing w:line="280" w:lineRule="exact"/>
              <w:jc w:val="left"/>
              <w:rPr>
                <w:rFonts w:ascii="宋体" w:hAnsi="宋体"/>
                <w:color w:val="000000"/>
                <w:sz w:val="20"/>
              </w:rPr>
            </w:pPr>
            <w:r>
              <w:rPr>
                <w:rFonts w:hint="eastAsia" w:ascii="宋体" w:hAnsi="宋体"/>
                <w:color w:val="000000"/>
                <w:sz w:val="20"/>
              </w:rPr>
              <w:t>原料验收——择菜——洗菜——切菜——烹饪（炒、煮）——装盘——上桌——服务</w:t>
            </w:r>
          </w:p>
          <w:p>
            <w:pPr>
              <w:snapToGrid w:val="0"/>
              <w:spacing w:line="280" w:lineRule="exact"/>
              <w:jc w:val="left"/>
              <w:rPr>
                <w:rFonts w:ascii="宋体" w:hAnsi="宋体"/>
                <w:b/>
                <w:bCs/>
                <w:color w:val="000000"/>
                <w:sz w:val="20"/>
              </w:rPr>
            </w:pPr>
            <w:r>
              <w:rPr>
                <w:rFonts w:hint="eastAsia" w:ascii="宋体" w:hAnsi="宋体"/>
                <w:b/>
                <w:bCs/>
                <w:color w:val="000000"/>
                <w:sz w:val="20"/>
              </w:rPr>
              <w:t>白案：</w:t>
            </w:r>
          </w:p>
          <w:p>
            <w:pPr>
              <w:snapToGrid w:val="0"/>
              <w:spacing w:line="280" w:lineRule="exact"/>
              <w:jc w:val="left"/>
              <w:rPr>
                <w:rFonts w:ascii="宋体" w:hAnsi="宋体"/>
                <w:color w:val="000000"/>
                <w:sz w:val="20"/>
              </w:rPr>
            </w:pPr>
            <w:r>
              <w:rPr>
                <w:rFonts w:hint="eastAsia" w:ascii="宋体" w:hAnsi="宋体"/>
                <w:color w:val="000000"/>
                <w:sz w:val="20"/>
              </w:rPr>
              <w:t>原料验收——清洗（大米）——蒸煮——盛碗——上桌</w:t>
            </w:r>
          </w:p>
          <w:p>
            <w:pPr>
              <w:snapToGrid w:val="0"/>
              <w:spacing w:line="280" w:lineRule="exact"/>
              <w:jc w:val="left"/>
              <w:rPr>
                <w:rFonts w:ascii="宋体" w:hAnsi="宋体"/>
                <w:b/>
                <w:bCs/>
                <w:color w:val="000000"/>
                <w:sz w:val="20"/>
              </w:rPr>
            </w:pPr>
            <w:r>
              <w:rPr>
                <w:rFonts w:hint="eastAsia" w:ascii="宋体" w:hAnsi="宋体"/>
                <w:b/>
                <w:bCs/>
                <w:color w:val="000000"/>
                <w:sz w:val="20"/>
              </w:rPr>
              <w:t>服务：</w:t>
            </w:r>
          </w:p>
          <w:p>
            <w:pPr>
              <w:snapToGrid w:val="0"/>
              <w:spacing w:line="280" w:lineRule="exact"/>
              <w:jc w:val="left"/>
              <w:rPr>
                <w:rFonts w:ascii="宋体" w:hAnsi="宋体"/>
                <w:color w:val="000000"/>
                <w:sz w:val="20"/>
              </w:rPr>
            </w:pPr>
            <w:r>
              <w:rPr>
                <w:rFonts w:hint="eastAsia" w:ascii="宋体" w:hAnsi="宋体"/>
                <w:color w:val="000000"/>
                <w:sz w:val="20"/>
              </w:rPr>
              <w:t>客人点菜——确认品种和偏好——传菜——上菜——介绍菜品——服务（倒酒、盛汤等）——收款——致谢</w:t>
            </w:r>
          </w:p>
          <w:p>
            <w:pPr>
              <w:snapToGrid w:val="0"/>
              <w:spacing w:line="280" w:lineRule="exact"/>
              <w:jc w:val="left"/>
              <w:rPr>
                <w:rFonts w:ascii="宋体" w:hAnsi="宋体"/>
                <w:b/>
                <w:bCs/>
                <w:color w:val="000000"/>
                <w:sz w:val="20"/>
              </w:rPr>
            </w:pPr>
            <w:r>
              <w:rPr>
                <w:rFonts w:hint="eastAsia" w:ascii="宋体" w:hAnsi="宋体"/>
                <w:b/>
                <w:bCs/>
                <w:color w:val="000000"/>
                <w:sz w:val="20"/>
              </w:rPr>
              <w:t>餐具清洗消毒：</w:t>
            </w:r>
          </w:p>
          <w:p>
            <w:pPr>
              <w:snapToGrid w:val="0"/>
              <w:spacing w:line="280" w:lineRule="exact"/>
              <w:jc w:val="left"/>
              <w:rPr>
                <w:rFonts w:ascii="宋体"/>
                <w:color w:val="000000"/>
                <w:szCs w:val="21"/>
              </w:rPr>
            </w:pPr>
            <w:r>
              <w:rPr>
                <w:rFonts w:hint="eastAsia" w:ascii="宋体" w:hAnsi="宋体"/>
                <w:color w:val="000000"/>
                <w:sz w:val="20"/>
              </w:rPr>
              <w:t>餐具——回收——清洗——消毒——备用</w:t>
            </w:r>
          </w:p>
        </w:tc>
      </w:tr>
    </w:tbl>
    <w:p/>
    <w:p>
      <w:r>
        <w:rPr>
          <w:rFonts w:hint="eastAsia"/>
        </w:rPr>
        <w:t>二、本次审核信息</w:t>
      </w:r>
    </w:p>
    <w:tbl>
      <w:tblPr>
        <w:tblStyle w:val="29"/>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2466"/>
        <w:gridCol w:w="2632"/>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4" w:name="auDate"/>
            <w:bookmarkEnd w:id="4"/>
            <w:r>
              <w:rPr>
                <w:rFonts w:hint="eastAsia"/>
              </w:rPr>
              <w:t xml:space="preserve">   2020 年 </w:t>
            </w:r>
            <w:r>
              <w:t>10</w:t>
            </w:r>
            <w:r>
              <w:rPr>
                <w:rFonts w:hint="eastAsia"/>
              </w:rPr>
              <w:t xml:space="preserve"> 月 </w:t>
            </w:r>
            <w:r>
              <w:t>18</w:t>
            </w:r>
            <w:r>
              <w:rPr>
                <w:rFonts w:hint="eastAsia"/>
              </w:rPr>
              <w:t xml:space="preserve"> 日8：30 至  2020  年 </w:t>
            </w:r>
            <w:r>
              <w:t>10</w:t>
            </w:r>
            <w:r>
              <w:rPr>
                <w:rFonts w:hint="eastAsia"/>
              </w:rPr>
              <w:t xml:space="preserve"> 月 </w:t>
            </w:r>
            <w:r>
              <w:t>19</w:t>
            </w:r>
            <w:r>
              <w:rPr>
                <w:rFonts w:hint="eastAsia"/>
              </w:rPr>
              <w:t>日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846" w:hRule="exact"/>
        </w:trPr>
        <w:tc>
          <w:tcPr>
            <w:tcW w:w="1632" w:type="dxa"/>
            <w:gridSpan w:val="2"/>
          </w:tcPr>
          <w:p>
            <w:r>
              <w:rPr>
                <w:rFonts w:hint="eastAsia"/>
              </w:rPr>
              <w:t>审核准则</w:t>
            </w:r>
          </w:p>
          <w:p/>
        </w:tc>
        <w:tc>
          <w:tcPr>
            <w:tcW w:w="7831" w:type="dxa"/>
            <w:gridSpan w:val="3"/>
            <w:tcMar>
              <w:left w:w="113" w:type="dxa"/>
            </w:tcMar>
          </w:tcPr>
          <w:p>
            <w:r>
              <w:rPr>
                <w:rFonts w:hint="eastAsia"/>
              </w:rPr>
              <w:t>□GB/T19001-2016  □GB/T 50430-2017    □GB/T24001-2016</w:t>
            </w:r>
          </w:p>
          <w:p>
            <w:r>
              <w:rPr>
                <w:rFonts w:hint="eastAsia"/>
              </w:rPr>
              <w:t xml:space="preserve">□GB/T28001-2011  □ISO45001：2018 </w:t>
            </w:r>
          </w:p>
          <w:p>
            <w:r>
              <w:rPr>
                <w:rFonts w:hint="eastAsia"/>
              </w:rPr>
              <w:t xml:space="preserve">FSMS： </w:t>
            </w:r>
            <w:r>
              <w:rPr>
                <w:rFonts w:ascii="Segoe UI Emoji" w:hAnsi="Segoe UI Emoji" w:cs="Segoe UI Emoji"/>
              </w:rPr>
              <w:t>☑</w:t>
            </w:r>
            <w:r>
              <w:rPr>
                <w:rFonts w:hint="eastAsia"/>
              </w:rPr>
              <w:t xml:space="preserve"> ISO22000:20</w:t>
            </w:r>
            <w:r>
              <w:t>18</w:t>
            </w:r>
            <w:r>
              <w:rPr>
                <w:rFonts w:hint="eastAsia"/>
              </w:rPr>
              <w:t xml:space="preserve">&amp;专项技术规范：GB/T 27306-2008《食品安全管理体系 餐饮业要求》                  </w:t>
            </w:r>
          </w:p>
          <w:p>
            <w:r>
              <w:rPr>
                <w:rFonts w:hint="eastAsia"/>
              </w:rPr>
              <w:t>HACCP：</w:t>
            </w:r>
            <w:r>
              <w:rPr>
                <w:rFonts w:ascii="Segoe UI Emoji" w:hAnsi="Segoe UI Emoji" w:cs="Segoe UI Emoji"/>
              </w:rPr>
              <w:t>☑</w:t>
            </w:r>
            <w:r>
              <w:rPr>
                <w:rFonts w:hint="eastAsia"/>
              </w:rPr>
              <w:t xml:space="preserve"> GB/T27341-2009 </w:t>
            </w:r>
            <w:r>
              <w:rPr>
                <w:rFonts w:ascii="Segoe UI Emoji" w:hAnsi="Segoe UI Emoji" w:cs="Segoe UI Emoji"/>
              </w:rPr>
              <w:t>☑</w:t>
            </w:r>
            <w:r>
              <w:rPr>
                <w:rFonts w:hint="eastAsia"/>
              </w:rPr>
              <w:t xml:space="preserve"> GB 14881-2013 </w:t>
            </w:r>
            <w:r>
              <w:rPr>
                <w:rFonts w:ascii="Segoe UI Emoji" w:hAnsi="Segoe UI Emoji" w:cs="Segoe UI Emoji"/>
              </w:rPr>
              <w:t>☑</w:t>
            </w:r>
            <w:r>
              <w:rPr>
                <w:rFonts w:hint="eastAsia" w:ascii="宋体" w:hAnsi="宋体" w:cs="宋体"/>
              </w:rPr>
              <w:t>《危害分析与关键控制点（</w:t>
            </w:r>
            <w:r>
              <w:rPr>
                <w:rFonts w:hint="eastAsia"/>
              </w:rPr>
              <w:t>HACCP体系）认证补充要求 1.0》</w:t>
            </w:r>
          </w:p>
          <w:p>
            <w:r>
              <w:rPr>
                <w:rFonts w:ascii="Segoe UI Emoji" w:hAnsi="Segoe UI Emoji" w:cs="Segoe UI Emoji"/>
              </w:rPr>
              <w:t>☑</w:t>
            </w:r>
            <w:r>
              <w:rPr>
                <w:rFonts w:hint="eastAsia" w:ascii="宋体" w:hAnsi="宋体" w:cs="宋体"/>
              </w:rPr>
              <w:t>受审核方</w:t>
            </w:r>
            <w:r>
              <w:rPr>
                <w:rFonts w:hint="eastAsia"/>
              </w:rPr>
              <w:t xml:space="preserve">管理体系成文信息               </w:t>
            </w:r>
            <w:r>
              <w:rPr>
                <w:rFonts w:ascii="Segoe UI Emoji" w:hAnsi="Segoe UI Emoji" w:cs="Segoe UI Emoji"/>
              </w:rPr>
              <w:t>☑</w:t>
            </w:r>
            <w:r>
              <w:rPr>
                <w:rFonts w:hint="eastAsia"/>
              </w:rPr>
              <w:t>顾客要求</w:t>
            </w:r>
          </w:p>
          <w:p>
            <w:pPr>
              <w:jc w:val="left"/>
              <w:rPr>
                <w:rFonts w:hint="eastAsia"/>
              </w:rPr>
            </w:pPr>
            <w:r>
              <w:rPr>
                <w:rFonts w:ascii="Segoe UI Emoji" w:hAnsi="Segoe UI Emoji" w:cs="Segoe UI Emoji"/>
              </w:rPr>
              <w:t>☑</w:t>
            </w:r>
            <w:r>
              <w:rPr>
                <w:rFonts w:hint="eastAsia" w:ascii="宋体" w:hAnsi="宋体" w:cs="宋体"/>
              </w:rPr>
              <w:t>适用于受审核方的法律法规及其他要求</w:t>
            </w:r>
            <w:r>
              <w:rPr>
                <w:rFonts w:hint="eastAsia"/>
              </w:rPr>
              <w:t xml:space="preserve">     </w:t>
            </w:r>
            <w:r>
              <w:rPr>
                <w:rFonts w:ascii="Segoe UI Emoji" w:hAnsi="Segoe UI Emoji" w:cs="Segoe UI Emoji"/>
              </w:rPr>
              <w:t>☑</w:t>
            </w:r>
            <w:r>
              <w:rPr>
                <w:rFonts w:hint="eastAsia" w:ascii="宋体" w:hAnsi="宋体" w:cs="宋体"/>
              </w:rPr>
              <w:t>认证合同</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5199" w:type="dxa"/>
            <w:gridSpan w:val="2"/>
            <w:vAlign w:val="center"/>
          </w:tcPr>
          <w:p/>
        </w:tc>
        <w:tc>
          <w:tcPr>
            <w:tcW w:w="2685"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5199" w:type="dxa"/>
            <w:gridSpan w:val="2"/>
            <w:vAlign w:val="center"/>
          </w:tcPr>
          <w:p>
            <w:r>
              <w:rPr>
                <w:rFonts w:hint="eastAsia" w:ascii="宋体" w:hAnsi="宋体"/>
                <w:color w:val="000000"/>
                <w:u w:val="single"/>
              </w:rPr>
              <w:t>位</w:t>
            </w:r>
            <w:r>
              <w:rPr>
                <w:rFonts w:hint="eastAsia" w:ascii="宋体" w:hAnsi="宋体"/>
                <w:color w:val="000000"/>
              </w:rPr>
              <w:t>于福建省福州市仓山区上三路190号综合楼1层资质范围内的食堂的餐饮管理服务（热食类食品制售）；</w:t>
            </w:r>
          </w:p>
        </w:tc>
        <w:tc>
          <w:tcPr>
            <w:tcW w:w="2685" w:type="dxa"/>
            <w:gridSpan w:val="2"/>
            <w:vAlign w:val="center"/>
          </w:tcPr>
          <w:p>
            <w:r>
              <w:rPr>
                <w:rFonts w:hint="eastAsia"/>
              </w:rPr>
              <w:t>F</w:t>
            </w:r>
            <w: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5199" w:type="dxa"/>
            <w:gridSpan w:val="2"/>
            <w:vAlign w:val="center"/>
          </w:tcPr>
          <w:p>
            <w:r>
              <w:rPr>
                <w:rFonts w:hint="eastAsia" w:ascii="宋体" w:hAnsi="宋体"/>
                <w:color w:val="000000"/>
              </w:rPr>
              <w:t>位于福建省福州市仓山区上三路190号综合楼1层资质范围内的食堂的餐饮管理服务（热食类食品制售）；</w:t>
            </w:r>
          </w:p>
        </w:tc>
        <w:tc>
          <w:tcPr>
            <w:tcW w:w="2685" w:type="dxa"/>
            <w:gridSpan w:val="2"/>
            <w:vAlign w:val="center"/>
          </w:tcPr>
          <w:p>
            <w:r>
              <w: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rPr>
            </w:pPr>
            <w:r>
              <w:rPr>
                <w:rFonts w:hint="eastAsia"/>
              </w:rPr>
              <w:t xml:space="preserve">  20</w:t>
            </w:r>
            <w:r>
              <w:t>19</w:t>
            </w:r>
            <w:r>
              <w:rPr>
                <w:rFonts w:hint="eastAsia"/>
              </w:rPr>
              <w:t xml:space="preserve">年 </w:t>
            </w:r>
            <w:r>
              <w:t>9</w:t>
            </w:r>
            <w:r>
              <w:rPr>
                <w:rFonts w:hint="eastAsia"/>
              </w:rPr>
              <w:t xml:space="preserve"> 月 1  日</w:t>
            </w:r>
          </w:p>
        </w:tc>
        <w:tc>
          <w:tcPr>
            <w:tcW w:w="2466" w:type="dxa"/>
            <w:vAlign w:val="center"/>
          </w:tcPr>
          <w:p>
            <w:r>
              <w:rPr>
                <w:rFonts w:hint="eastAsia"/>
              </w:rPr>
              <w:t>管理体系运行已超过3个月</w:t>
            </w:r>
          </w:p>
        </w:tc>
        <w:tc>
          <w:tcPr>
            <w:tcW w:w="2685" w:type="dxa"/>
            <w:gridSpan w:val="2"/>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2020年 月  日</w:t>
            </w:r>
          </w:p>
        </w:tc>
        <w:tc>
          <w:tcPr>
            <w:tcW w:w="2466" w:type="dxa"/>
            <w:vAlign w:val="center"/>
          </w:tcPr>
          <w:p>
            <w:r>
              <w:rPr>
                <w:rFonts w:hint="eastAsia"/>
              </w:rPr>
              <w:t>认证证书有效期</w:t>
            </w:r>
          </w:p>
          <w:p>
            <w:r>
              <w:rPr>
                <w:rFonts w:hint="eastAsia"/>
              </w:rPr>
              <w:t>（初审除外）</w:t>
            </w:r>
          </w:p>
        </w:tc>
        <w:tc>
          <w:tcPr>
            <w:tcW w:w="2685"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29"/>
        <w:tblW w:w="9639"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81"/>
        <w:gridCol w:w="708"/>
        <w:gridCol w:w="2268"/>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481" w:type="dxa"/>
            <w:shd w:val="clear" w:color="auto" w:fill="F3F3F3"/>
          </w:tcPr>
          <w:p>
            <w:r>
              <w:rPr>
                <w:rFonts w:hint="eastAsia"/>
              </w:rPr>
              <w:t>经营场所的地址</w:t>
            </w:r>
          </w:p>
          <w:p>
            <w:r>
              <w:rPr>
                <w:rFonts w:hint="eastAsia"/>
              </w:rPr>
              <w:t>（多现场和临时现场）</w:t>
            </w:r>
          </w:p>
        </w:tc>
        <w:tc>
          <w:tcPr>
            <w:tcW w:w="708" w:type="dxa"/>
            <w:shd w:val="clear" w:color="auto" w:fill="F3F3F3"/>
            <w:tcMar>
              <w:left w:w="57" w:type="dxa"/>
              <w:right w:w="57" w:type="dxa"/>
            </w:tcMar>
          </w:tcPr>
          <w:p>
            <w:r>
              <w:rPr>
                <w:rFonts w:hint="eastAsia"/>
              </w:rPr>
              <w:t>员工人数</w:t>
            </w:r>
          </w:p>
        </w:tc>
        <w:tc>
          <w:tcPr>
            <w:tcW w:w="2268"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418" w:type="dxa"/>
            <w:shd w:val="clear" w:color="auto" w:fill="F3F3F3"/>
            <w:tcMar>
              <w:left w:w="57" w:type="dxa"/>
              <w:right w:w="57" w:type="dxa"/>
            </w:tcMar>
          </w:tcPr>
          <w:p>
            <w:r>
              <w:rPr>
                <w:rFonts w:hint="eastAsia"/>
              </w:rPr>
              <w:t>标准</w:t>
            </w:r>
          </w:p>
        </w:tc>
        <w:tc>
          <w:tcPr>
            <w:tcW w:w="850"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Theme="minorEastAsia"/>
                <w:szCs w:val="21"/>
              </w:rPr>
            </w:pPr>
            <w:r>
              <w:rPr>
                <w:rFonts w:hint="eastAsia" w:eastAsiaTheme="minorEastAsia"/>
                <w:szCs w:val="21"/>
              </w:rPr>
              <w:t>01</w:t>
            </w:r>
          </w:p>
          <w:p>
            <w:pPr>
              <w:spacing w:before="40" w:after="40"/>
              <w:rPr>
                <w:rFonts w:eastAsia="MS Mincho"/>
                <w:szCs w:val="21"/>
                <w:lang w:eastAsia="ja-JP"/>
              </w:rPr>
            </w:pPr>
          </w:p>
          <w:p>
            <w:pPr>
              <w:spacing w:before="40" w:after="40"/>
              <w:rPr>
                <w:rFonts w:eastAsia="MS Mincho"/>
                <w:szCs w:val="21"/>
                <w:lang w:eastAsia="ja-JP"/>
              </w:rPr>
            </w:pPr>
          </w:p>
        </w:tc>
        <w:tc>
          <w:tcPr>
            <w:tcW w:w="2267" w:type="dxa"/>
          </w:tcPr>
          <w:p>
            <w:pPr>
              <w:jc w:val="left"/>
              <w:rPr>
                <w:rFonts w:ascii="宋体" w:hAnsi="宋体"/>
                <w:szCs w:val="21"/>
              </w:rPr>
            </w:pPr>
            <w:r>
              <w:rPr>
                <w:rFonts w:ascii="宋体" w:hAnsi="宋体"/>
                <w:szCs w:val="21"/>
              </w:rPr>
              <w:t>福建潇湘府餐饮服务有限公司</w:t>
            </w:r>
          </w:p>
          <w:p>
            <w:pPr>
              <w:spacing w:before="40" w:after="40"/>
              <w:rPr>
                <w:bCs/>
                <w:color w:val="000000"/>
                <w:szCs w:val="21"/>
                <w:lang w:val="de-DE" w:eastAsia="ja-JP"/>
              </w:rPr>
            </w:pPr>
            <w:r>
              <w:rPr>
                <w:rFonts w:hint="eastAsia" w:ascii="宋体" w:hAnsi="宋体"/>
                <w:szCs w:val="21"/>
              </w:rPr>
              <w:t>福建省福州市仓山区上三路</w:t>
            </w:r>
            <w:r>
              <w:rPr>
                <w:rFonts w:ascii="宋体" w:hAnsi="宋体"/>
                <w:szCs w:val="21"/>
              </w:rPr>
              <w:t>125</w:t>
            </w:r>
            <w:r>
              <w:rPr>
                <w:rFonts w:hint="eastAsia" w:ascii="宋体" w:hAnsi="宋体"/>
                <w:szCs w:val="21"/>
              </w:rPr>
              <w:t>号福建农业职业技术学院首山校区经管楼三层301室</w:t>
            </w:r>
          </w:p>
        </w:tc>
        <w:tc>
          <w:tcPr>
            <w:tcW w:w="1481" w:type="dxa"/>
          </w:tcPr>
          <w:p>
            <w:pPr>
              <w:rPr>
                <w:rFonts w:eastAsia="黑体"/>
                <w:szCs w:val="21"/>
                <w:lang w:val="de-DE" w:eastAsia="ja-JP"/>
              </w:rPr>
            </w:pPr>
            <w:r>
              <w:rPr>
                <w:rFonts w:hint="eastAsia" w:ascii="宋体" w:hAnsi="宋体"/>
                <w:color w:val="000000" w:themeColor="text1"/>
                <w:szCs w:val="21"/>
                <w14:textFill>
                  <w14:solidFill>
                    <w14:schemeClr w14:val="tx1"/>
                  </w14:solidFill>
                </w14:textFill>
              </w:rPr>
              <w:t>福建省福州市仓山区上三路190号综合楼1层</w:t>
            </w:r>
          </w:p>
        </w:tc>
        <w:tc>
          <w:tcPr>
            <w:tcW w:w="708" w:type="dxa"/>
            <w:vAlign w:val="center"/>
          </w:tcPr>
          <w:p>
            <w:pPr>
              <w:spacing w:before="40" w:after="40"/>
              <w:rPr>
                <w:rFonts w:eastAsia="黑体"/>
                <w:szCs w:val="21"/>
              </w:rPr>
            </w:pPr>
            <w:r>
              <w:rPr>
                <w:rFonts w:hint="eastAsia" w:ascii="宋体" w:hAnsi="宋体"/>
                <w:szCs w:val="21"/>
              </w:rPr>
              <w:t>1</w:t>
            </w:r>
            <w:r>
              <w:rPr>
                <w:rFonts w:ascii="宋体" w:hAnsi="宋体"/>
                <w:szCs w:val="21"/>
              </w:rPr>
              <w:t>5</w:t>
            </w:r>
          </w:p>
        </w:tc>
        <w:tc>
          <w:tcPr>
            <w:tcW w:w="2268" w:type="dxa"/>
            <w:vAlign w:val="center"/>
          </w:tcPr>
          <w:p>
            <w:pPr>
              <w:pStyle w:val="42"/>
              <w:rPr>
                <w:rFonts w:eastAsia="黑体" w:cs="Arial"/>
                <w:sz w:val="21"/>
                <w:szCs w:val="21"/>
                <w:lang w:val="en-US" w:eastAsia="ja-JP"/>
              </w:rPr>
            </w:pPr>
            <w:r>
              <w:rPr>
                <w:rFonts w:hint="eastAsia" w:ascii="宋体" w:hAnsi="宋体" w:eastAsia="宋体" w:cs="宋体"/>
                <w:sz w:val="21"/>
                <w:szCs w:val="21"/>
              </w:rPr>
              <w:t>位于福建省福州市仓山区上三路190号综合楼1层资质范围内的食堂的餐饮管理服务（热食类食品制售）</w:t>
            </w:r>
          </w:p>
        </w:tc>
        <w:tc>
          <w:tcPr>
            <w:tcW w:w="1418" w:type="dxa"/>
            <w:vAlign w:val="center"/>
          </w:tcPr>
          <w:p>
            <w:pPr>
              <w:spacing w:before="40" w:after="40"/>
              <w:rPr>
                <w:rFonts w:eastAsia="黑体"/>
                <w:szCs w:val="21"/>
              </w:rPr>
            </w:pPr>
            <w:r>
              <w:rPr>
                <w:rFonts w:hint="eastAsia" w:ascii="宋体" w:hAnsi="宋体"/>
                <w:szCs w:val="21"/>
                <w:lang w:val="de-DE"/>
              </w:rPr>
              <w:t>见审核准则</w:t>
            </w:r>
            <w:r>
              <w:rPr>
                <w:rFonts w:hint="eastAsia" w:ascii="宋体" w:hAnsi="宋体"/>
                <w:szCs w:val="21"/>
              </w:rPr>
              <w:t xml:space="preserve">              </w:t>
            </w:r>
          </w:p>
        </w:tc>
        <w:tc>
          <w:tcPr>
            <w:tcW w:w="850" w:type="dxa"/>
            <w:shd w:val="clear" w:color="auto" w:fill="FFFFFF"/>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rPr>
            </w:pPr>
          </w:p>
        </w:tc>
        <w:tc>
          <w:tcPr>
            <w:tcW w:w="2267" w:type="dxa"/>
          </w:tcPr>
          <w:p>
            <w:pPr>
              <w:spacing w:before="40" w:after="40"/>
              <w:rPr>
                <w:color w:val="000000"/>
                <w:szCs w:val="21"/>
                <w:highlight w:val="cyan"/>
                <w:lang w:val="de-DE" w:eastAsia="ja-JP"/>
              </w:rPr>
            </w:pPr>
          </w:p>
        </w:tc>
        <w:tc>
          <w:tcPr>
            <w:tcW w:w="1481" w:type="dxa"/>
          </w:tcPr>
          <w:p>
            <w:pPr>
              <w:spacing w:before="40" w:after="40"/>
              <w:rPr>
                <w:rFonts w:eastAsia="黑体"/>
                <w:szCs w:val="21"/>
                <w:highlight w:val="cyan"/>
                <w:lang w:eastAsia="ja-JP"/>
              </w:rPr>
            </w:pPr>
          </w:p>
        </w:tc>
        <w:tc>
          <w:tcPr>
            <w:tcW w:w="708" w:type="dxa"/>
            <w:vAlign w:val="center"/>
          </w:tcPr>
          <w:p>
            <w:pPr>
              <w:spacing w:before="40" w:after="40"/>
              <w:rPr>
                <w:rFonts w:eastAsia="黑体"/>
                <w:szCs w:val="21"/>
                <w:highlight w:val="cyan"/>
                <w:lang w:eastAsia="ja-JP"/>
              </w:rPr>
            </w:pPr>
          </w:p>
        </w:tc>
        <w:tc>
          <w:tcPr>
            <w:tcW w:w="2268" w:type="dxa"/>
            <w:vAlign w:val="center"/>
          </w:tcPr>
          <w:p>
            <w:pPr>
              <w:pStyle w:val="42"/>
              <w:rPr>
                <w:rFonts w:eastAsia="黑体" w:cs="Arial"/>
                <w:sz w:val="21"/>
                <w:szCs w:val="21"/>
                <w:highlight w:val="cyan"/>
                <w:lang w:val="en-US" w:eastAsia="ja-JP"/>
              </w:rPr>
            </w:pPr>
          </w:p>
        </w:tc>
        <w:tc>
          <w:tcPr>
            <w:tcW w:w="1418" w:type="dxa"/>
            <w:vAlign w:val="center"/>
          </w:tcPr>
          <w:p>
            <w:pPr>
              <w:spacing w:before="40" w:after="40"/>
              <w:rPr>
                <w:rFonts w:eastAsia="黑体"/>
                <w:szCs w:val="21"/>
                <w:highlight w:val="cyan"/>
                <w:lang w:eastAsia="ja-JP"/>
              </w:rPr>
            </w:pPr>
          </w:p>
        </w:tc>
        <w:tc>
          <w:tcPr>
            <w:tcW w:w="850" w:type="dxa"/>
            <w:shd w:val="clear" w:color="auto" w:fill="FFFFFF"/>
          </w:tcPr>
          <w:p>
            <w:pPr>
              <w:rPr>
                <w:rFonts w:eastAsia="黑体"/>
                <w:szCs w:val="21"/>
              </w:rPr>
            </w:pPr>
          </w:p>
        </w:tc>
      </w:tr>
    </w:tbl>
    <w:p/>
    <w:p>
      <w:r>
        <w:rPr>
          <w:rFonts w:hint="eastAsia"/>
        </w:rPr>
        <w:t>三、任何影响审核方案的重要事项：</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4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2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722"/>
        <w:gridCol w:w="1134"/>
        <w:gridCol w:w="3119"/>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9" w:type="dxa"/>
            <w:vAlign w:val="center"/>
          </w:tcPr>
          <w:p>
            <w:r>
              <w:rPr>
                <w:rFonts w:hint="eastAsia"/>
              </w:rPr>
              <w:t>姓名</w:t>
            </w:r>
          </w:p>
        </w:tc>
        <w:tc>
          <w:tcPr>
            <w:tcW w:w="2722" w:type="dxa"/>
            <w:vAlign w:val="center"/>
          </w:tcPr>
          <w:p>
            <w:r>
              <w:rPr>
                <w:rFonts w:hint="eastAsia"/>
              </w:rPr>
              <w:t>组内</w:t>
            </w:r>
          </w:p>
          <w:p>
            <w:r>
              <w:rPr>
                <w:rFonts w:hint="eastAsia"/>
              </w:rPr>
              <w:t>身份</w:t>
            </w:r>
          </w:p>
        </w:tc>
        <w:tc>
          <w:tcPr>
            <w:tcW w:w="1134" w:type="dxa"/>
            <w:vAlign w:val="center"/>
          </w:tcPr>
          <w:p>
            <w:r>
              <w:rPr>
                <w:rFonts w:hint="eastAsia"/>
              </w:rPr>
              <w:t>性别</w:t>
            </w:r>
          </w:p>
        </w:tc>
        <w:tc>
          <w:tcPr>
            <w:tcW w:w="3119" w:type="dxa"/>
            <w:vAlign w:val="center"/>
          </w:tcPr>
          <w:p>
            <w:r>
              <w:rPr>
                <w:rFonts w:hint="eastAsia"/>
              </w:rPr>
              <w:t>审核员注册证书号</w:t>
            </w:r>
          </w:p>
        </w:tc>
        <w:tc>
          <w:tcPr>
            <w:tcW w:w="1583"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39" w:type="dxa"/>
            <w:vAlign w:val="center"/>
          </w:tcPr>
          <w:p>
            <w:pPr>
              <w:jc w:val="center"/>
              <w:rPr>
                <w:b/>
                <w:color w:val="000000"/>
                <w:szCs w:val="21"/>
              </w:rPr>
            </w:pPr>
            <w:r>
              <w:rPr>
                <w:rFonts w:ascii="宋体" w:hAnsi="宋体"/>
                <w:szCs w:val="21"/>
              </w:rPr>
              <w:t>张静</w:t>
            </w:r>
          </w:p>
        </w:tc>
        <w:tc>
          <w:tcPr>
            <w:tcW w:w="2722" w:type="dxa"/>
            <w:vAlign w:val="center"/>
          </w:tcPr>
          <w:p>
            <w:pPr>
              <w:jc w:val="left"/>
              <w:rPr>
                <w:b/>
                <w:color w:val="000000"/>
                <w:szCs w:val="21"/>
              </w:rPr>
            </w:pPr>
            <w:r>
              <w:rPr>
                <w:rFonts w:hint="eastAsia"/>
                <w:szCs w:val="21"/>
              </w:rPr>
              <w:t>审核组长（</w:t>
            </w:r>
            <w:r>
              <w:rPr>
                <w:szCs w:val="21"/>
              </w:rPr>
              <w:t>H</w:t>
            </w:r>
            <w:r>
              <w:rPr>
                <w:rFonts w:hint="eastAsia"/>
                <w:szCs w:val="21"/>
              </w:rPr>
              <w:t>）（见证邝柏臣F组长）</w:t>
            </w:r>
          </w:p>
        </w:tc>
        <w:tc>
          <w:tcPr>
            <w:tcW w:w="1134" w:type="dxa"/>
            <w:vAlign w:val="center"/>
          </w:tcPr>
          <w:p>
            <w:pPr>
              <w:jc w:val="center"/>
              <w:rPr>
                <w:b/>
                <w:color w:val="000000"/>
                <w:szCs w:val="21"/>
              </w:rPr>
            </w:pPr>
            <w:r>
              <w:rPr>
                <w:rFonts w:hint="eastAsia" w:ascii="宋体" w:hAnsi="宋体"/>
                <w:b/>
                <w:color w:val="000000"/>
                <w:szCs w:val="21"/>
              </w:rPr>
              <w:t>女</w:t>
            </w:r>
          </w:p>
        </w:tc>
        <w:tc>
          <w:tcPr>
            <w:tcW w:w="3119" w:type="dxa"/>
            <w:vAlign w:val="center"/>
          </w:tcPr>
          <w:p>
            <w:pPr>
              <w:spacing w:line="240" w:lineRule="exact"/>
              <w:jc w:val="center"/>
              <w:rPr>
                <w:rFonts w:ascii="宋体" w:hAnsi="宋体"/>
                <w:color w:val="000000"/>
                <w:szCs w:val="21"/>
              </w:rPr>
            </w:pPr>
            <w:r>
              <w:rPr>
                <w:rFonts w:ascii="宋体" w:hAnsi="宋体"/>
                <w:color w:val="000000"/>
                <w:szCs w:val="21"/>
              </w:rPr>
              <w:t>2017-N1FSMS-2011923</w:t>
            </w:r>
          </w:p>
          <w:p>
            <w:pPr>
              <w:jc w:val="center"/>
              <w:rPr>
                <w:b/>
                <w:color w:val="000000"/>
                <w:szCs w:val="21"/>
              </w:rPr>
            </w:pPr>
            <w:r>
              <w:rPr>
                <w:rFonts w:ascii="宋体" w:hAnsi="宋体"/>
                <w:color w:val="000000"/>
                <w:szCs w:val="21"/>
              </w:rPr>
              <w:t>2018-N1HACCP-1011923</w:t>
            </w:r>
          </w:p>
        </w:tc>
        <w:tc>
          <w:tcPr>
            <w:tcW w:w="1583" w:type="dxa"/>
            <w:vAlign w:val="center"/>
          </w:tcPr>
          <w:p>
            <w:pPr>
              <w:rPr>
                <w:rFonts w:ascii="宋体" w:hAnsi="宋体" w:cs="宋体"/>
                <w:color w:val="000000"/>
                <w:szCs w:val="21"/>
              </w:rPr>
            </w:pPr>
            <w:r>
              <w:rPr>
                <w:rFonts w:ascii="宋体" w:hAnsi="宋体" w:cs="宋体"/>
                <w:color w:val="000000"/>
                <w:szCs w:val="21"/>
              </w:rPr>
              <w:t>F</w:t>
            </w:r>
            <w:r>
              <w:rPr>
                <w:rFonts w:hint="eastAsia" w:ascii="宋体" w:hAnsi="宋体" w:cs="宋体"/>
                <w:color w:val="000000"/>
                <w:szCs w:val="21"/>
              </w:rPr>
              <w:t>：E</w:t>
            </w:r>
          </w:p>
          <w:p>
            <w:pPr>
              <w:rPr>
                <w:b/>
                <w:color w:val="000000"/>
                <w:szCs w:val="21"/>
              </w:rPr>
            </w:pPr>
            <w:r>
              <w:rPr>
                <w:rFonts w:ascii="宋体" w:hAnsi="宋体" w:cs="宋体"/>
                <w:color w:val="000000"/>
                <w:szCs w:val="21"/>
              </w:rPr>
              <w:t>H</w:t>
            </w:r>
            <w:r>
              <w:rPr>
                <w:rFonts w:hint="eastAsia" w:ascii="宋体" w:hAnsi="宋体" w:cs="宋体"/>
                <w:color w:val="000000"/>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39" w:type="dxa"/>
            <w:vAlign w:val="center"/>
          </w:tcPr>
          <w:p>
            <w:pPr>
              <w:spacing w:line="240" w:lineRule="exact"/>
              <w:jc w:val="center"/>
              <w:rPr>
                <w:b/>
                <w:color w:val="000000"/>
                <w:szCs w:val="21"/>
              </w:rPr>
            </w:pPr>
            <w:r>
              <w:rPr>
                <w:rFonts w:hint="eastAsia" w:ascii="宋体" w:hAnsi="宋体"/>
                <w:szCs w:val="21"/>
              </w:rPr>
              <w:t>邝</w:t>
            </w:r>
            <w:r>
              <w:rPr>
                <w:rFonts w:ascii="宋体" w:hAnsi="宋体"/>
                <w:szCs w:val="21"/>
              </w:rPr>
              <w:t>柏臣</w:t>
            </w:r>
          </w:p>
        </w:tc>
        <w:tc>
          <w:tcPr>
            <w:tcW w:w="2722" w:type="dxa"/>
            <w:vAlign w:val="center"/>
          </w:tcPr>
          <w:p>
            <w:pPr>
              <w:jc w:val="left"/>
              <w:rPr>
                <w:b/>
                <w:color w:val="000000"/>
                <w:szCs w:val="21"/>
              </w:rPr>
            </w:pPr>
            <w:r>
              <w:rPr>
                <w:rFonts w:hint="eastAsia"/>
                <w:szCs w:val="21"/>
              </w:rPr>
              <w:t>审核组长（F</w:t>
            </w:r>
            <w:r>
              <w:rPr>
                <w:szCs w:val="21"/>
              </w:rPr>
              <w:t>SMS</w:t>
            </w:r>
            <w:r>
              <w:rPr>
                <w:rFonts w:hint="eastAsia"/>
                <w:szCs w:val="21"/>
              </w:rPr>
              <w:t>）（被张静见证）（H实习）</w:t>
            </w:r>
          </w:p>
        </w:tc>
        <w:tc>
          <w:tcPr>
            <w:tcW w:w="1134" w:type="dxa"/>
            <w:vAlign w:val="center"/>
          </w:tcPr>
          <w:p>
            <w:pPr>
              <w:ind w:firstLine="316" w:firstLineChars="150"/>
              <w:rPr>
                <w:b/>
                <w:color w:val="000000"/>
                <w:szCs w:val="21"/>
              </w:rPr>
            </w:pPr>
            <w:r>
              <w:rPr>
                <w:rFonts w:hint="eastAsia" w:ascii="宋体" w:hAnsi="宋体"/>
                <w:b/>
                <w:color w:val="000000"/>
                <w:szCs w:val="21"/>
              </w:rPr>
              <w:t>男</w:t>
            </w:r>
          </w:p>
        </w:tc>
        <w:tc>
          <w:tcPr>
            <w:tcW w:w="3119" w:type="dxa"/>
            <w:vAlign w:val="center"/>
          </w:tcPr>
          <w:p>
            <w:pPr>
              <w:spacing w:line="240" w:lineRule="exact"/>
              <w:jc w:val="center"/>
              <w:rPr>
                <w:rFonts w:ascii="宋体" w:hAnsi="宋体"/>
                <w:szCs w:val="21"/>
              </w:rPr>
            </w:pPr>
            <w:r>
              <w:rPr>
                <w:rFonts w:ascii="宋体" w:hAnsi="宋体"/>
                <w:color w:val="000000"/>
                <w:szCs w:val="21"/>
              </w:rPr>
              <w:t>2020-N1FSMS-1222839</w:t>
            </w:r>
          </w:p>
          <w:p>
            <w:pPr>
              <w:jc w:val="center"/>
              <w:rPr>
                <w:b/>
                <w:color w:val="000000"/>
                <w:szCs w:val="21"/>
              </w:rPr>
            </w:pPr>
            <w:r>
              <w:rPr>
                <w:rFonts w:hint="eastAsia" w:ascii="宋体" w:hAnsi="宋体"/>
                <w:b/>
                <w:color w:val="000000"/>
                <w:szCs w:val="21"/>
              </w:rPr>
              <w:t>考试</w:t>
            </w:r>
            <w:r>
              <w:rPr>
                <w:rFonts w:ascii="宋体" w:hAnsi="宋体"/>
                <w:b/>
                <w:color w:val="000000"/>
                <w:szCs w:val="21"/>
              </w:rPr>
              <w:t>成绩合格</w:t>
            </w:r>
          </w:p>
        </w:tc>
        <w:tc>
          <w:tcPr>
            <w:tcW w:w="1583"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39" w:type="dxa"/>
            <w:vAlign w:val="center"/>
          </w:tcPr>
          <w:p>
            <w:pPr>
              <w:jc w:val="center"/>
              <w:rPr>
                <w:b/>
                <w:color w:val="000000"/>
                <w:szCs w:val="21"/>
              </w:rPr>
            </w:pPr>
            <w:r>
              <w:rPr>
                <w:rFonts w:ascii="宋体" w:hAnsi="宋体"/>
                <w:szCs w:val="21"/>
              </w:rPr>
              <w:t>肖新龙</w:t>
            </w:r>
          </w:p>
        </w:tc>
        <w:tc>
          <w:tcPr>
            <w:tcW w:w="2722" w:type="dxa"/>
            <w:vAlign w:val="center"/>
          </w:tcPr>
          <w:p>
            <w:pPr>
              <w:jc w:val="left"/>
              <w:rPr>
                <w:szCs w:val="21"/>
              </w:rPr>
            </w:pPr>
            <w:r>
              <w:rPr>
                <w:rFonts w:hint="eastAsia"/>
                <w:szCs w:val="21"/>
              </w:rPr>
              <w:t>审核员</w:t>
            </w:r>
            <w:r>
              <w:rPr>
                <w:szCs w:val="21"/>
              </w:rPr>
              <w:t>1</w:t>
            </w:r>
          </w:p>
          <w:p>
            <w:pPr>
              <w:jc w:val="left"/>
              <w:rPr>
                <w:b/>
                <w:color w:val="000000"/>
                <w:szCs w:val="21"/>
              </w:rPr>
            </w:pPr>
            <w:r>
              <w:rPr>
                <w:rFonts w:hint="eastAsia"/>
                <w:szCs w:val="21"/>
              </w:rPr>
              <w:t>（H实习）</w:t>
            </w:r>
          </w:p>
        </w:tc>
        <w:tc>
          <w:tcPr>
            <w:tcW w:w="1134" w:type="dxa"/>
            <w:vAlign w:val="center"/>
          </w:tcPr>
          <w:p>
            <w:pPr>
              <w:jc w:val="center"/>
              <w:rPr>
                <w:b/>
                <w:color w:val="000000"/>
                <w:szCs w:val="21"/>
              </w:rPr>
            </w:pPr>
            <w:r>
              <w:rPr>
                <w:rFonts w:hint="eastAsia" w:ascii="宋体" w:hAnsi="宋体"/>
                <w:b/>
                <w:color w:val="000000"/>
                <w:szCs w:val="21"/>
              </w:rPr>
              <w:t>女</w:t>
            </w:r>
          </w:p>
        </w:tc>
        <w:tc>
          <w:tcPr>
            <w:tcW w:w="3119" w:type="dxa"/>
            <w:vAlign w:val="center"/>
          </w:tcPr>
          <w:p>
            <w:pPr>
              <w:jc w:val="center"/>
              <w:rPr>
                <w:rFonts w:ascii="宋体" w:hAnsi="宋体"/>
                <w:color w:val="000000"/>
                <w:szCs w:val="21"/>
              </w:rPr>
            </w:pPr>
            <w:r>
              <w:rPr>
                <w:rFonts w:ascii="宋体" w:hAnsi="宋体"/>
                <w:color w:val="000000"/>
                <w:szCs w:val="21"/>
              </w:rPr>
              <w:t>2020-N1FSMS-1232380</w:t>
            </w:r>
          </w:p>
          <w:p>
            <w:pPr>
              <w:jc w:val="center"/>
              <w:rPr>
                <w:b/>
                <w:color w:val="000000"/>
                <w:szCs w:val="21"/>
              </w:rPr>
            </w:pPr>
            <w:r>
              <w:rPr>
                <w:rFonts w:hint="eastAsia" w:ascii="宋体" w:hAnsi="宋体"/>
                <w:b/>
                <w:color w:val="000000"/>
                <w:szCs w:val="21"/>
              </w:rPr>
              <w:t>考试</w:t>
            </w:r>
            <w:r>
              <w:rPr>
                <w:rFonts w:ascii="宋体" w:hAnsi="宋体"/>
                <w:b/>
                <w:color w:val="000000"/>
                <w:szCs w:val="21"/>
              </w:rPr>
              <w:t>成绩合格</w:t>
            </w:r>
          </w:p>
        </w:tc>
        <w:tc>
          <w:tcPr>
            <w:tcW w:w="1583"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39" w:type="dxa"/>
            <w:vAlign w:val="center"/>
          </w:tcPr>
          <w:p/>
        </w:tc>
        <w:tc>
          <w:tcPr>
            <w:tcW w:w="2722" w:type="dxa"/>
            <w:vAlign w:val="center"/>
          </w:tcPr>
          <w:p>
            <w:r>
              <w:rPr>
                <w:rFonts w:hint="eastAsia"/>
              </w:rPr>
              <w:t>技术专家</w:t>
            </w:r>
          </w:p>
        </w:tc>
        <w:tc>
          <w:tcPr>
            <w:tcW w:w="1134" w:type="dxa"/>
            <w:vAlign w:val="center"/>
          </w:tcPr>
          <w:p/>
        </w:tc>
        <w:tc>
          <w:tcPr>
            <w:tcW w:w="3119" w:type="dxa"/>
            <w:vAlign w:val="center"/>
          </w:tcPr>
          <w:p/>
        </w:tc>
        <w:tc>
          <w:tcPr>
            <w:tcW w:w="158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39" w:type="dxa"/>
            <w:vAlign w:val="center"/>
          </w:tcPr>
          <w:p>
            <w:r>
              <w:rPr>
                <w:rFonts w:hint="eastAsia"/>
              </w:rPr>
              <w:t>姓名</w:t>
            </w:r>
          </w:p>
        </w:tc>
        <w:tc>
          <w:tcPr>
            <w:tcW w:w="2722" w:type="dxa"/>
            <w:vAlign w:val="center"/>
          </w:tcPr>
          <w:p>
            <w:r>
              <w:rPr>
                <w:rFonts w:hint="eastAsia"/>
              </w:rPr>
              <w:t>作用</w:t>
            </w:r>
          </w:p>
        </w:tc>
        <w:tc>
          <w:tcPr>
            <w:tcW w:w="1134" w:type="dxa"/>
            <w:vAlign w:val="center"/>
          </w:tcPr>
          <w:p>
            <w:r>
              <w:rPr>
                <w:rFonts w:hint="eastAsia"/>
              </w:rPr>
              <w:t>性别</w:t>
            </w:r>
          </w:p>
        </w:tc>
        <w:tc>
          <w:tcPr>
            <w:tcW w:w="3119" w:type="dxa"/>
            <w:vAlign w:val="center"/>
          </w:tcPr>
          <w:p>
            <w:r>
              <w:rPr>
                <w:rFonts w:hint="eastAsia"/>
              </w:rPr>
              <w:t>工作单位</w:t>
            </w:r>
          </w:p>
        </w:tc>
        <w:tc>
          <w:tcPr>
            <w:tcW w:w="1583"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39" w:type="dxa"/>
            <w:vAlign w:val="center"/>
          </w:tcPr>
          <w:p/>
        </w:tc>
        <w:tc>
          <w:tcPr>
            <w:tcW w:w="2722" w:type="dxa"/>
            <w:vAlign w:val="center"/>
          </w:tcPr>
          <w:p>
            <w:r>
              <w:rPr>
                <w:rFonts w:hint="eastAsia"/>
              </w:rPr>
              <w:t>观察员</w:t>
            </w:r>
          </w:p>
        </w:tc>
        <w:tc>
          <w:tcPr>
            <w:tcW w:w="1134" w:type="dxa"/>
            <w:vAlign w:val="center"/>
          </w:tcPr>
          <w:p/>
        </w:tc>
        <w:tc>
          <w:tcPr>
            <w:tcW w:w="3119" w:type="dxa"/>
            <w:vAlign w:val="center"/>
          </w:tcPr>
          <w:p/>
        </w:tc>
        <w:tc>
          <w:tcPr>
            <w:tcW w:w="158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39" w:type="dxa"/>
            <w:vAlign w:val="center"/>
          </w:tcPr>
          <w:p/>
        </w:tc>
        <w:tc>
          <w:tcPr>
            <w:tcW w:w="2722" w:type="dxa"/>
            <w:vAlign w:val="center"/>
          </w:tcPr>
          <w:p/>
        </w:tc>
        <w:tc>
          <w:tcPr>
            <w:tcW w:w="1134" w:type="dxa"/>
            <w:vAlign w:val="center"/>
          </w:tcPr>
          <w:p/>
        </w:tc>
        <w:tc>
          <w:tcPr>
            <w:tcW w:w="3119" w:type="dxa"/>
            <w:vAlign w:val="center"/>
          </w:tcPr>
          <w:p/>
        </w:tc>
        <w:tc>
          <w:tcPr>
            <w:tcW w:w="1583" w:type="dxa"/>
            <w:vAlign w:val="center"/>
          </w:tcPr>
          <w:p/>
        </w:tc>
      </w:tr>
    </w:tbl>
    <w:p>
      <w:pPr>
        <w:rPr>
          <w:rFonts w:eastAsia="MS Mincho"/>
          <w:lang w:eastAsia="ja-JP"/>
        </w:rPr>
      </w:pPr>
    </w:p>
    <w:p>
      <w:r>
        <w:rPr>
          <w:rFonts w:hint="eastAsia"/>
        </w:rPr>
        <w:t xml:space="preserve">六、上次审核后发生的影响组织管理体系的重要变更（不适用）  </w:t>
      </w:r>
    </w:p>
    <w:tbl>
      <w:tblPr>
        <w:tblStyle w:val="2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7"/>
        </w:numPr>
      </w:pPr>
      <w:r>
        <w:t>审核发现</w:t>
      </w:r>
      <w:r>
        <w:rPr>
          <w:rFonts w:hint="eastAsia"/>
        </w:rPr>
        <w:t>（见 □QMS □EcMS □EMS ☑FSMS ☑HACCP □OHSMS的附件）</w:t>
      </w:r>
    </w:p>
    <w:tbl>
      <w:tblPr>
        <w:tblStyle w:val="30"/>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shd w:val="clear" w:color="auto" w:fill="D7D7D7" w:themeFill="background1" w:themeFillShade="D8"/>
          </w:tcPr>
          <w:p>
            <w:r>
              <w:rPr>
                <w:rFonts w:hint="eastAsia"/>
              </w:rPr>
              <w:t>审核周期</w:t>
            </w:r>
          </w:p>
        </w:tc>
        <w:tc>
          <w:tcPr>
            <w:tcW w:w="8691" w:type="dxa"/>
            <w:shd w:val="clear" w:color="auto" w:fill="D7D7D7" w:themeFill="background1" w:themeFillShade="D8"/>
          </w:tcPr>
          <w:p>
            <w:r>
              <w:rPr>
                <w:rFonts w:hint="eastAsia"/>
              </w:rPr>
              <w:t xml:space="preserve"> ☑体系建立以来   □定期（近一年）  □其他</w:t>
            </w:r>
          </w:p>
        </w:tc>
      </w:tr>
    </w:tbl>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无重大食品安全事故和投诉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未关闭，见二阶段审核报告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rPr>
              <w:t>不适用</w:t>
            </w:r>
          </w:p>
        </w:tc>
      </w:tr>
    </w:tbl>
    <w:p/>
    <w:p>
      <w:r>
        <w:rPr>
          <w:rFonts w:hint="eastAsia"/>
        </w:rPr>
        <w:t>八、已识别出的任何未解决的问题：不适用</w:t>
      </w:r>
    </w:p>
    <w:p>
      <w:r>
        <w:rPr>
          <w:rFonts w:hint="eastAsia"/>
        </w:rPr>
        <w:t>□可能影响本次审核结论可靠性的因素：</w:t>
      </w:r>
    </w:p>
    <w:tbl>
      <w:tblPr>
        <w:tblStyle w:val="3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3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r>
              <w:rPr>
                <w:rFonts w:hint="eastAsia"/>
              </w:rPr>
              <w:t>4</w:t>
            </w:r>
          </w:p>
        </w:tc>
        <w:tc>
          <w:tcPr>
            <w:tcW w:w="1717" w:type="dxa"/>
          </w:tcPr>
          <w:p>
            <w:r>
              <w:rPr>
                <w:rFonts w:hint="eastAsia"/>
              </w:rPr>
              <w:t>0</w:t>
            </w: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r>
              <w:rPr>
                <w:rFonts w:hint="eastAsia"/>
              </w:rPr>
              <w:t>3</w:t>
            </w:r>
          </w:p>
        </w:tc>
        <w:tc>
          <w:tcPr>
            <w:tcW w:w="1717" w:type="dxa"/>
          </w:tcPr>
          <w:p>
            <w:r>
              <w:rPr>
                <w:rFonts w:hint="eastAsia"/>
              </w:rPr>
              <w:t>0</w:t>
            </w: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2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pPr>
              <w:rPr>
                <w:rFonts w:hint="eastAsia"/>
              </w:rPr>
            </w:pPr>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☑FSMS基本满足ISO22000:</w:t>
            </w:r>
            <w:r>
              <w:t>2018</w:t>
            </w:r>
            <w:r>
              <w:rPr>
                <w:rFonts w:hint="eastAsia"/>
              </w:rPr>
              <w:t>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☑HACCP基本满足GB/T27341-2009&amp;GB14881-2013标准的要求，建立了自我完善机制，环境管理体系运行基本有效。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QMS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EcMS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FSMS</w:t>
            </w:r>
          </w:p>
        </w:tc>
        <w:tc>
          <w:tcPr>
            <w:tcW w:w="7380" w:type="dxa"/>
            <w:gridSpan w:val="3"/>
            <w:shd w:val="clear" w:color="auto" w:fill="auto"/>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HACCP</w:t>
            </w:r>
          </w:p>
        </w:tc>
        <w:tc>
          <w:tcPr>
            <w:tcW w:w="7380" w:type="dxa"/>
            <w:gridSpan w:val="3"/>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EMS</w:t>
            </w:r>
          </w:p>
        </w:tc>
        <w:tc>
          <w:tcPr>
            <w:tcW w:w="7380" w:type="dxa"/>
            <w:gridSpan w:val="3"/>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OHSMS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r>
              <w:rPr>
                <w:rFonts w:hint="eastAsia"/>
              </w:rPr>
              <w:t>审核组长签字</w:t>
            </w:r>
          </w:p>
        </w:tc>
        <w:tc>
          <w:tcPr>
            <w:tcW w:w="2835" w:type="dxa"/>
            <w:gridSpan w:val="2"/>
            <w:shd w:val="clear" w:color="auto" w:fill="auto"/>
          </w:tcPr>
          <w:p>
            <w:r>
              <w:rPr>
                <w:rFonts w:ascii="宋体" w:hAnsi="宋体" w:cs="宋体"/>
                <w:kern w:val="0"/>
                <w:szCs w:val="21"/>
              </w:rPr>
              <w:drawing>
                <wp:inline distT="0" distB="0" distL="114300" distR="114300">
                  <wp:extent cx="632460" cy="384810"/>
                  <wp:effectExtent l="0" t="0" r="7620" b="1143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632460" cy="384810"/>
                          </a:xfrm>
                          <a:prstGeom prst="rect">
                            <a:avLst/>
                          </a:prstGeom>
                          <a:noFill/>
                          <a:ln>
                            <a:noFill/>
                          </a:ln>
                        </pic:spPr>
                      </pic:pic>
                    </a:graphicData>
                  </a:graphic>
                </wp:inline>
              </w:drawing>
            </w:r>
            <w:r>
              <w:rPr>
                <w:rFonts w:hint="eastAsia" w:ascii="宋体" w:hAnsi="宋体" w:cs="宋体"/>
                <w:kern w:val="0"/>
                <w:szCs w:val="21"/>
                <w:lang w:val="en-US" w:eastAsia="zh-CN"/>
              </w:rPr>
              <w:t xml:space="preserve"> </w:t>
            </w:r>
            <w:r>
              <w:rPr>
                <w:rFonts w:hint="eastAsia" w:ascii="宋体" w:eastAsia="宋体"/>
                <w:b/>
                <w:color w:val="000000"/>
                <w:szCs w:val="21"/>
                <w:lang w:eastAsia="zh-CN"/>
              </w:rPr>
              <w:drawing>
                <wp:inline distT="0" distB="0" distL="114300" distR="114300">
                  <wp:extent cx="855345" cy="273050"/>
                  <wp:effectExtent l="0" t="0" r="13335" b="1270"/>
                  <wp:docPr id="15" name="图片 15" descr="a78afb0a35abd893fa0562ff1c6b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8afb0a35abd893fa0562ff1c6bc29"/>
                          <pic:cNvPicPr>
                            <a:picLocks noChangeAspect="1"/>
                          </pic:cNvPicPr>
                        </pic:nvPicPr>
                        <pic:blipFill>
                          <a:blip r:embed="rId7"/>
                          <a:stretch>
                            <a:fillRect/>
                          </a:stretch>
                        </pic:blipFill>
                        <pic:spPr>
                          <a:xfrm>
                            <a:off x="0" y="0"/>
                            <a:ext cx="855345" cy="273050"/>
                          </a:xfrm>
                          <a:prstGeom prst="rect">
                            <a:avLst/>
                          </a:prstGeom>
                        </pic:spPr>
                      </pic:pic>
                    </a:graphicData>
                  </a:graphic>
                </wp:inline>
              </w:drawing>
            </w:r>
          </w:p>
        </w:tc>
        <w:tc>
          <w:tcPr>
            <w:tcW w:w="2835" w:type="dxa"/>
            <w:shd w:val="clear" w:color="auto" w:fill="auto"/>
          </w:tcPr>
          <w:p>
            <w:r>
              <w:rPr>
                <w:rFonts w:hint="eastAsia"/>
              </w:rPr>
              <w:t>日期</w:t>
            </w:r>
          </w:p>
        </w:tc>
        <w:tc>
          <w:tcPr>
            <w:tcW w:w="2836" w:type="dxa"/>
            <w:shd w:val="clear" w:color="auto" w:fill="auto"/>
          </w:tcPr>
          <w:p>
            <w:r>
              <w:rPr>
                <w:rFonts w:hint="eastAsia"/>
              </w:rPr>
              <w:t>2020-</w:t>
            </w:r>
            <w:r>
              <w:t>10-</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p>
      <w:r>
        <w:rPr>
          <w:rFonts w:hint="eastAsia"/>
        </w:rPr>
        <w:t>十四、认证评定与批准</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30"/>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PrEx>
        <w:tc>
          <w:tcPr>
            <w:tcW w:w="680" w:type="dxa"/>
            <w:shd w:val="clear" w:color="auto" w:fill="F4B8FF"/>
          </w:tcPr>
          <w:p>
            <w:pPr>
              <w:shd w:val="clear" w:color="auto" w:fill="F4B8FF"/>
            </w:pPr>
            <w:r>
              <w:rPr>
                <w:rFonts w:hint="eastAsia"/>
              </w:rPr>
              <w:t>审核周期</w:t>
            </w:r>
          </w:p>
        </w:tc>
        <w:tc>
          <w:tcPr>
            <w:tcW w:w="9634" w:type="dxa"/>
            <w:shd w:val="clear" w:color="auto" w:fill="F4B8FF"/>
          </w:tcPr>
          <w:p>
            <w:pPr>
              <w:shd w:val="clear" w:color="auto" w:fill="F4B8FF"/>
            </w:pPr>
            <w:r>
              <w:rPr>
                <w:rFonts w:hint="eastAsia"/>
              </w:rPr>
              <w:t xml:space="preserve"> ☑FSMS体系建立以来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634"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restart"/>
            <w:shd w:val="clear" w:color="auto" w:fill="F4B8FF"/>
          </w:tcPr>
          <w:p>
            <w:pPr>
              <w:shd w:val="clear" w:color="auto" w:fill="F4B8FF"/>
            </w:pPr>
            <w:r>
              <w:rPr>
                <w:rFonts w:hint="eastAsia"/>
              </w:rPr>
              <w:t>组织环境</w:t>
            </w:r>
          </w:p>
        </w:tc>
        <w:tc>
          <w:tcPr>
            <w:tcW w:w="9634"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hint="eastAsia"/>
                    </w:rPr>
                    <w:t>☑价值观  ☑文化  □知识 □绩效 ☑工艺 ☑设备 ☑人员能力 ☑食品欺诈 ☑故意污染  □其他</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F4B8FF"/>
              <w:spacing w:before="40" w:after="40"/>
            </w:pPr>
            <w:r>
              <w:rPr>
                <w:rFonts w:hint="eastAsia"/>
              </w:rPr>
              <w:t>☑危害分析☑制订危害控制计划 ☑制订PRP  ☑PRP和危害控制计划实施 ☑验证/确认</w:t>
            </w:r>
          </w:p>
          <w:p>
            <w:pPr>
              <w:shd w:val="clear" w:color="auto" w:fill="F4B8FF"/>
              <w:spacing w:before="40" w:after="40"/>
            </w:pPr>
            <w:r>
              <w:rPr>
                <w:rFonts w:hint="eastAsia"/>
              </w:rPr>
              <w:t>□设备维修  □人员培训 □产品召回 □潜在不合格产品和过程控制  □其他</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F4B8FF"/>
              <w:spacing w:before="40" w:after="40"/>
            </w:pPr>
            <w:r>
              <w:rPr>
                <w:rFonts w:hint="eastAsia"/>
              </w:rPr>
              <w:t>☑危害分析 ☑制订危害控制计划 ☑生产/服务过程 ☑验证/确认 □产品运输 ☑设备维修</w:t>
            </w:r>
          </w:p>
          <w:p>
            <w:pPr>
              <w:shd w:val="clear" w:color="auto" w:fill="F4B8FF"/>
              <w:spacing w:before="40" w:after="40"/>
            </w:pPr>
            <w:r>
              <w:rPr>
                <w:rFonts w:hint="eastAsia"/>
              </w:rPr>
              <w:t>□人员培训 □其他</w:t>
            </w: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634"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rFonts w:ascii="宋体" w:hAnsi="宋体" w:cs="宋体"/>
                <w:bCs/>
                <w:sz w:val="24"/>
                <w:u w:val="single"/>
              </w:rPr>
            </w:pPr>
            <w:r>
              <w:rPr>
                <w:rFonts w:hint="eastAsia"/>
              </w:rPr>
              <w:t>最高管理者制定了文件化的食品安全管理体系方针：</w:t>
            </w:r>
            <w:r>
              <w:rPr>
                <w:rFonts w:hint="eastAsia"/>
                <w:u w:val="single"/>
              </w:rPr>
              <w:t xml:space="preserve">   </w:t>
            </w:r>
            <w:r>
              <w:rPr>
                <w:rFonts w:hint="eastAsia" w:ascii="宋体" w:hAnsi="宋体" w:cs="宋体"/>
                <w:bCs/>
                <w:sz w:val="24"/>
                <w:u w:val="single"/>
              </w:rPr>
              <w:t>确保食品安全质量，持续增强顾客满意。</w:t>
            </w: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pPr>
            <w:r>
              <w:rPr>
                <w:rFonts w:hint="eastAsia"/>
              </w:rPr>
              <w:t>FSMS的主管部门是——食</w:t>
            </w:r>
            <w:r>
              <w:t>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任命了“</w:t>
            </w:r>
            <w:r>
              <w:t>食品安全组长</w:t>
            </w:r>
            <w:r>
              <w:rPr>
                <w:rFonts w:hint="eastAsia"/>
              </w:rPr>
              <w:t>”，为——</w:t>
            </w:r>
            <w:r>
              <w:rPr>
                <w:rFonts w:hint="eastAsia"/>
                <w:u w:val="single"/>
              </w:rPr>
              <w:t xml:space="preserve">   胡</w:t>
            </w:r>
            <w:r>
              <w:rPr>
                <w:u w:val="single"/>
              </w:rPr>
              <w:t>泽慧</w:t>
            </w:r>
            <w:r>
              <w:rPr>
                <w:rFonts w:hint="eastAsia"/>
                <w:u w:val="single"/>
              </w:rPr>
              <w:t xml:space="preserve">       </w:t>
            </w:r>
            <w:r>
              <w:rPr>
                <w:rFonts w:hint="eastAsia"/>
              </w:rPr>
              <w:t>☑先生/</w:t>
            </w:r>
            <w:r>
              <w:rPr>
                <w:rFonts w:hint="eastAsia"/>
              </w:rPr>
              <w:sym w:font="Wingdings" w:char="00A8"/>
            </w:r>
            <w:r>
              <w:rPr>
                <w:rFonts w:hint="eastAsia"/>
              </w:rPr>
              <w:t>女士；其日常工作职责为——</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策划</w:t>
            </w:r>
          </w:p>
        </w:tc>
        <w:tc>
          <w:tcPr>
            <w:tcW w:w="9634"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30"/>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r>
                    <w:rPr>
                      <w:rFonts w:hint="eastAsia"/>
                    </w:rPr>
                    <w:t>主要的风险描述</w:t>
                  </w:r>
                </w:p>
              </w:tc>
              <w:tc>
                <w:tcPr>
                  <w:tcW w:w="3421" w:type="dxa"/>
                </w:tcPr>
                <w:p>
                  <w:r>
                    <w:rPr>
                      <w:rFonts w:hint="eastAsia"/>
                    </w:rPr>
                    <w:t>应对措施</w:t>
                  </w:r>
                </w:p>
              </w:tc>
              <w:tc>
                <w:tcPr>
                  <w:tcW w:w="2255"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pPr>
                  <w:r>
                    <w:rPr>
                      <w:rFonts w:hint="eastAsia" w:ascii="宋体" w:hAnsi="宋体" w:cs="宋体"/>
                      <w:kern w:val="0"/>
                      <w:sz w:val="20"/>
                      <w:szCs w:val="20"/>
                      <w:lang w:bidi="ar"/>
                    </w:rPr>
                    <w:t>人员素质参差不齐，食品安全意识不强，对岗位食品安全认识不足，控制方法不明确；</w:t>
                  </w:r>
                </w:p>
              </w:tc>
              <w:tc>
                <w:tcPr>
                  <w:tcW w:w="3421" w:type="dxa"/>
                  <w:vAlign w:val="center"/>
                </w:tcPr>
                <w:p>
                  <w:pPr>
                    <w:widowControl/>
                    <w:jc w:val="left"/>
                    <w:textAlignment w:val="center"/>
                  </w:pPr>
                  <w:r>
                    <w:rPr>
                      <w:rFonts w:hint="eastAsia" w:ascii="宋体" w:hAnsi="宋体" w:cs="宋体"/>
                      <w:kern w:val="0"/>
                      <w:sz w:val="20"/>
                      <w:szCs w:val="20"/>
                      <w:lang w:bidi="ar"/>
                    </w:rPr>
                    <w:t>制定相应管理文件，组织员工参与岗位食品安全危害的识别，岗位及食堂重要因素的培训</w:t>
                  </w:r>
                </w:p>
              </w:tc>
              <w:tc>
                <w:tcPr>
                  <w:tcW w:w="2255"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pPr>
                </w:p>
              </w:tc>
              <w:tc>
                <w:tcPr>
                  <w:tcW w:w="3421" w:type="dxa"/>
                  <w:vAlign w:val="center"/>
                </w:tcPr>
                <w:p>
                  <w:pPr>
                    <w:widowControl/>
                    <w:jc w:val="left"/>
                    <w:textAlignment w:val="center"/>
                  </w:pPr>
                </w:p>
              </w:tc>
              <w:tc>
                <w:tcPr>
                  <w:tcW w:w="225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pPr>
                </w:p>
              </w:tc>
              <w:tc>
                <w:tcPr>
                  <w:tcW w:w="3421" w:type="dxa"/>
                  <w:vAlign w:val="center"/>
                </w:tcPr>
                <w:p>
                  <w:pPr>
                    <w:widowControl/>
                    <w:jc w:val="left"/>
                    <w:textAlignment w:val="center"/>
                  </w:pPr>
                </w:p>
              </w:tc>
              <w:tc>
                <w:tcPr>
                  <w:tcW w:w="2255" w:type="dxa"/>
                </w:tcPr>
                <w:p/>
              </w:tc>
            </w:tr>
          </w:tbl>
          <w:p>
            <w:pPr>
              <w:shd w:val="clear" w:color="auto" w:fill="F4B8FF"/>
            </w:pPr>
          </w:p>
          <w:tbl>
            <w:tblPr>
              <w:tblStyle w:val="30"/>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r>
                    <w:rPr>
                      <w:rFonts w:hint="eastAsia"/>
                    </w:rPr>
                    <w:t>主要的机遇描述</w:t>
                  </w:r>
                </w:p>
              </w:tc>
              <w:tc>
                <w:tcPr>
                  <w:tcW w:w="3760"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szCs w:val="20"/>
                      <w:lang w:bidi="ar"/>
                    </w:rPr>
                    <w:t>因本公司的管理比较严格</w:t>
                  </w:r>
                </w:p>
              </w:tc>
              <w:tc>
                <w:tcPr>
                  <w:tcW w:w="3760" w:type="dxa"/>
                </w:tcPr>
                <w:p>
                  <w:r>
                    <w:rPr>
                      <w:rFonts w:hint="eastAsia"/>
                    </w:rPr>
                    <w:t>加强食品安全的日常监督管理</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tc>
              <w:tc>
                <w:tcPr>
                  <w:tcW w:w="3760"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tc>
              <w:tc>
                <w:tcPr>
                  <w:tcW w:w="3760" w:type="dxa"/>
                </w:tcPr>
                <w:p/>
              </w:tc>
              <w:tc>
                <w:tcPr>
                  <w:tcW w:w="1717" w:type="dxa"/>
                </w:tcPr>
                <w:p/>
              </w:tc>
            </w:tr>
          </w:tbl>
          <w:p>
            <w:pPr>
              <w:shd w:val="clear" w:color="auto" w:fill="F4B8FF"/>
            </w:pPr>
          </w:p>
          <w:p>
            <w:pPr>
              <w:shd w:val="clear" w:color="auto" w:fill="F4B8FF"/>
            </w:pPr>
          </w:p>
          <w:p>
            <w:pPr>
              <w:shd w:val="clear" w:color="auto" w:fill="F4B8FF"/>
            </w:pPr>
          </w:p>
          <w:p>
            <w:pPr>
              <w:shd w:val="clear" w:color="auto" w:fill="F4B8FF"/>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pPr>
            <w:r>
              <w:rPr>
                <w:rFonts w:hint="eastAsia"/>
              </w:rPr>
              <w:t>总食品安全目标实现情况的评价，及其测量方法是：</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382"/>
              <w:gridCol w:w="310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rPr>
                      <w:rFonts w:ascii="宋体" w:hAnsi="宋体"/>
                    </w:rPr>
                  </w:pPr>
                  <w:r>
                    <w:rPr>
                      <w:rFonts w:hint="eastAsia"/>
                    </w:rPr>
                    <w:t>食品安全</w:t>
                  </w:r>
                  <w:r>
                    <w:rPr>
                      <w:rFonts w:hint="eastAsia" w:ascii="宋体" w:hAnsi="宋体"/>
                    </w:rPr>
                    <w:t>目标</w:t>
                  </w:r>
                </w:p>
              </w:tc>
              <w:tc>
                <w:tcPr>
                  <w:tcW w:w="1382" w:type="dxa"/>
                  <w:shd w:val="clear" w:color="auto" w:fill="auto"/>
                </w:tcPr>
                <w:p>
                  <w:pPr>
                    <w:shd w:val="clear" w:color="auto" w:fill="F4B8FF"/>
                    <w:rPr>
                      <w:rFonts w:ascii="宋体" w:hAnsi="宋体"/>
                    </w:rPr>
                  </w:pPr>
                  <w:r>
                    <w:rPr>
                      <w:rFonts w:hint="eastAsia" w:ascii="宋体" w:hAnsi="宋体"/>
                    </w:rPr>
                    <w:t>计算方法</w:t>
                  </w:r>
                </w:p>
              </w:tc>
              <w:tc>
                <w:tcPr>
                  <w:tcW w:w="3104" w:type="dxa"/>
                  <w:shd w:val="clear" w:color="auto" w:fill="auto"/>
                </w:tcPr>
                <w:p>
                  <w:pPr>
                    <w:shd w:val="clear" w:color="auto" w:fill="F4B8FF"/>
                    <w:rPr>
                      <w:rFonts w:ascii="宋体" w:hAnsi="宋体"/>
                    </w:rPr>
                  </w:pPr>
                  <w:r>
                    <w:rPr>
                      <w:rFonts w:hint="eastAsia" w:ascii="宋体" w:hAnsi="宋体"/>
                    </w:rPr>
                    <w:t>责任部门</w:t>
                  </w:r>
                </w:p>
              </w:tc>
              <w:tc>
                <w:tcPr>
                  <w:tcW w:w="1774" w:type="dxa"/>
                  <w:shd w:val="clear" w:color="auto" w:fill="auto"/>
                </w:tcPr>
                <w:p>
                  <w:pPr>
                    <w:shd w:val="clear" w:color="auto" w:fill="F4B8FF"/>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r>
                    <w:rPr>
                      <w:rFonts w:hint="eastAsia" w:ascii="宋体" w:hAnsi="宋体" w:cs="宋体"/>
                      <w:bCs/>
                      <w:szCs w:val="21"/>
                    </w:rPr>
                    <w:t>食品安全事故为零</w:t>
                  </w:r>
                </w:p>
              </w:tc>
              <w:tc>
                <w:tcPr>
                  <w:tcW w:w="1382" w:type="dxa"/>
                  <w:shd w:val="clear" w:color="auto" w:fill="auto"/>
                </w:tcPr>
                <w:p>
                  <w:pPr>
                    <w:shd w:val="clear" w:color="auto" w:fill="F4B8FF"/>
                    <w:rPr>
                      <w:lang w:val="en-GB"/>
                    </w:rPr>
                  </w:pPr>
                  <w:r>
                    <w:rPr>
                      <w:rFonts w:hint="eastAsia"/>
                      <w:color w:val="000000"/>
                      <w:szCs w:val="21"/>
                    </w:rPr>
                    <w:t>每年</w:t>
                  </w:r>
                </w:p>
              </w:tc>
              <w:tc>
                <w:tcPr>
                  <w:tcW w:w="3104" w:type="dxa"/>
                  <w:shd w:val="clear" w:color="auto" w:fill="auto"/>
                </w:tcPr>
                <w:p>
                  <w:pPr>
                    <w:shd w:val="clear" w:color="auto" w:fill="F4B8FF"/>
                    <w:rPr>
                      <w:lang w:val="en-GB"/>
                    </w:rPr>
                  </w:pPr>
                  <w:r>
                    <w:rPr>
                      <w:rFonts w:hint="eastAsia"/>
                      <w:color w:val="000000"/>
                      <w:szCs w:val="21"/>
                    </w:rPr>
                    <w:t>按</w:t>
                  </w:r>
                  <w:r>
                    <w:rPr>
                      <w:color w:val="000000"/>
                      <w:szCs w:val="21"/>
                    </w:rPr>
                    <w:t>实</w:t>
                  </w:r>
                  <w:r>
                    <w:rPr>
                      <w:rFonts w:hint="eastAsia"/>
                      <w:color w:val="000000"/>
                      <w:szCs w:val="21"/>
                    </w:rPr>
                    <w:t>际</w:t>
                  </w:r>
                  <w:r>
                    <w:rPr>
                      <w:color w:val="000000"/>
                      <w:szCs w:val="21"/>
                    </w:rPr>
                    <w:t>发</w:t>
                  </w:r>
                  <w:r>
                    <w:rPr>
                      <w:rFonts w:hint="eastAsia"/>
                      <w:color w:val="000000"/>
                      <w:szCs w:val="21"/>
                    </w:rPr>
                    <w:t>生</w:t>
                  </w:r>
                  <w:r>
                    <w:rPr>
                      <w:color w:val="000000"/>
                      <w:szCs w:val="21"/>
                    </w:rPr>
                    <w:t>次数</w:t>
                  </w:r>
                </w:p>
              </w:tc>
              <w:tc>
                <w:tcPr>
                  <w:tcW w:w="1774" w:type="dxa"/>
                  <w:shd w:val="clear" w:color="auto" w:fill="auto"/>
                </w:tcPr>
                <w:p>
                  <w:pPr>
                    <w:shd w:val="clear" w:color="auto" w:fill="F4B8FF"/>
                    <w:jc w:val="center"/>
                    <w:rPr>
                      <w:rFonts w:ascii="宋体" w:hAnsi="宋体"/>
                      <w:lang w:val="en-GB"/>
                    </w:rPr>
                  </w:pPr>
                  <w:r>
                    <w:rPr>
                      <w:rFonts w:hint="eastAsia"/>
                      <w:color w:val="000000"/>
                      <w:szCs w:val="21"/>
                    </w:rPr>
                    <w:t>未</w:t>
                  </w:r>
                  <w:r>
                    <w:rPr>
                      <w:color w:val="000000"/>
                      <w:szCs w:val="21"/>
                    </w:rPr>
                    <w:t>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r>
                    <w:rPr>
                      <w:rFonts w:hint="eastAsia" w:ascii="宋体" w:hAnsi="宋体" w:cs="宋体"/>
                      <w:bCs/>
                      <w:szCs w:val="21"/>
                    </w:rPr>
                    <w:t>关键</w:t>
                  </w:r>
                  <w:r>
                    <w:rPr>
                      <w:rFonts w:ascii="宋体" w:hAnsi="宋体" w:cs="宋体"/>
                      <w:bCs/>
                      <w:szCs w:val="21"/>
                    </w:rPr>
                    <w:t>控制点监控</w:t>
                  </w:r>
                  <w:r>
                    <w:rPr>
                      <w:rFonts w:hint="eastAsia" w:ascii="宋体" w:hAnsi="宋体" w:cs="宋体"/>
                      <w:bCs/>
                      <w:szCs w:val="21"/>
                    </w:rPr>
                    <w:t>合格率</w:t>
                  </w:r>
                </w:p>
              </w:tc>
              <w:tc>
                <w:tcPr>
                  <w:tcW w:w="1382" w:type="dxa"/>
                  <w:shd w:val="clear" w:color="auto" w:fill="auto"/>
                </w:tcPr>
                <w:p>
                  <w:pPr>
                    <w:shd w:val="clear" w:color="auto" w:fill="F4B8FF"/>
                    <w:rPr>
                      <w:rFonts w:ascii="宋体" w:hAnsi="宋体"/>
                    </w:rPr>
                  </w:pPr>
                  <w:r>
                    <w:rPr>
                      <w:rFonts w:hint="eastAsia"/>
                      <w:color w:val="000000"/>
                      <w:szCs w:val="21"/>
                    </w:rPr>
                    <w:t>每年</w:t>
                  </w:r>
                </w:p>
              </w:tc>
              <w:tc>
                <w:tcPr>
                  <w:tcW w:w="3104" w:type="dxa"/>
                  <w:shd w:val="clear" w:color="auto" w:fill="auto"/>
                </w:tcPr>
                <w:p>
                  <w:pPr>
                    <w:shd w:val="clear" w:color="auto" w:fill="F4B8FF"/>
                    <w:rPr>
                      <w:rFonts w:ascii="宋体" w:hAnsi="宋体"/>
                    </w:rPr>
                  </w:pPr>
                  <w:r>
                    <w:rPr>
                      <w:rFonts w:hint="eastAsia"/>
                      <w:color w:val="000000"/>
                      <w:szCs w:val="21"/>
                    </w:rPr>
                    <w:t>CCP的</w:t>
                  </w:r>
                  <w:r>
                    <w:rPr>
                      <w:color w:val="000000"/>
                      <w:szCs w:val="21"/>
                    </w:rPr>
                    <w:t>控制抽查合格数</w:t>
                  </w:r>
                  <w:r>
                    <w:rPr>
                      <w:rFonts w:hint="eastAsia"/>
                      <w:color w:val="000000"/>
                      <w:szCs w:val="21"/>
                    </w:rPr>
                    <w:t>/总CCP点</w:t>
                  </w:r>
                  <w:r>
                    <w:rPr>
                      <w:color w:val="000000"/>
                      <w:szCs w:val="21"/>
                    </w:rPr>
                    <w:t>的控制数X100%</w:t>
                  </w:r>
                </w:p>
              </w:tc>
              <w:tc>
                <w:tcPr>
                  <w:tcW w:w="1774" w:type="dxa"/>
                  <w:shd w:val="clear" w:color="auto" w:fill="auto"/>
                </w:tcPr>
                <w:p>
                  <w:pPr>
                    <w:shd w:val="clear" w:color="auto" w:fill="F4B8FF"/>
                    <w:jc w:val="center"/>
                    <w:rPr>
                      <w:rFonts w:ascii="宋体" w:hAnsi="宋体"/>
                    </w:rPr>
                  </w:pPr>
                  <w:r>
                    <w:rPr>
                      <w:rFonts w:hint="eastAsia"/>
                      <w:color w:val="000000"/>
                      <w:szCs w:val="21"/>
                    </w:rPr>
                    <w:t>100</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r>
                    <w:rPr>
                      <w:rFonts w:hint="eastAsia"/>
                      <w:color w:val="000000"/>
                      <w:szCs w:val="21"/>
                    </w:rPr>
                    <w:t>采购</w:t>
                  </w:r>
                  <w:r>
                    <w:rPr>
                      <w:color w:val="000000"/>
                      <w:szCs w:val="21"/>
                    </w:rPr>
                    <w:t>物料合格率</w:t>
                  </w:r>
                </w:p>
              </w:tc>
              <w:tc>
                <w:tcPr>
                  <w:tcW w:w="1382" w:type="dxa"/>
                  <w:shd w:val="clear" w:color="auto" w:fill="auto"/>
                </w:tcPr>
                <w:p>
                  <w:pPr>
                    <w:shd w:val="clear" w:color="auto" w:fill="F4B8FF"/>
                    <w:rPr>
                      <w:rFonts w:ascii="宋体" w:hAnsi="宋体"/>
                    </w:rPr>
                  </w:pPr>
                  <w:r>
                    <w:rPr>
                      <w:rFonts w:hint="eastAsia"/>
                      <w:color w:val="000000"/>
                      <w:szCs w:val="21"/>
                    </w:rPr>
                    <w:t>每月</w:t>
                  </w:r>
                </w:p>
              </w:tc>
              <w:tc>
                <w:tcPr>
                  <w:tcW w:w="3104" w:type="dxa"/>
                  <w:shd w:val="clear" w:color="auto" w:fill="auto"/>
                </w:tcPr>
                <w:p>
                  <w:pPr>
                    <w:shd w:val="clear" w:color="auto" w:fill="F4B8FF"/>
                    <w:rPr>
                      <w:rFonts w:ascii="宋体" w:hAnsi="宋体"/>
                    </w:rPr>
                  </w:pPr>
                  <w:r>
                    <w:rPr>
                      <w:rFonts w:hint="eastAsia"/>
                      <w:color w:val="000000"/>
                      <w:szCs w:val="21"/>
                    </w:rPr>
                    <w:t>物</w:t>
                  </w:r>
                  <w:r>
                    <w:rPr>
                      <w:color w:val="000000"/>
                      <w:szCs w:val="21"/>
                    </w:rPr>
                    <w:t>料</w:t>
                  </w:r>
                  <w:r>
                    <w:rPr>
                      <w:rFonts w:hint="eastAsia"/>
                      <w:color w:val="000000"/>
                      <w:szCs w:val="21"/>
                    </w:rPr>
                    <w:t>采</w:t>
                  </w:r>
                  <w:r>
                    <w:rPr>
                      <w:color w:val="000000"/>
                      <w:szCs w:val="21"/>
                    </w:rPr>
                    <w:t>购合</w:t>
                  </w:r>
                  <w:r>
                    <w:rPr>
                      <w:rFonts w:hint="eastAsia"/>
                      <w:color w:val="000000"/>
                      <w:szCs w:val="21"/>
                    </w:rPr>
                    <w:t>格</w:t>
                  </w:r>
                  <w:r>
                    <w:rPr>
                      <w:color w:val="000000"/>
                      <w:szCs w:val="21"/>
                    </w:rPr>
                    <w:t>数量</w:t>
                  </w:r>
                  <w:r>
                    <w:rPr>
                      <w:rFonts w:hint="eastAsia"/>
                      <w:color w:val="000000"/>
                      <w:szCs w:val="21"/>
                    </w:rPr>
                    <w:t>/采</w:t>
                  </w:r>
                  <w:r>
                    <w:rPr>
                      <w:color w:val="000000"/>
                      <w:szCs w:val="21"/>
                    </w:rPr>
                    <w:t>购总数</w:t>
                  </w:r>
                  <w:r>
                    <w:rPr>
                      <w:rFonts w:hint="eastAsia"/>
                      <w:color w:val="000000"/>
                      <w:szCs w:val="21"/>
                    </w:rPr>
                    <w:t>量</w:t>
                  </w:r>
                </w:p>
              </w:tc>
              <w:tc>
                <w:tcPr>
                  <w:tcW w:w="1774" w:type="dxa"/>
                  <w:shd w:val="clear" w:color="auto" w:fill="auto"/>
                </w:tcPr>
                <w:p>
                  <w:pPr>
                    <w:shd w:val="clear" w:color="auto" w:fill="F4B8FF"/>
                    <w:jc w:val="center"/>
                    <w:rPr>
                      <w:rFonts w:ascii="宋体" w:hAnsi="宋体"/>
                    </w:rPr>
                  </w:pPr>
                  <w:r>
                    <w:rPr>
                      <w:rFonts w:hint="eastAsia"/>
                      <w:color w:val="000000"/>
                      <w:szCs w:val="21"/>
                    </w:rPr>
                    <w:t>100</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r>
                    <w:rPr>
                      <w:rFonts w:hint="eastAsia"/>
                      <w:color w:val="000000"/>
                      <w:szCs w:val="21"/>
                    </w:rPr>
                    <w:t>人</w:t>
                  </w:r>
                  <w:r>
                    <w:rPr>
                      <w:color w:val="000000"/>
                      <w:szCs w:val="21"/>
                    </w:rPr>
                    <w:t>员培训合格率</w:t>
                  </w:r>
                </w:p>
              </w:tc>
              <w:tc>
                <w:tcPr>
                  <w:tcW w:w="1382" w:type="dxa"/>
                  <w:shd w:val="clear" w:color="auto" w:fill="auto"/>
                </w:tcPr>
                <w:p>
                  <w:pPr>
                    <w:shd w:val="clear" w:color="auto" w:fill="F4B8FF"/>
                    <w:rPr>
                      <w:rFonts w:ascii="宋体" w:hAnsi="宋体"/>
                    </w:rPr>
                  </w:pPr>
                  <w:r>
                    <w:rPr>
                      <w:rFonts w:hint="eastAsia"/>
                      <w:color w:val="000000"/>
                      <w:szCs w:val="21"/>
                    </w:rPr>
                    <w:t>每</w:t>
                  </w:r>
                  <w:r>
                    <w:rPr>
                      <w:color w:val="000000"/>
                      <w:szCs w:val="21"/>
                    </w:rPr>
                    <w:t>年</w:t>
                  </w:r>
                </w:p>
              </w:tc>
              <w:tc>
                <w:tcPr>
                  <w:tcW w:w="3104" w:type="dxa"/>
                  <w:shd w:val="clear" w:color="auto" w:fill="auto"/>
                </w:tcPr>
                <w:p>
                  <w:pPr>
                    <w:shd w:val="clear" w:color="auto" w:fill="F4B8FF"/>
                    <w:rPr>
                      <w:rFonts w:ascii="宋体" w:hAnsi="宋体"/>
                    </w:rPr>
                  </w:pPr>
                  <w:r>
                    <w:rPr>
                      <w:rFonts w:hint="eastAsia"/>
                      <w:color w:val="000000"/>
                      <w:szCs w:val="21"/>
                    </w:rPr>
                    <w:t>培</w:t>
                  </w:r>
                  <w:r>
                    <w:rPr>
                      <w:color w:val="000000"/>
                      <w:szCs w:val="21"/>
                    </w:rPr>
                    <w:t>训合格人数/</w:t>
                  </w:r>
                  <w:r>
                    <w:rPr>
                      <w:rFonts w:hint="eastAsia"/>
                      <w:color w:val="000000"/>
                      <w:szCs w:val="21"/>
                    </w:rPr>
                    <w:t>总</w:t>
                  </w:r>
                  <w:r>
                    <w:rPr>
                      <w:color w:val="000000"/>
                      <w:szCs w:val="21"/>
                    </w:rPr>
                    <w:t>培训人数</w:t>
                  </w:r>
                </w:p>
              </w:tc>
              <w:tc>
                <w:tcPr>
                  <w:tcW w:w="1774" w:type="dxa"/>
                  <w:shd w:val="clear" w:color="auto" w:fill="auto"/>
                </w:tcPr>
                <w:p>
                  <w:pPr>
                    <w:shd w:val="clear" w:color="auto" w:fill="F4B8FF"/>
                    <w:jc w:val="center"/>
                    <w:rPr>
                      <w:rFonts w:ascii="宋体" w:hAnsi="宋体"/>
                    </w:rPr>
                  </w:pPr>
                  <w:r>
                    <w:rPr>
                      <w:rFonts w:hint="eastAsia"/>
                      <w:color w:val="000000"/>
                      <w:szCs w:val="21"/>
                    </w:rPr>
                    <w:t>100</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1382" w:type="dxa"/>
                  <w:shd w:val="clear" w:color="auto" w:fill="auto"/>
                  <w:vAlign w:val="center"/>
                </w:tcPr>
                <w:p>
                  <w:pPr>
                    <w:shd w:val="clear" w:color="auto" w:fill="F4B8FF"/>
                    <w:rPr>
                      <w:rFonts w:ascii="宋体" w:hAnsi="宋体"/>
                    </w:rPr>
                  </w:pPr>
                </w:p>
              </w:tc>
              <w:tc>
                <w:tcPr>
                  <w:tcW w:w="3104" w:type="dxa"/>
                  <w:shd w:val="clear" w:color="auto" w:fill="auto"/>
                  <w:vAlign w:val="center"/>
                </w:tcPr>
                <w:p>
                  <w:pPr>
                    <w:shd w:val="clear" w:color="auto" w:fill="F4B8FF"/>
                    <w:rPr>
                      <w:rFonts w:ascii="宋体" w:hAnsi="宋体"/>
                    </w:rPr>
                  </w:pPr>
                </w:p>
              </w:tc>
              <w:tc>
                <w:tcPr>
                  <w:tcW w:w="1774" w:type="dxa"/>
                  <w:shd w:val="clear" w:color="auto" w:fill="auto"/>
                  <w:vAlign w:val="center"/>
                </w:tcPr>
                <w:p>
                  <w:pPr>
                    <w:shd w:val="clear" w:color="auto" w:fill="F4B8FF"/>
                    <w:jc w:val="center"/>
                    <w:rPr>
                      <w:rFonts w:ascii="宋体" w:hAnsi="宋体"/>
                    </w:rPr>
                  </w:pPr>
                </w:p>
              </w:tc>
            </w:tr>
          </w:tbl>
          <w:p>
            <w:pPr>
              <w:shd w:val="clear" w:color="auto" w:fill="F4B8FF"/>
            </w:pPr>
            <w:r>
              <w:rPr>
                <w:rFonts w:hint="eastAsia"/>
              </w:rPr>
              <w:t>☑目标已实现</w:t>
            </w:r>
          </w:p>
          <w:p>
            <w:pPr>
              <w:shd w:val="clear" w:color="auto" w:fill="F4B8FF"/>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rPr>
              <w:t xml:space="preserve">☑无变更  □组织结构变更 □部门职责变更 □主要原材料 □关键人员 </w:t>
            </w:r>
          </w:p>
          <w:p>
            <w:pPr>
              <w:shd w:val="clear" w:color="auto" w:fill="F4B8FF"/>
              <w:spacing w:before="40" w:after="40"/>
            </w:pPr>
            <w:r>
              <w:rPr>
                <w:rFonts w:hint="eastAsia"/>
              </w:rPr>
              <w:t>□生产工艺/服务流程 □主要设备设施 □主要检测设备 □其他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634" w:type="dxa"/>
            <w:shd w:val="clear" w:color="auto" w:fill="F4B8FF"/>
          </w:tcPr>
          <w:p>
            <w:pPr>
              <w:shd w:val="clear" w:color="auto" w:fill="F4B8FF"/>
            </w:pPr>
            <w:r>
              <w:rPr>
                <w:rFonts w:hint="eastAsia"/>
              </w:rPr>
              <w:t>组织的资源状况：</w:t>
            </w:r>
          </w:p>
          <w:p>
            <w:pPr>
              <w:shd w:val="clear" w:color="auto" w:fill="F4B8FF"/>
            </w:pP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外部专家能力、责任和权限的协议或合同的证据，</w:t>
            </w:r>
            <w:r>
              <w:rPr>
                <w:rFonts w:hint="eastAsia"/>
              </w:rPr>
              <w:sym w:font="Wingdings" w:char="00A8"/>
            </w:r>
            <w:r>
              <w:rPr>
                <w:rFonts w:hint="eastAsia"/>
              </w:rPr>
              <w:t xml:space="preserve">已保留 </w:t>
            </w:r>
            <w:r>
              <w:rPr>
                <w:rFonts w:hint="eastAsia"/>
              </w:rPr>
              <w:sym w:font="Wingdings" w:char="00A8"/>
            </w:r>
            <w:r>
              <w:rPr>
                <w:rFonts w:hint="eastAsia"/>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组织应确定、提供并维护所需的基础设施情况：</w:t>
            </w:r>
          </w:p>
          <w:p>
            <w:pPr>
              <w:shd w:val="clear" w:color="auto" w:fill="F4B8FF"/>
            </w:pPr>
            <w:r>
              <w:rPr>
                <w:rFonts w:hint="eastAsia"/>
              </w:rPr>
              <w:t>建筑面积</w:t>
            </w:r>
            <w:r>
              <w:rPr>
                <w:rFonts w:hint="eastAsia"/>
                <w:u w:val="single"/>
              </w:rPr>
              <w:t xml:space="preserve">  </w:t>
            </w:r>
            <w:r>
              <w:rPr>
                <w:u w:val="single"/>
              </w:rPr>
              <w:t>625</w:t>
            </w:r>
            <w:r>
              <w:rPr>
                <w:rFonts w:hint="eastAsia"/>
                <w:u w:val="single"/>
              </w:rPr>
              <w:t xml:space="preserve"> </w:t>
            </w:r>
            <w:r>
              <w:rPr>
                <w:rFonts w:hint="eastAsia"/>
              </w:rPr>
              <w:t>平方米；加工间</w:t>
            </w:r>
            <w:r>
              <w:rPr>
                <w:rFonts w:hint="eastAsia"/>
                <w:u w:val="single"/>
              </w:rPr>
              <w:t xml:space="preserve"> </w:t>
            </w:r>
            <w:r>
              <w:rPr>
                <w:u w:val="single"/>
              </w:rPr>
              <w:t xml:space="preserve">2 </w:t>
            </w:r>
            <w:r>
              <w:rPr>
                <w:rFonts w:hint="eastAsia"/>
                <w:u w:val="single"/>
              </w:rPr>
              <w:t xml:space="preserve"> </w:t>
            </w:r>
            <w:r>
              <w:rPr>
                <w:rFonts w:hint="eastAsia"/>
              </w:rPr>
              <w:t>个；库房</w:t>
            </w:r>
            <w:r>
              <w:rPr>
                <w:rFonts w:hint="eastAsia"/>
                <w:u w:val="single"/>
              </w:rPr>
              <w:t xml:space="preserve">  </w:t>
            </w:r>
            <w:r>
              <w:rPr>
                <w:u w:val="single"/>
              </w:rPr>
              <w:t>3</w:t>
            </w:r>
            <w:r>
              <w:rPr>
                <w:rFonts w:hint="eastAsia"/>
                <w:u w:val="single"/>
              </w:rPr>
              <w:t xml:space="preserve">  </w:t>
            </w:r>
            <w:r>
              <w:rPr>
                <w:rFonts w:hint="eastAsia"/>
              </w:rPr>
              <w:t>个；实验室</w:t>
            </w:r>
            <w:r>
              <w:rPr>
                <w:rFonts w:hint="eastAsia"/>
                <w:u w:val="single"/>
              </w:rPr>
              <w:t xml:space="preserve">0   </w:t>
            </w:r>
            <w:r>
              <w:rPr>
                <w:rFonts w:hint="eastAsia"/>
              </w:rPr>
              <w:t>个；运货车辆</w:t>
            </w:r>
            <w:r>
              <w:rPr>
                <w:rFonts w:hint="eastAsia"/>
                <w:u w:val="single"/>
              </w:rPr>
              <w:t xml:space="preserve">     </w:t>
            </w:r>
            <w:r>
              <w:rPr>
                <w:rFonts w:hint="eastAsia"/>
              </w:rPr>
              <w:t>辆</w:t>
            </w:r>
          </w:p>
          <w:p>
            <w:pPr>
              <w:shd w:val="clear" w:color="auto" w:fill="F4B8FF"/>
              <w:rPr>
                <w:u w:val="single"/>
              </w:rPr>
            </w:pPr>
            <w:r>
              <w:rPr>
                <w:rFonts w:hint="eastAsia"/>
              </w:rPr>
              <w:t>主要生产设备有：</w:t>
            </w:r>
            <w:r>
              <w:rPr>
                <w:rFonts w:hint="eastAsia" w:ascii="宋体" w:hAnsi="宋体"/>
                <w:u w:val="single"/>
              </w:rPr>
              <w:t>电热鼓风消毒柜、电热鼓风消毒柜、</w:t>
            </w:r>
            <w:r>
              <w:rPr>
                <w:rFonts w:hint="eastAsia"/>
                <w:u w:val="single"/>
              </w:rPr>
              <w:t>加</w:t>
            </w:r>
            <w:r>
              <w:rPr>
                <w:u w:val="single"/>
              </w:rPr>
              <w:t>工灶</w:t>
            </w:r>
            <w:r>
              <w:rPr>
                <w:rFonts w:hint="eastAsia"/>
                <w:u w:val="single"/>
              </w:rPr>
              <w:t>、五格保温台                                 （列举2~4种）</w:t>
            </w:r>
          </w:p>
          <w:p>
            <w:pPr>
              <w:shd w:val="clear" w:color="auto" w:fill="F4B8FF"/>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☑不适用  </w:t>
            </w:r>
          </w:p>
          <w:p>
            <w:pPr>
              <w:shd w:val="clear" w:color="auto" w:fill="F4B8FF"/>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shd w:val="clear" w:color="auto" w:fill="F4B8FF"/>
            </w:pP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☑否，由受审核方自己完成  </w:t>
            </w:r>
            <w:r>
              <w:rPr>
                <w:rFonts w:hint="eastAsia"/>
              </w:rPr>
              <w:sym w:font="Wingdings" w:char="00A8"/>
            </w:r>
            <w:r>
              <w:rPr>
                <w:rFonts w:hint="eastAsia"/>
              </w:rPr>
              <w:t>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t xml:space="preserve"> </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☑是   </w:t>
            </w:r>
            <w:r>
              <w:rPr>
                <w:rFonts w:hint="eastAsia"/>
              </w:rPr>
              <w:sym w:font="Wingdings" w:char="00A8"/>
            </w:r>
            <w:r>
              <w:rPr>
                <w:rFonts w:hint="eastAsia"/>
              </w:rPr>
              <w:t>否，说明：</w:t>
            </w:r>
            <w:r>
              <w:rPr>
                <w:rFonts w:hint="eastAsia"/>
                <w:u w:val="single"/>
              </w:rPr>
              <w:t xml:space="preserve">             </w:t>
            </w:r>
          </w:p>
          <w:p>
            <w:pPr>
              <w:shd w:val="clear" w:color="auto" w:fill="F4B8FF"/>
              <w:rPr>
                <w:u w:val="single"/>
              </w:rPr>
            </w:pPr>
            <w:r>
              <w:t>e） 作为文件信息保留。</w:t>
            </w:r>
            <w:r>
              <w:rPr>
                <w:rFonts w:hint="eastAsia"/>
              </w:rPr>
              <w:t xml:space="preserve">                            ☑是   </w:t>
            </w:r>
            <w:r>
              <w:rPr>
                <w:rFonts w:hint="eastAsia"/>
              </w:rPr>
              <w:sym w:font="Wingdings" w:char="00A8"/>
            </w:r>
            <w:r>
              <w:rPr>
                <w:rFonts w:hint="eastAsia"/>
              </w:rPr>
              <w:t>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jc w:val="left"/>
            </w:pPr>
            <w:r>
              <w:rPr>
                <w:rFonts w:hint="eastAsia"/>
              </w:rPr>
              <w:t>组织</w:t>
            </w:r>
            <w:r>
              <w:t>建立和应用</w:t>
            </w:r>
            <w:r>
              <w:rPr>
                <w:rFonts w:hint="eastAsia"/>
              </w:rPr>
              <w:t>了</w:t>
            </w:r>
            <w:r>
              <w:t>对过程、产品和/或服务的外部供应商的评价、选择、绩效监测和再评价的准则；</w:t>
            </w:r>
            <w:r>
              <w:rPr>
                <w:rFonts w:hint="eastAsia"/>
              </w:rPr>
              <w:t>对外部</w:t>
            </w:r>
            <w:r>
              <w:t>供应商</w:t>
            </w:r>
            <w:r>
              <w:rPr>
                <w:rFonts w:hint="eastAsia"/>
              </w:rPr>
              <w:t>提供的过程、产品和服务的供方按照对产品/服务的类型和程度实施控制。</w:t>
            </w:r>
          </w:p>
          <w:p>
            <w:pPr>
              <w:shd w:val="clear" w:color="auto" w:fill="F4B8FF"/>
              <w:jc w:val="left"/>
            </w:pPr>
            <w:r>
              <w:rPr>
                <w:rFonts w:hint="eastAsia"/>
              </w:rPr>
              <w:t xml:space="preserve">外部提供包括：☑原材料采购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产品运输  </w:t>
            </w:r>
            <w:r>
              <w:rPr>
                <w:rFonts w:hint="eastAsia"/>
              </w:rPr>
              <w:sym w:font="Wingdings" w:char="00A8"/>
            </w:r>
            <w:r>
              <w:rPr>
                <w:rFonts w:hint="eastAsia"/>
              </w:rPr>
              <w:t>其他</w:t>
            </w:r>
          </w:p>
          <w:p>
            <w:pPr>
              <w:snapToGrid w:val="0"/>
              <w:spacing w:line="264" w:lineRule="auto"/>
              <w:rPr>
                <w:szCs w:val="21"/>
              </w:rPr>
            </w:pPr>
            <w:r>
              <w:rPr>
                <w:rFonts w:hint="eastAsia"/>
                <w:szCs w:val="21"/>
              </w:rPr>
              <w:t>合格</w:t>
            </w:r>
            <w:r>
              <w:rPr>
                <w:szCs w:val="21"/>
              </w:rPr>
              <w:t>供方名单</w:t>
            </w:r>
            <w:r>
              <w:rPr>
                <w:rFonts w:hint="eastAsia"/>
                <w:szCs w:val="21"/>
              </w:rPr>
              <w:t>共</w:t>
            </w:r>
            <w:r>
              <w:rPr>
                <w:rFonts w:hint="eastAsia"/>
                <w:szCs w:val="21"/>
                <w:u w:val="single"/>
              </w:rPr>
              <w:t xml:space="preserve">   </w:t>
            </w:r>
            <w:r>
              <w:rPr>
                <w:szCs w:val="21"/>
                <w:u w:val="single"/>
              </w:rPr>
              <w:t>7</w:t>
            </w:r>
            <w:r>
              <w:rPr>
                <w:rFonts w:hint="eastAsia"/>
                <w:szCs w:val="21"/>
                <w:u w:val="single"/>
              </w:rPr>
              <w:t xml:space="preserve">   </w:t>
            </w:r>
            <w:r>
              <w:rPr>
                <w:rFonts w:hint="eastAsia"/>
                <w:szCs w:val="21"/>
              </w:rPr>
              <w:t>家，例如：</w:t>
            </w:r>
          </w:p>
          <w:p>
            <w:pPr>
              <w:widowControl/>
              <w:numPr>
                <w:ilvl w:val="0"/>
                <w:numId w:val="8"/>
              </w:numPr>
              <w:snapToGrid w:val="0"/>
              <w:spacing w:before="40" w:after="40" w:line="264" w:lineRule="auto"/>
              <w:rPr>
                <w:color w:val="0000FF"/>
                <w:szCs w:val="21"/>
                <w:highlight w:val="none"/>
              </w:rPr>
            </w:pPr>
            <w:r>
              <w:rPr>
                <w:rFonts w:hint="eastAsia"/>
                <w:color w:val="0000FF"/>
                <w:szCs w:val="21"/>
                <w:highlight w:val="none"/>
              </w:rPr>
              <w:t>主要原材料的供方—  鸡</w:t>
            </w:r>
            <w:r>
              <w:rPr>
                <w:color w:val="0000FF"/>
                <w:szCs w:val="21"/>
                <w:highlight w:val="none"/>
              </w:rPr>
              <w:t>蛋</w:t>
            </w:r>
            <w:r>
              <w:rPr>
                <w:rFonts w:hint="eastAsia"/>
                <w:color w:val="0000FF"/>
                <w:szCs w:val="21"/>
                <w:highlight w:val="none"/>
              </w:rPr>
              <w:t xml:space="preserve"> （福建南平瑞旺家禽有限公司</w:t>
            </w:r>
            <w:r>
              <w:rPr>
                <w:rFonts w:hint="eastAsia"/>
                <w:color w:val="0000FF"/>
                <w:szCs w:val="21"/>
                <w:highlight w:val="none"/>
              </w:rPr>
              <w:t xml:space="preserve">） </w:t>
            </w:r>
          </w:p>
          <w:p>
            <w:pPr>
              <w:widowControl/>
              <w:numPr>
                <w:ilvl w:val="0"/>
                <w:numId w:val="8"/>
              </w:numPr>
              <w:snapToGrid w:val="0"/>
              <w:spacing w:before="40" w:after="40" w:line="264" w:lineRule="auto"/>
              <w:rPr>
                <w:color w:val="0000FF"/>
                <w:szCs w:val="21"/>
                <w:highlight w:val="none"/>
              </w:rPr>
            </w:pPr>
            <w:r>
              <w:rPr>
                <w:rFonts w:hint="eastAsia"/>
                <w:color w:val="0000FF"/>
                <w:szCs w:val="21"/>
                <w:highlight w:val="none"/>
              </w:rPr>
              <w:t xml:space="preserve">辅料的供方—— </w:t>
            </w:r>
            <w:r>
              <w:rPr>
                <w:color w:val="0000FF"/>
                <w:szCs w:val="21"/>
                <w:highlight w:val="none"/>
              </w:rPr>
              <w:t xml:space="preserve">  </w:t>
            </w:r>
            <w:r>
              <w:rPr>
                <w:rFonts w:hint="eastAsia"/>
                <w:color w:val="0000FF"/>
                <w:szCs w:val="21"/>
                <w:highlight w:val="none"/>
              </w:rPr>
              <w:t>方向调味料（福州万联粮油食品有限公司）</w:t>
            </w:r>
          </w:p>
          <w:p>
            <w:pPr>
              <w:widowControl/>
              <w:numPr>
                <w:ilvl w:val="0"/>
                <w:numId w:val="8"/>
              </w:numPr>
              <w:snapToGrid w:val="0"/>
              <w:spacing w:before="40" w:after="40" w:line="264" w:lineRule="auto"/>
              <w:rPr>
                <w:color w:val="0000FF"/>
                <w:szCs w:val="21"/>
                <w:highlight w:val="none"/>
              </w:rPr>
            </w:pPr>
            <w:r>
              <w:rPr>
                <w:rFonts w:hint="eastAsia"/>
                <w:color w:val="0000FF"/>
                <w:szCs w:val="21"/>
                <w:highlight w:val="none"/>
              </w:rPr>
              <w:t xml:space="preserve">餐具的供方——  </w:t>
            </w:r>
            <w:r>
              <w:rPr>
                <w:rFonts w:hint="eastAsia"/>
                <w:color w:val="0000FF"/>
                <w:szCs w:val="21"/>
                <w:highlight w:val="none"/>
                <w:lang w:val="en-US" w:eastAsia="zh-CN"/>
              </w:rPr>
              <w:t>近期没有采购</w:t>
            </w:r>
          </w:p>
          <w:p>
            <w:pPr>
              <w:widowControl/>
              <w:numPr>
                <w:ilvl w:val="0"/>
                <w:numId w:val="8"/>
              </w:numPr>
              <w:snapToGrid w:val="0"/>
              <w:spacing w:before="40" w:after="40" w:line="264" w:lineRule="auto"/>
              <w:rPr>
                <w:color w:val="0000FF"/>
                <w:szCs w:val="21"/>
              </w:rPr>
            </w:pPr>
            <w:r>
              <w:rPr>
                <w:rFonts w:hint="eastAsia"/>
                <w:color w:val="0000FF"/>
                <w:szCs w:val="21"/>
              </w:rPr>
              <w:t>外包的供方——  甲方（福建省农业技术职业培训学校）</w:t>
            </w:r>
            <w:r>
              <w:rPr>
                <w:color w:val="0000FF"/>
                <w:szCs w:val="21"/>
              </w:rPr>
              <w:t xml:space="preserve"> </w:t>
            </w:r>
          </w:p>
          <w:p>
            <w:pPr>
              <w:shd w:val="clear" w:color="auto" w:fill="F4B8FF"/>
              <w:jc w:val="left"/>
            </w:pPr>
            <w:r>
              <w:rPr>
                <w:rFonts w:hint="eastAsia"/>
              </w:rPr>
              <w:t xml:space="preserve">与外部供方评价的信息：☑符合要求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☑招聘 ☑换岗  ☑培训  ☑考核   ☑辅导  </w:t>
            </w:r>
            <w:r>
              <w:rPr>
                <w:rFonts w:hint="eastAsia"/>
              </w:rPr>
              <w:sym w:font="Wingdings" w:char="00A8"/>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shd w:val="clear" w:color="auto" w:fill="F4B8FF"/>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p>
            <w:pPr>
              <w:shd w:val="clear" w:color="auto" w:fill="F4B8FF"/>
            </w:pPr>
            <w:r>
              <w:rPr>
                <w:rFonts w:hint="eastAsia"/>
              </w:rPr>
              <w:t>确保与产品/服务接触的员工定期（近一年）进行了健康体检，并合格上岗。</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515"/>
              <w:gridCol w:w="269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岗位</w:t>
                  </w:r>
                </w:p>
              </w:tc>
              <w:tc>
                <w:tcPr>
                  <w:tcW w:w="1515" w:type="dxa"/>
                </w:tcPr>
                <w:p>
                  <w:r>
                    <w:rPr>
                      <w:rFonts w:hint="eastAsia"/>
                    </w:rPr>
                    <w:t>姓氏</w:t>
                  </w:r>
                </w:p>
              </w:tc>
              <w:tc>
                <w:tcPr>
                  <w:tcW w:w="2690" w:type="dxa"/>
                </w:tcPr>
                <w:p>
                  <w:r>
                    <w:rPr>
                      <w:rFonts w:hint="eastAsia"/>
                    </w:rPr>
                    <w:t>健康证编号</w:t>
                  </w:r>
                </w:p>
              </w:tc>
              <w:tc>
                <w:tcPr>
                  <w:tcW w:w="2841" w:type="dxa"/>
                </w:tcPr>
                <w:p>
                  <w:r>
                    <w:rPr>
                      <w:rFonts w:hint="eastAsia"/>
                    </w:rPr>
                    <w:t>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餐</w:t>
                  </w:r>
                  <w:r>
                    <w:t>饮部</w:t>
                  </w:r>
                  <w:r>
                    <w:rPr>
                      <w:rFonts w:hint="eastAsia"/>
                    </w:rPr>
                    <w:t>职</w:t>
                  </w:r>
                  <w:r>
                    <w:t>工</w:t>
                  </w:r>
                </w:p>
              </w:tc>
              <w:tc>
                <w:tcPr>
                  <w:tcW w:w="1515" w:type="dxa"/>
                </w:tcPr>
                <w:p>
                  <w:r>
                    <w:rPr>
                      <w:rFonts w:hint="eastAsia"/>
                    </w:rPr>
                    <w:t>何</w:t>
                  </w:r>
                  <w:r>
                    <w:t>亭梅</w:t>
                  </w:r>
                </w:p>
              </w:tc>
              <w:tc>
                <w:tcPr>
                  <w:tcW w:w="2690" w:type="dxa"/>
                </w:tcPr>
                <w:p>
                  <w:r>
                    <w:rPr>
                      <w:rFonts w:hint="eastAsia"/>
                    </w:rPr>
                    <w:t>闽</w:t>
                  </w:r>
                  <w:r>
                    <w:t>（</w:t>
                  </w:r>
                  <w:r>
                    <w:rPr>
                      <w:rFonts w:hint="eastAsia"/>
                    </w:rPr>
                    <w:t>2020）0104</w:t>
                  </w:r>
                  <w:r>
                    <w:t>-002574</w:t>
                  </w:r>
                </w:p>
              </w:tc>
              <w:tc>
                <w:tcPr>
                  <w:tcW w:w="2841" w:type="dxa"/>
                </w:tcPr>
                <w:p>
                  <w:r>
                    <w:rPr>
                      <w:rFonts w:hint="eastAsia"/>
                    </w:rPr>
                    <w:t>2</w:t>
                  </w:r>
                  <w:r>
                    <w:t>020-05-23~2021-05-22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餐</w:t>
                  </w:r>
                  <w:r>
                    <w:t>饮部</w:t>
                  </w:r>
                  <w:r>
                    <w:rPr>
                      <w:rFonts w:hint="eastAsia"/>
                    </w:rPr>
                    <w:t>职</w:t>
                  </w:r>
                  <w:r>
                    <w:t>工</w:t>
                  </w:r>
                </w:p>
              </w:tc>
              <w:tc>
                <w:tcPr>
                  <w:tcW w:w="1515" w:type="dxa"/>
                </w:tcPr>
                <w:p>
                  <w:r>
                    <w:rPr>
                      <w:rFonts w:hint="eastAsia"/>
                    </w:rPr>
                    <w:t>郭</w:t>
                  </w:r>
                  <w:r>
                    <w:t>香珠</w:t>
                  </w:r>
                  <w:r>
                    <w:rPr>
                      <w:rFonts w:hint="eastAsia"/>
                    </w:rPr>
                    <w:t xml:space="preserve"> </w:t>
                  </w:r>
                </w:p>
              </w:tc>
              <w:tc>
                <w:tcPr>
                  <w:tcW w:w="2690" w:type="dxa"/>
                </w:tcPr>
                <w:p>
                  <w:r>
                    <w:rPr>
                      <w:rFonts w:hint="eastAsia"/>
                    </w:rPr>
                    <w:t>闽（2020）0104</w:t>
                  </w:r>
                  <w:r>
                    <w:t>-002577</w:t>
                  </w:r>
                </w:p>
              </w:tc>
              <w:tc>
                <w:tcPr>
                  <w:tcW w:w="2841" w:type="dxa"/>
                </w:tcPr>
                <w:p>
                  <w:r>
                    <w:rPr>
                      <w:rFonts w:hint="eastAsia"/>
                    </w:rPr>
                    <w:t>2</w:t>
                  </w:r>
                  <w:r>
                    <w:t>020-05-23~2021-05-22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餐</w:t>
                  </w:r>
                  <w:r>
                    <w:t>饮部</w:t>
                  </w:r>
                  <w:r>
                    <w:rPr>
                      <w:rFonts w:hint="eastAsia"/>
                    </w:rPr>
                    <w:t>职</w:t>
                  </w:r>
                  <w:r>
                    <w:t>工</w:t>
                  </w:r>
                </w:p>
              </w:tc>
              <w:tc>
                <w:tcPr>
                  <w:tcW w:w="1515" w:type="dxa"/>
                </w:tcPr>
                <w:p>
                  <w:r>
                    <w:rPr>
                      <w:rFonts w:hint="eastAsia"/>
                    </w:rPr>
                    <w:t>黄</w:t>
                  </w:r>
                  <w:r>
                    <w:t>美平</w:t>
                  </w:r>
                </w:p>
              </w:tc>
              <w:tc>
                <w:tcPr>
                  <w:tcW w:w="2690" w:type="dxa"/>
                </w:tcPr>
                <w:p>
                  <w:r>
                    <w:rPr>
                      <w:rFonts w:hint="eastAsia"/>
                    </w:rPr>
                    <w:t>闽（2020）0</w:t>
                  </w:r>
                  <w:r>
                    <w:t>401-005851</w:t>
                  </w:r>
                </w:p>
              </w:tc>
              <w:tc>
                <w:tcPr>
                  <w:tcW w:w="2841" w:type="dxa"/>
                </w:tcPr>
                <w:p>
                  <w:r>
                    <w:rPr>
                      <w:rFonts w:hint="eastAsia"/>
                    </w:rPr>
                    <w:t>2</w:t>
                  </w:r>
                  <w:r>
                    <w:t>020-09-14~2021-09-13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r>
                    <w:rPr>
                      <w:rFonts w:hint="eastAsia"/>
                    </w:rPr>
                    <w:t>餐</w:t>
                  </w:r>
                  <w:r>
                    <w:t>饮部</w:t>
                  </w:r>
                  <w:r>
                    <w:rPr>
                      <w:rFonts w:hint="eastAsia"/>
                    </w:rPr>
                    <w:t>职</w:t>
                  </w:r>
                  <w:r>
                    <w:t>工</w:t>
                  </w:r>
                </w:p>
              </w:tc>
              <w:tc>
                <w:tcPr>
                  <w:tcW w:w="1515" w:type="dxa"/>
                </w:tcPr>
                <w:p>
                  <w:r>
                    <w:rPr>
                      <w:rFonts w:hint="eastAsia"/>
                    </w:rPr>
                    <w:t>廖</w:t>
                  </w:r>
                  <w:r>
                    <w:t>忠</w:t>
                  </w:r>
                  <w:r>
                    <w:rPr>
                      <w:rFonts w:hint="eastAsia"/>
                    </w:rPr>
                    <w:t>健</w:t>
                  </w:r>
                </w:p>
              </w:tc>
              <w:tc>
                <w:tcPr>
                  <w:tcW w:w="2690" w:type="dxa"/>
                </w:tcPr>
                <w:p>
                  <w:r>
                    <w:rPr>
                      <w:rFonts w:hint="eastAsia"/>
                    </w:rPr>
                    <w:t>闽（2020）0</w:t>
                  </w:r>
                  <w:r>
                    <w:t>401-005850</w:t>
                  </w:r>
                </w:p>
              </w:tc>
              <w:tc>
                <w:tcPr>
                  <w:tcW w:w="2841" w:type="dxa"/>
                </w:tcPr>
                <w:p>
                  <w:r>
                    <w:rPr>
                      <w:rFonts w:hint="eastAsia"/>
                    </w:rPr>
                    <w:t>2</w:t>
                  </w:r>
                  <w:r>
                    <w:t>020-09-14~2021-09-13</w:t>
                  </w:r>
                </w:p>
              </w:tc>
            </w:tr>
          </w:tbl>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pPr>
            <w:r>
              <w:rPr>
                <w:rFonts w:hint="eastAsia"/>
              </w:rPr>
              <w:t>☑管理者代表 (食品安全小组组长) 、☑运</w:t>
            </w:r>
            <w:r>
              <w:t>营</w:t>
            </w:r>
            <w:r>
              <w:rPr>
                <w:rFonts w:hint="eastAsia"/>
              </w:rPr>
              <w:t>部人员、 ☑餐</w:t>
            </w:r>
            <w:r>
              <w:t>饮管理</w:t>
            </w:r>
            <w:r>
              <w:rPr>
                <w:rFonts w:hint="eastAsia"/>
              </w:rPr>
              <w:t>部人员、☑综</w:t>
            </w:r>
            <w:r>
              <w:t>合</w:t>
            </w:r>
            <w:r>
              <w:rPr>
                <w:rFonts w:hint="eastAsia"/>
              </w:rPr>
              <w:t>部人员、</w:t>
            </w:r>
          </w:p>
          <w:p>
            <w:pPr>
              <w:tabs>
                <w:tab w:val="left" w:pos="510"/>
              </w:tabs>
              <w:autoSpaceDE w:val="0"/>
              <w:autoSpaceDN w:val="0"/>
              <w:adjustRightInd w:val="0"/>
              <w:ind w:right="6"/>
            </w:pPr>
            <w:r>
              <w:rPr>
                <w:rFonts w:hint="eastAsia"/>
              </w:rPr>
              <w:sym w:font="Wingdings" w:char="00A8"/>
            </w:r>
            <w:r>
              <w:rPr>
                <w:rFonts w:hint="eastAsia"/>
              </w:rPr>
              <w:t xml:space="preserve">物流部人员、  </w:t>
            </w:r>
            <w:r>
              <w:rPr>
                <w:rFonts w:hint="eastAsia"/>
              </w:rPr>
              <w:sym w:font="Wingdings" w:char="00A8"/>
            </w:r>
            <w:r>
              <w:rPr>
                <w:rFonts w:hint="eastAsia"/>
              </w:rPr>
              <w:t>HR部人员、</w:t>
            </w:r>
            <w:r>
              <w:rPr>
                <w:rFonts w:hint="eastAsia"/>
              </w:rPr>
              <w:tab/>
            </w:r>
            <w:r>
              <w:rPr>
                <w:rFonts w:hint="eastAsia"/>
              </w:rPr>
              <w:sym w:font="Wingdings" w:char="00A8"/>
            </w:r>
            <w:r>
              <w:rPr>
                <w:rFonts w:hint="eastAsia"/>
              </w:rPr>
              <w:t xml:space="preserve">销售部人员  </w:t>
            </w:r>
            <w:r>
              <w:rPr>
                <w:rFonts w:hint="eastAsia"/>
              </w:rPr>
              <w:sym w:font="Wingdings" w:char="00A8"/>
            </w:r>
            <w:r>
              <w:rPr>
                <w:rFonts w:hint="eastAsia"/>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☑宣传材料  </w:t>
            </w:r>
            <w:r>
              <w:rPr>
                <w:rFonts w:hint="eastAsia"/>
              </w:rPr>
              <w:sym w:font="Wingdings" w:char="00A8"/>
            </w:r>
            <w:r>
              <w:rPr>
                <w:rFonts w:hint="eastAsia"/>
              </w:rPr>
              <w:t>其他</w:t>
            </w:r>
          </w:p>
          <w:p>
            <w:pPr>
              <w:shd w:val="clear" w:color="auto" w:fill="F4B8FF"/>
            </w:pPr>
            <w:r>
              <w:rPr>
                <w:rFonts w:hint="eastAsia"/>
              </w:rPr>
              <w:t xml:space="preserve">内部沟通信息：☑ORP  ☑OPRO  ☑HACCP计划  ☑人员能力和职责  ☑法规和顾客要求 </w:t>
            </w:r>
          </w:p>
          <w:p>
            <w:pPr>
              <w:shd w:val="clear" w:color="auto" w:fill="F4B8FF"/>
              <w:ind w:firstLine="1470" w:firstLineChars="70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shd w:val="clear" w:color="auto" w:fill="F4B8FF"/>
              <w:ind w:firstLine="1470" w:firstLineChars="700"/>
            </w:pPr>
            <w:r>
              <w:rPr>
                <w:rFonts w:hint="eastAsia"/>
              </w:rPr>
              <w:sym w:font="Wingdings" w:char="00A8"/>
            </w:r>
            <w:r>
              <w:rPr>
                <w:rFonts w:hint="eastAsia"/>
              </w:rPr>
              <w:t>食品链中其他组织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634"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A8"/>
            </w:r>
            <w:r>
              <w:rPr>
                <w:rFonts w:hint="eastAsia"/>
              </w:rPr>
              <w:t xml:space="preserve">接收准则  ☑外包控制要求  </w:t>
            </w:r>
          </w:p>
          <w:p>
            <w:pPr>
              <w:shd w:val="clear" w:color="auto" w:fill="F4B8FF"/>
              <w:ind w:firstLine="210" w:firstLineChars="100"/>
            </w:pPr>
            <w:r>
              <w:rPr>
                <w:rFonts w:hint="eastAsia"/>
              </w:rPr>
              <w:t xml:space="preserve">☑提方案 ☑操作性前提方案 ☑HACCP计划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rPr>
                <w:szCs w:val="18"/>
                <w:lang w:val="en-GB"/>
              </w:rPr>
            </w:pPr>
            <w:r>
              <w:rPr>
                <w:rFonts w:hint="eastAsia"/>
              </w:rPr>
              <w:t>☑</w:t>
            </w:r>
            <w:r>
              <w:rPr>
                <w:rFonts w:hint="eastAsia"/>
                <w:b/>
                <w:sz w:val="20"/>
                <w:szCs w:val="22"/>
              </w:rPr>
              <w:t>《餐饮服务食品安全操作规范》</w:t>
            </w:r>
          </w:p>
          <w:p>
            <w:pPr>
              <w:shd w:val="clear" w:color="auto" w:fill="F4B8FF"/>
            </w:pPr>
            <w:r>
              <w:rPr>
                <w:rFonts w:hint="eastAsia"/>
              </w:rPr>
              <w:t>☑ 行业相关规范：</w:t>
            </w:r>
          </w:p>
          <w:p>
            <w:pPr>
              <w:shd w:val="clear" w:color="auto" w:fill="F4B8FF"/>
            </w:pPr>
            <w:r>
              <w:rPr>
                <w:rFonts w:hint="eastAsia"/>
              </w:rPr>
              <w:t xml:space="preserve">是否获得食品安全小组的批准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pPr>
            <w:r>
              <w:t>g) 来料的接收、储存、发运、运输和产品的搬运；</w:t>
            </w:r>
            <w:r>
              <w:rPr>
                <w:rFonts w:hint="eastAsia"/>
              </w:rPr>
              <w:t xml:space="preserve">              ☑有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pPr>
            <w:r>
              <w:t>c）材料/产品的返工</w:t>
            </w:r>
            <w:r>
              <w:rPr>
                <w:rFonts w:hint="eastAsia"/>
              </w:rPr>
              <w:t xml:space="preserve">                                ☑是   </w:t>
            </w:r>
            <w:r>
              <w:rPr>
                <w:rFonts w:hint="eastAsia"/>
              </w:rPr>
              <w:sym w:font="Wingdings" w:char="00A8"/>
            </w:r>
            <w:r>
              <w:rPr>
                <w:rFonts w:hint="eastAsia"/>
              </w:rPr>
              <w:t>否</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rPr>
              <w:t xml:space="preserve">   </w:t>
            </w:r>
            <w:r>
              <w:rPr>
                <w:u w:val="single"/>
              </w:rPr>
              <w:t>48</w:t>
            </w:r>
            <w:r>
              <w:rPr>
                <w:rFonts w:hint="eastAsia"/>
                <w:u w:val="single"/>
              </w:rPr>
              <w:t xml:space="preserve">  </w:t>
            </w:r>
            <w:r>
              <w:rPr>
                <w:rFonts w:hint="eastAsia"/>
              </w:rPr>
              <w:t>个小</w:t>
            </w:r>
            <w:r>
              <w:t>时</w:t>
            </w:r>
            <w:r>
              <w:rPr>
                <w:rFonts w:hint="eastAsia"/>
              </w:rPr>
              <w:t>；</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u w:val="single"/>
              </w:rPr>
              <w:t>1</w:t>
            </w:r>
            <w:r>
              <w:rPr>
                <w:rFonts w:hint="eastAsia"/>
                <w:u w:val="single"/>
              </w:rPr>
              <w:t xml:space="preserve">   </w:t>
            </w:r>
            <w:r>
              <w:rPr>
                <w:rFonts w:hint="eastAsia"/>
              </w:rPr>
              <w:t>个月</w:t>
            </w:r>
            <w:r>
              <w:t>。</w:t>
            </w:r>
          </w:p>
          <w:p>
            <w:pPr>
              <w:shd w:val="clear" w:color="auto" w:fill="F4B8FF"/>
            </w:pPr>
            <w:r>
              <w:t>组织</w:t>
            </w:r>
            <w:r>
              <w:rPr>
                <w:rFonts w:hint="eastAsia"/>
              </w:rPr>
              <w:t>于</w:t>
            </w:r>
            <w:r>
              <w:rPr>
                <w:rFonts w:hint="eastAsia"/>
                <w:u w:val="single"/>
              </w:rPr>
              <w:t xml:space="preserve">  </w:t>
            </w:r>
            <w:r>
              <w:rPr>
                <w:u w:val="single"/>
              </w:rPr>
              <w:t>2019</w:t>
            </w:r>
            <w:r>
              <w:rPr>
                <w:rFonts w:hint="eastAsia"/>
                <w:u w:val="single"/>
              </w:rPr>
              <w:t xml:space="preserve">   </w:t>
            </w:r>
            <w:r>
              <w:rPr>
                <w:rFonts w:hint="eastAsia"/>
              </w:rPr>
              <w:t>年</w:t>
            </w:r>
            <w:r>
              <w:rPr>
                <w:rFonts w:hint="eastAsia"/>
                <w:u w:val="single"/>
              </w:rPr>
              <w:t xml:space="preserve">  </w:t>
            </w:r>
            <w:r>
              <w:rPr>
                <w:u w:val="single"/>
              </w:rPr>
              <w:t>11</w:t>
            </w:r>
            <w:r>
              <w:rPr>
                <w:rFonts w:hint="eastAsia"/>
                <w:u w:val="single"/>
              </w:rPr>
              <w:t xml:space="preserve"> </w:t>
            </w:r>
            <w:r>
              <w:rPr>
                <w:rFonts w:hint="eastAsia"/>
              </w:rPr>
              <w:t>月</w:t>
            </w:r>
            <w:r>
              <w:rPr>
                <w:rFonts w:hint="eastAsia"/>
                <w:u w:val="single"/>
              </w:rPr>
              <w:t xml:space="preserve"> </w:t>
            </w:r>
            <w:r>
              <w:rPr>
                <w:u w:val="single"/>
              </w:rPr>
              <w:t>18</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w:t>
            </w:r>
          </w:p>
          <w:p>
            <w:pPr>
              <w:shd w:val="clear" w:color="auto" w:fill="F4B8FF"/>
            </w:pPr>
            <w:r>
              <w:rPr>
                <w:rFonts w:hint="eastAsia"/>
              </w:rPr>
              <w:t>召</w:t>
            </w:r>
            <w:r>
              <w:t>回演</w:t>
            </w:r>
            <w:r>
              <w:rPr>
                <w:rFonts w:hint="eastAsia"/>
              </w:rPr>
              <w:t>练</w:t>
            </w:r>
            <w:r>
              <w:t>）</w:t>
            </w:r>
          </w:p>
          <w:p>
            <w:pPr>
              <w:shd w:val="clear" w:color="auto" w:fill="F4B8FF"/>
              <w:jc w:val="left"/>
            </w:pPr>
            <w:r>
              <w:rPr>
                <w:rFonts w:hint="eastAsia"/>
              </w:rPr>
              <w:t>组织在生产和服务提供的整个过程中对产品和监视和测量状态进行标识和追溯。</w:t>
            </w:r>
          </w:p>
          <w:p>
            <w:pPr>
              <w:shd w:val="clear" w:color="auto" w:fill="F4B8FF"/>
              <w:jc w:val="left"/>
            </w:pPr>
            <w:r>
              <w:rPr>
                <w:rFonts w:hint="eastAsia"/>
              </w:rPr>
              <w:t xml:space="preserve">采用的标识方式：☑标签 ☑标牌 </w:t>
            </w:r>
            <w:r>
              <w:rPr>
                <w:rFonts w:hint="eastAsia"/>
              </w:rPr>
              <w:sym w:font="Wingdings" w:char="00A8"/>
            </w:r>
            <w:r>
              <w:rPr>
                <w:rFonts w:hint="eastAsia"/>
              </w:rPr>
              <w:t xml:space="preserve">区域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r>
              <w:rPr>
                <w:rFonts w:hint="eastAsia"/>
              </w:rPr>
              <w:t>制订的《应急预案》包括：</w:t>
            </w:r>
          </w:p>
          <w:p>
            <w:r>
              <w:rPr>
                <w:rFonts w:hint="eastAsia"/>
              </w:rPr>
              <w:sym w:font="Wingdings" w:char="00A8"/>
            </w:r>
            <w:r>
              <w:rPr>
                <w:rFonts w:hint="eastAsia"/>
              </w:rPr>
              <w:t xml:space="preserve">停水 </w:t>
            </w:r>
            <w:r>
              <w:rPr>
                <w:rFonts w:hint="eastAsia"/>
              </w:rPr>
              <w:sym w:font="Wingdings" w:char="00A8"/>
            </w:r>
            <w:r>
              <w:rPr>
                <w:rFonts w:hint="eastAsia"/>
              </w:rPr>
              <w:t xml:space="preserve">停电 </w:t>
            </w:r>
            <w:r>
              <w:rPr>
                <w:rFonts w:hint="eastAsia"/>
              </w:rPr>
              <w:sym w:font="Wingdings" w:char="00A8"/>
            </w:r>
            <w:r>
              <w:rPr>
                <w:rFonts w:hint="eastAsia"/>
              </w:rPr>
              <w:t xml:space="preserve">制冷骤停 </w:t>
            </w:r>
            <w:r>
              <w:rPr>
                <w:rFonts w:hint="eastAsia"/>
              </w:rPr>
              <w:sym w:font="Wingdings" w:char="00A8"/>
            </w:r>
            <w:r>
              <w:rPr>
                <w:rFonts w:hint="eastAsia"/>
              </w:rPr>
              <w:t xml:space="preserve">锅炉爆炸（停汽） </w:t>
            </w:r>
            <w:r>
              <w:rPr>
                <w:rFonts w:hint="eastAsia"/>
              </w:rPr>
              <w:sym w:font="Wingdings" w:char="00A8"/>
            </w:r>
            <w:r>
              <w:rPr>
                <w:rFonts w:hint="eastAsia"/>
              </w:rPr>
              <w:t xml:space="preserve">设备故障 ☑火灾 </w:t>
            </w:r>
            <w:r>
              <w:rPr>
                <w:rFonts w:hint="eastAsia"/>
              </w:rPr>
              <w:sym w:font="Wingdings" w:char="00A8"/>
            </w:r>
            <w:r>
              <w:rPr>
                <w:rFonts w:hint="eastAsia"/>
              </w:rPr>
              <w:t xml:space="preserve">危化品泄露 </w:t>
            </w:r>
          </w:p>
          <w:p>
            <w:r>
              <w:rPr>
                <w:rFonts w:hint="eastAsia"/>
              </w:rPr>
              <w:sym w:font="Wingdings" w:char="00A8"/>
            </w:r>
            <w:r>
              <w:rPr>
                <w:rFonts w:hint="eastAsia"/>
              </w:rPr>
              <w:t>自然灾害、</w:t>
            </w:r>
            <w:r>
              <w:rPr>
                <w:rFonts w:hint="eastAsia"/>
              </w:rPr>
              <w:sym w:font="Wingdings" w:char="00A8"/>
            </w:r>
            <w:r>
              <w:rPr>
                <w:rFonts w:hint="eastAsia"/>
              </w:rPr>
              <w:t>环境事故、</w:t>
            </w:r>
            <w:r>
              <w:rPr>
                <w:rFonts w:hint="eastAsia"/>
              </w:rPr>
              <w:sym w:font="Wingdings" w:char="00A8"/>
            </w:r>
            <w:r>
              <w:rPr>
                <w:rFonts w:hint="eastAsia"/>
              </w:rPr>
              <w:t>生物恐怖主义、☑工作场所事故、</w:t>
            </w:r>
            <w:r>
              <w:rPr>
                <w:rFonts w:hint="eastAsia"/>
              </w:rPr>
              <w:sym w:font="Wingdings" w:char="00A8"/>
            </w:r>
            <w:r>
              <w:rPr>
                <w:rFonts w:hint="eastAsia"/>
              </w:rPr>
              <w:t>公共卫生紧急情况</w:t>
            </w:r>
          </w:p>
          <w:p>
            <w:r>
              <w:rPr>
                <w:rFonts w:hint="eastAsia"/>
              </w:rPr>
              <w:sym w:font="Wingdings" w:char="00A8"/>
            </w:r>
            <w:r>
              <w:rPr>
                <w:rFonts w:hint="eastAsia"/>
              </w:rPr>
              <w:t>其他事故</w:t>
            </w:r>
          </w:p>
          <w:p>
            <w:r>
              <w:rPr>
                <w:rFonts w:hint="eastAsia"/>
              </w:rPr>
              <w:t xml:space="preserve">审核周期内发生过紧急情况：☑未发生 </w:t>
            </w:r>
            <w:r>
              <w:rPr>
                <w:rFonts w:hint="eastAsia"/>
              </w:rPr>
              <w:sym w:font="Wingdings" w:char="00A8"/>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u w:val="single"/>
              </w:rPr>
              <w:t>2019</w:t>
            </w:r>
            <w:r>
              <w:rPr>
                <w:rFonts w:hint="eastAsia"/>
                <w:u w:val="single"/>
              </w:rPr>
              <w:t xml:space="preserve">   </w:t>
            </w:r>
            <w:r>
              <w:rPr>
                <w:rFonts w:hint="eastAsia"/>
              </w:rPr>
              <w:t>年</w:t>
            </w:r>
            <w:r>
              <w:rPr>
                <w:rFonts w:hint="eastAsia"/>
                <w:u w:val="single"/>
              </w:rPr>
              <w:t xml:space="preserve"> </w:t>
            </w:r>
            <w:r>
              <w:rPr>
                <w:u w:val="single"/>
              </w:rPr>
              <w:t>11</w:t>
            </w:r>
            <w:r>
              <w:rPr>
                <w:rFonts w:hint="eastAsia"/>
                <w:u w:val="single"/>
              </w:rPr>
              <w:t xml:space="preserve">  </w:t>
            </w:r>
            <w:r>
              <w:rPr>
                <w:rFonts w:hint="eastAsia"/>
              </w:rPr>
              <w:t>月</w:t>
            </w:r>
            <w:r>
              <w:rPr>
                <w:rFonts w:hint="eastAsia"/>
                <w:u w:val="single"/>
              </w:rPr>
              <w:t xml:space="preserve"> </w:t>
            </w:r>
            <w:r>
              <w:rPr>
                <w:u w:val="single"/>
              </w:rPr>
              <w:t>23</w:t>
            </w:r>
            <w:r>
              <w:rPr>
                <w:rFonts w:hint="eastAsia"/>
                <w:u w:val="single"/>
              </w:rPr>
              <w:t xml:space="preserve">  </w:t>
            </w:r>
            <w:r>
              <w:rPr>
                <w:rFonts w:hint="eastAsia"/>
              </w:rPr>
              <w:t>日进行了</w:t>
            </w:r>
            <w:r>
              <w:rPr>
                <w:rFonts w:hint="eastAsia"/>
                <w:u w:val="single"/>
              </w:rPr>
              <w:t xml:space="preserve">    食</w:t>
            </w:r>
            <w:r>
              <w:rPr>
                <w:u w:val="single"/>
              </w:rPr>
              <w:t>物中毒应急</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 xml:space="preserve">应急准备和响应控制：☑符合要求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原材料产品描述</w:t>
            </w:r>
          </w:p>
          <w:p>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numPr>
                <w:ilvl w:val="0"/>
                <w:numId w:val="9"/>
              </w:numPr>
              <w:rPr>
                <w:color w:val="020FBE"/>
                <w:lang w:val="en-GB"/>
              </w:rPr>
            </w:pPr>
            <w:r>
              <w:rPr>
                <w:rFonts w:hint="eastAsia"/>
                <w:color w:val="020FBE"/>
                <w:lang w:val="en-GB"/>
              </w:rPr>
              <w:t>鸡</w:t>
            </w:r>
            <w:r>
              <w:rPr>
                <w:color w:val="020FBE"/>
                <w:lang w:val="en-GB"/>
              </w:rPr>
              <w:t>蛋</w:t>
            </w:r>
          </w:p>
          <w:p>
            <w:pPr>
              <w:numPr>
                <w:ilvl w:val="0"/>
                <w:numId w:val="9"/>
              </w:numPr>
              <w:rPr>
                <w:color w:val="020FBE"/>
                <w:lang w:val="en-GB"/>
              </w:rPr>
            </w:pPr>
            <w:r>
              <w:rPr>
                <w:rFonts w:hint="eastAsia"/>
                <w:color w:val="020FBE"/>
                <w:lang w:val="en-GB"/>
              </w:rPr>
              <w:t>水</w:t>
            </w:r>
          </w:p>
          <w:p>
            <w:pPr>
              <w:numPr>
                <w:ilvl w:val="0"/>
                <w:numId w:val="9"/>
              </w:numPr>
              <w:rPr>
                <w:color w:val="020FBE"/>
                <w:lang w:val="en-GB"/>
              </w:rPr>
            </w:pPr>
            <w:r>
              <w:rPr>
                <w:rFonts w:hint="eastAsia"/>
                <w:color w:val="020FBE"/>
                <w:lang w:val="en-GB"/>
              </w:rPr>
              <w:t>食用油</w:t>
            </w:r>
          </w:p>
          <w:p>
            <w:pPr>
              <w:numPr>
                <w:ilvl w:val="0"/>
                <w:numId w:val="9"/>
              </w:numPr>
              <w:rPr>
                <w:color w:val="020FBE"/>
                <w:lang w:val="en-GB"/>
              </w:rPr>
            </w:pPr>
            <w:r>
              <w:rPr>
                <w:rFonts w:hint="eastAsia"/>
                <w:color w:val="020FBE"/>
                <w:lang w:val="en-GB"/>
              </w:rPr>
              <w:t>蔬菜</w:t>
            </w:r>
          </w:p>
          <w:p>
            <w:pPr>
              <w:numPr>
                <w:ilvl w:val="0"/>
                <w:numId w:val="9"/>
              </w:numPr>
              <w:rPr>
                <w:color w:val="020FBE"/>
                <w:lang w:val="en-GB"/>
              </w:rPr>
            </w:pPr>
            <w:r>
              <w:rPr>
                <w:rFonts w:hint="eastAsia"/>
                <w:color w:val="020FBE"/>
                <w:lang w:val="en-GB"/>
              </w:rPr>
              <w:t>禽</w:t>
            </w:r>
            <w:r>
              <w:rPr>
                <w:color w:val="020FBE"/>
                <w:lang w:val="en-GB"/>
              </w:rPr>
              <w:t>肉</w:t>
            </w:r>
            <w:r>
              <w:rPr>
                <w:rFonts w:hint="eastAsia"/>
                <w:color w:val="020FBE"/>
                <w:lang w:val="en-GB"/>
              </w:rPr>
              <w:t>（</w:t>
            </w:r>
            <w:r>
              <w:rPr>
                <w:color w:val="020FBE"/>
                <w:lang w:val="en-GB"/>
              </w:rPr>
              <w:t>鸡肉、</w:t>
            </w:r>
            <w:r>
              <w:rPr>
                <w:rFonts w:hint="eastAsia"/>
                <w:color w:val="020FBE"/>
                <w:lang w:val="en-GB"/>
              </w:rPr>
              <w:t>鸭</w:t>
            </w:r>
            <w:r>
              <w:rPr>
                <w:color w:val="020FBE"/>
                <w:lang w:val="en-GB"/>
              </w:rPr>
              <w:t>肉）</w:t>
            </w:r>
          </w:p>
          <w:p>
            <w:pPr>
              <w:numPr>
                <w:ilvl w:val="0"/>
                <w:numId w:val="9"/>
              </w:numPr>
              <w:rPr>
                <w:color w:val="020FBE"/>
                <w:lang w:val="en-GB"/>
              </w:rPr>
            </w:pPr>
            <w:r>
              <w:rPr>
                <w:rFonts w:hint="eastAsia"/>
                <w:color w:val="020FBE"/>
                <w:lang w:val="en-GB"/>
              </w:rPr>
              <w:t>调味料</w:t>
            </w:r>
          </w:p>
          <w:p>
            <w:pPr>
              <w:numPr>
                <w:ilvl w:val="0"/>
                <w:numId w:val="9"/>
              </w:numPr>
            </w:pPr>
            <w:r>
              <w:rPr>
                <w:rFonts w:hint="eastAsia"/>
                <w:color w:val="020FBE"/>
                <w:lang w:val="en-GB"/>
              </w:rPr>
              <w:t>大米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终产品描述</w:t>
            </w:r>
          </w:p>
          <w:p>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numPr>
                <w:ilvl w:val="0"/>
                <w:numId w:val="9"/>
              </w:numPr>
              <w:rPr>
                <w:color w:val="020FBE"/>
                <w:lang w:val="en-GB"/>
              </w:rPr>
            </w:pPr>
            <w:r>
              <w:rPr>
                <w:rFonts w:hint="eastAsia"/>
                <w:color w:val="020FBE"/>
                <w:lang w:val="en-GB"/>
              </w:rPr>
              <w:t>西</w:t>
            </w:r>
            <w:r>
              <w:rPr>
                <w:color w:val="020FBE"/>
                <w:lang w:val="en-GB"/>
              </w:rPr>
              <w:t>红</w:t>
            </w:r>
            <w:r>
              <w:rPr>
                <w:rFonts w:hint="eastAsia"/>
                <w:color w:val="020FBE"/>
                <w:lang w:val="en-GB"/>
              </w:rPr>
              <w:t>杮炒</w:t>
            </w:r>
            <w:r>
              <w:rPr>
                <w:color w:val="020FBE"/>
                <w:lang w:val="en-GB"/>
              </w:rPr>
              <w:t>鸡蛋</w:t>
            </w:r>
          </w:p>
          <w:p>
            <w:pPr>
              <w:numPr>
                <w:ilvl w:val="0"/>
                <w:numId w:val="9"/>
              </w:numPr>
            </w:pPr>
            <w:r>
              <w:rPr>
                <w:rFonts w:hint="eastAsia"/>
              </w:rPr>
              <w:t>炒土</w:t>
            </w:r>
            <w:r>
              <w:t>豆</w:t>
            </w:r>
            <w:r>
              <w:rPr>
                <w:rFonts w:hint="eastAsia"/>
              </w:rPr>
              <w:t>丝</w:t>
            </w:r>
          </w:p>
          <w:p>
            <w:pPr>
              <w:numPr>
                <w:ilvl w:val="0"/>
                <w:numId w:val="9"/>
              </w:numPr>
            </w:pPr>
            <w:r>
              <w:rPr>
                <w:rFonts w:hint="eastAsia"/>
              </w:rPr>
              <w:t>米</w:t>
            </w:r>
            <w:r>
              <w:t>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bCs/>
              </w:rPr>
            </w:pPr>
            <w:r>
              <w:rPr>
                <w:rFonts w:hint="eastAsia"/>
                <w:b/>
                <w:bCs/>
              </w:rPr>
              <w:t>预期用途</w:t>
            </w:r>
          </w:p>
          <w:p>
            <w:pPr>
              <w:autoSpaceDE w:val="0"/>
              <w:autoSpaceDN w:val="0"/>
              <w:adjustRightInd w:val="0"/>
              <w:rPr>
                <w:color w:val="0000FF"/>
              </w:rPr>
            </w:pPr>
            <w:r>
              <w:rPr>
                <w:rFonts w:hint="eastAsia"/>
              </w:rPr>
              <w:t>组织的</w:t>
            </w:r>
            <w:r>
              <w:t>产品预期用途</w:t>
            </w:r>
            <w:r>
              <w:rPr>
                <w:rFonts w:hint="eastAsia"/>
              </w:rPr>
              <w:t xml:space="preserve">为 </w:t>
            </w:r>
            <w:r>
              <w:rPr>
                <w:rFonts w:hint="eastAsia"/>
                <w:color w:val="0000FF"/>
                <w:u w:val="single"/>
              </w:rPr>
              <w:t xml:space="preserve"> 直接食用（堂食或外卖）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☑易过敏人群    </w:t>
            </w:r>
            <w:r>
              <w:rPr>
                <w:rFonts w:hint="eastAsia"/>
              </w:rPr>
              <w:sym w:font="Wingdings" w:char="00A8"/>
            </w:r>
            <w:r>
              <w:rPr>
                <w:rFonts w:hint="eastAsia"/>
              </w:rPr>
              <w:t xml:space="preserve">团体用餐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10"/>
              </w:numPr>
              <w:spacing w:before="40" w:after="40"/>
            </w:pPr>
            <w:r>
              <w:t>工艺流程图包括</w:t>
            </w:r>
            <w:r>
              <w:rPr>
                <w:rFonts w:hint="eastAsia"/>
              </w:rPr>
              <w:t>了</w:t>
            </w:r>
            <w:r>
              <w:t>：</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pPr>
            <w:r>
              <w:t>b） 任何外包过程；</w:t>
            </w:r>
          </w:p>
          <w:p>
            <w:pPr>
              <w:shd w:val="clear" w:color="auto" w:fill="F4B8FF"/>
            </w:pPr>
            <w:r>
              <w:t>c） 原材料、辅料、加工助剂、包装材料、公用工程和和中间产品投入点；</w:t>
            </w:r>
          </w:p>
          <w:p>
            <w:pPr>
              <w:shd w:val="clear" w:color="auto" w:fill="F4B8FF"/>
            </w:pPr>
            <w:r>
              <w:t>d） 返工点和循环点；</w:t>
            </w:r>
          </w:p>
          <w:p>
            <w:pPr>
              <w:shd w:val="clear" w:color="auto" w:fill="F4B8FF"/>
            </w:pPr>
            <w:r>
              <w:t>e） 成品、 中间产品和副产品放行点及废弃物的排放点</w:t>
            </w:r>
          </w:p>
          <w:p>
            <w:pPr>
              <w:widowControl/>
              <w:numPr>
                <w:ilvl w:val="0"/>
                <w:numId w:val="10"/>
              </w:numPr>
              <w:autoSpaceDE w:val="0"/>
              <w:autoSpaceDN w:val="0"/>
              <w:adjustRightInd w:val="0"/>
              <w:rPr>
                <w:b/>
              </w:rPr>
            </w:pPr>
            <w:r>
              <w:t>工厂位置图</w:t>
            </w:r>
          </w:p>
          <w:p>
            <w:pPr>
              <w:widowControl/>
              <w:numPr>
                <w:ilvl w:val="0"/>
                <w:numId w:val="10"/>
              </w:numPr>
              <w:autoSpaceDE w:val="0"/>
              <w:autoSpaceDN w:val="0"/>
              <w:adjustRightInd w:val="0"/>
            </w:pPr>
            <w:r>
              <w:t>厂区平面图</w:t>
            </w:r>
          </w:p>
          <w:p>
            <w:pPr>
              <w:widowControl/>
              <w:numPr>
                <w:ilvl w:val="0"/>
                <w:numId w:val="10"/>
              </w:numPr>
              <w:autoSpaceDE w:val="0"/>
              <w:autoSpaceDN w:val="0"/>
              <w:adjustRightInd w:val="0"/>
              <w:rPr>
                <w:b/>
              </w:rPr>
            </w:pPr>
            <w:r>
              <w:t>车间平面图</w:t>
            </w:r>
            <w:r>
              <w:rPr>
                <w:rFonts w:hint="eastAsia"/>
              </w:rPr>
              <w:t>（</w:t>
            </w:r>
            <w:r>
              <w:t>经营场所的布局，包括食品和非食品加工区</w:t>
            </w:r>
            <w:r>
              <w:rPr>
                <w:rFonts w:hint="eastAsia"/>
              </w:rPr>
              <w:t>）</w:t>
            </w:r>
          </w:p>
          <w:p>
            <w:pPr>
              <w:widowControl/>
              <w:numPr>
                <w:ilvl w:val="0"/>
                <w:numId w:val="10"/>
              </w:numPr>
              <w:autoSpaceDE w:val="0"/>
              <w:autoSpaceDN w:val="0"/>
              <w:adjustRightInd w:val="0"/>
              <w:rPr>
                <w:b/>
              </w:rPr>
            </w:pPr>
            <w:r>
              <w:t>人流</w:t>
            </w:r>
            <w:r>
              <w:rPr>
                <w:rFonts w:hint="eastAsia"/>
              </w:rPr>
              <w:t>、</w:t>
            </w:r>
            <w:r>
              <w:t>物流</w:t>
            </w:r>
            <w:r>
              <w:rPr>
                <w:rFonts w:hint="eastAsia"/>
              </w:rPr>
              <w:t>、气流</w:t>
            </w:r>
            <w:r>
              <w:t>图</w:t>
            </w:r>
          </w:p>
          <w:p>
            <w:pPr>
              <w:widowControl/>
              <w:numPr>
                <w:ilvl w:val="0"/>
                <w:numId w:val="10"/>
              </w:numPr>
              <w:autoSpaceDE w:val="0"/>
              <w:autoSpaceDN w:val="0"/>
              <w:adjustRightInd w:val="0"/>
              <w:rPr>
                <w:b/>
              </w:rPr>
            </w:pPr>
            <w:r>
              <w:t>供排水网络图</w:t>
            </w:r>
          </w:p>
          <w:p>
            <w:pPr>
              <w:widowControl/>
              <w:numPr>
                <w:ilvl w:val="0"/>
                <w:numId w:val="10"/>
              </w:numPr>
              <w:autoSpaceDE w:val="0"/>
              <w:autoSpaceDN w:val="0"/>
              <w:adjustRightInd w:val="0"/>
              <w:rPr>
                <w:b/>
              </w:rPr>
            </w:pPr>
            <w:r>
              <w:t>防虫害分布图</w:t>
            </w:r>
          </w:p>
          <w:p>
            <w:pPr>
              <w:widowControl/>
              <w:numPr>
                <w:ilvl w:val="0"/>
                <w:numId w:val="10"/>
              </w:numPr>
              <w:autoSpaceDE w:val="0"/>
              <w:autoSpaceDN w:val="0"/>
              <w:adjustRightInd w:val="0"/>
              <w:rPr>
                <w:bCs/>
              </w:rPr>
            </w:pPr>
            <w:r>
              <w:rPr>
                <w:rFonts w:hint="eastAsia"/>
                <w:bCs/>
              </w:rPr>
              <w:t>其他</w:t>
            </w:r>
          </w:p>
          <w:p>
            <w:r>
              <w:rPr>
                <w:rFonts w:hint="eastAsia"/>
              </w:rPr>
              <w:t>各种</w:t>
            </w:r>
            <w:r>
              <w:t>流程图</w:t>
            </w:r>
            <w:r>
              <w:rPr>
                <w:rFonts w:hint="eastAsia"/>
              </w:rPr>
              <w:t>和平面图</w:t>
            </w:r>
            <w:r>
              <w:t>完整、准确、清晰。</w:t>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pPr>
            <w:r>
              <w:t>食品安全小组在</w:t>
            </w:r>
            <w:r>
              <w:rPr>
                <w:rFonts w:hint="eastAsia"/>
                <w:u w:val="single"/>
              </w:rPr>
              <w:t xml:space="preserve"> </w:t>
            </w:r>
            <w:r>
              <w:rPr>
                <w:u w:val="single"/>
              </w:rPr>
              <w:t>2019</w:t>
            </w:r>
            <w:r>
              <w:rPr>
                <w:rFonts w:hint="eastAsia"/>
                <w:u w:val="single"/>
              </w:rPr>
              <w:t xml:space="preserve"> </w:t>
            </w:r>
            <w:r>
              <w:rPr>
                <w:rFonts w:hint="eastAsia"/>
              </w:rPr>
              <w:t>年</w:t>
            </w:r>
            <w:r>
              <w:rPr>
                <w:u w:val="single"/>
              </w:rPr>
              <w:t xml:space="preserve"> 9</w:t>
            </w:r>
            <w:r>
              <w:rPr>
                <w:rFonts w:hint="eastAsia"/>
                <w:u w:val="single"/>
              </w:rPr>
              <w:t xml:space="preserve"> </w:t>
            </w:r>
            <w:r>
              <w:rPr>
                <w:rFonts w:hint="eastAsia"/>
              </w:rPr>
              <w:t>月</w:t>
            </w:r>
            <w:r>
              <w:rPr>
                <w:rFonts w:hint="eastAsia"/>
                <w:u w:val="single"/>
              </w:rPr>
              <w:t xml:space="preserve"> </w:t>
            </w:r>
            <w:r>
              <w:rPr>
                <w:u w:val="single"/>
              </w:rPr>
              <w:t xml:space="preserve">8 </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rPr>
            </w:pPr>
            <w:r>
              <w:rPr>
                <w:b/>
              </w:rPr>
              <w:t>危害</w:t>
            </w:r>
            <w:r>
              <w:rPr>
                <w:rFonts w:hint="eastAsia"/>
                <w:b/>
              </w:rPr>
              <w:t>评估</w:t>
            </w:r>
          </w:p>
          <w:p>
            <w:pPr>
              <w:rPr>
                <w:lang w:val="en-GB"/>
              </w:rPr>
            </w:pPr>
            <w:r>
              <w:rPr>
                <w:lang w:val="en-GB"/>
              </w:rPr>
              <w:t>HACCP小组</w:t>
            </w:r>
            <w:r>
              <w:rPr>
                <w:rFonts w:hint="eastAsia"/>
              </w:rPr>
              <w:t>于</w:t>
            </w:r>
            <w:r>
              <w:rPr>
                <w:rFonts w:hint="eastAsia"/>
                <w:color w:val="0000FF"/>
                <w:szCs w:val="21"/>
                <w:u w:val="single"/>
              </w:rPr>
              <w:t xml:space="preserve">  </w:t>
            </w:r>
            <w:r>
              <w:rPr>
                <w:color w:val="0000FF"/>
                <w:szCs w:val="21"/>
                <w:u w:val="single"/>
              </w:rPr>
              <w:t>2019</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09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01</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pPr>
              <w:tabs>
                <w:tab w:val="right" w:pos="3119"/>
              </w:tabs>
              <w:rPr>
                <w:lang w:val="en-GB"/>
              </w:rPr>
            </w:pPr>
            <w:r>
              <w:rPr>
                <w:lang w:val="en-GB"/>
              </w:rPr>
              <w:t>保持</w:t>
            </w:r>
            <w:r>
              <w:rPr>
                <w:rFonts w:hint="eastAsia"/>
                <w:lang w:val="en-GB"/>
              </w:rPr>
              <w:t>了</w:t>
            </w:r>
            <w:r>
              <w:rPr>
                <w:lang w:val="en-GB"/>
              </w:rPr>
              <w:t>危害评估依据和结果的记录。</w:t>
            </w:r>
          </w:p>
          <w:p>
            <w:pPr>
              <w:shd w:val="clear" w:color="auto" w:fill="F4B8FF"/>
            </w:pPr>
            <w:r>
              <w:rPr>
                <w:lang w:val="en-GB"/>
              </w:rPr>
              <w:t>显著危害</w:t>
            </w:r>
            <w:r>
              <w:rPr>
                <w:rFonts w:hint="eastAsia"/>
              </w:rPr>
              <w:t>包括：</w:t>
            </w:r>
          </w:p>
          <w:p>
            <w:pPr>
              <w:shd w:val="clear" w:color="auto" w:fill="F4B8FF"/>
            </w:pPr>
            <w:r>
              <w:rPr>
                <w:rFonts w:hint="eastAsia"/>
              </w:rPr>
              <w:t xml:space="preserve">化学危害：☑重金属 ☑农药残留  ☑兽药残留 ☑黄曲霉毒素  </w:t>
            </w:r>
            <w:r>
              <w:rPr>
                <w:rFonts w:hint="eastAsia"/>
              </w:rPr>
              <w:sym w:font="Wingdings" w:char="00A8"/>
            </w:r>
            <w:r>
              <w:rPr>
                <w:rFonts w:hint="eastAsia"/>
              </w:rPr>
              <w:t xml:space="preserve">放射性物质 </w:t>
            </w:r>
            <w:r>
              <w:rPr>
                <w:rFonts w:hint="eastAsia"/>
              </w:rPr>
              <w:sym w:font="Wingdings" w:char="00A8"/>
            </w:r>
            <w:r>
              <w:rPr>
                <w:rFonts w:hint="eastAsia"/>
              </w:rPr>
              <w:t>贝类毒素</w:t>
            </w:r>
          </w:p>
          <w:p>
            <w:pPr>
              <w:shd w:val="clear" w:color="auto" w:fill="F4B8FF"/>
            </w:pPr>
            <w:r>
              <w:rPr>
                <w:rFonts w:hint="eastAsia"/>
              </w:rPr>
              <w:t xml:space="preserve">          </w:t>
            </w:r>
            <w:r>
              <w:rPr>
                <w:rFonts w:hint="eastAsia"/>
              </w:rPr>
              <w:sym w:font="Wingdings" w:char="00A8"/>
            </w:r>
            <w:r>
              <w:rPr>
                <w:rFonts w:hint="eastAsia"/>
              </w:rPr>
              <w:t xml:space="preserve">超量的食品添加剂   </w:t>
            </w:r>
            <w:r>
              <w:rPr>
                <w:rFonts w:hint="eastAsia"/>
              </w:rPr>
              <w:sym w:font="Wingdings" w:char="00A8"/>
            </w:r>
            <w:r>
              <w:rPr>
                <w:rFonts w:hint="eastAsia"/>
              </w:rPr>
              <w:t>化学品（润滑油、清洁剂、消毒剂、杀虫剂）</w:t>
            </w:r>
          </w:p>
          <w:p>
            <w:pPr>
              <w:shd w:val="clear" w:color="auto" w:fill="F4B8FF"/>
              <w:ind w:firstLine="1050" w:firstLineChars="500"/>
            </w:pPr>
            <w:r>
              <w:rPr>
                <w:rFonts w:hint="eastAsia"/>
              </w:rPr>
              <w:sym w:font="Wingdings" w:char="00A8"/>
            </w:r>
            <w:r>
              <w:rPr>
                <w:rFonts w:hint="eastAsia"/>
                <w:bCs/>
                <w:lang w:val="en-GB"/>
              </w:rPr>
              <w:t>苯并芘</w:t>
            </w:r>
            <w:r>
              <w:rPr>
                <w:rFonts w:hint="eastAsia"/>
                <w:b/>
                <w:color w:val="0000FF"/>
              </w:rPr>
              <w:t xml:space="preserve"> </w:t>
            </w:r>
            <w:r>
              <w:rPr>
                <w:rFonts w:hint="eastAsia"/>
              </w:rPr>
              <w:sym w:font="Wingdings" w:char="00A8"/>
            </w:r>
            <w:r>
              <w:rPr>
                <w:rFonts w:hint="eastAsia"/>
              </w:rPr>
              <w:t xml:space="preserve">二氧化硫残留  </w:t>
            </w:r>
            <w:r>
              <w:rPr>
                <w:rFonts w:hint="eastAsia"/>
              </w:rPr>
              <w:sym w:font="Wingdings" w:char="00A8"/>
            </w:r>
            <w:r>
              <w:rPr>
                <w:rFonts w:hint="eastAsia"/>
              </w:rPr>
              <w:t xml:space="preserve">其他     </w:t>
            </w:r>
          </w:p>
          <w:p>
            <w:pPr>
              <w:shd w:val="clear" w:color="auto" w:fill="F4B8FF"/>
            </w:pPr>
            <w:r>
              <w:rPr>
                <w:rFonts w:hint="eastAsia"/>
              </w:rPr>
              <w:t xml:space="preserve">生物危害：☑大肠杆菌 </w:t>
            </w:r>
            <w:r>
              <w:rPr>
                <w:rFonts w:hint="eastAsia"/>
              </w:rPr>
              <w:sym w:font="Wingdings" w:char="00A8"/>
            </w:r>
            <w:r>
              <w:rPr>
                <w:rFonts w:hint="eastAsia"/>
              </w:rPr>
              <w:t xml:space="preserve">金黄色葡萄球菌  </w:t>
            </w:r>
            <w:r>
              <w:rPr>
                <w:rFonts w:hint="eastAsia"/>
              </w:rPr>
              <w:sym w:font="Wingdings" w:char="00A8"/>
            </w:r>
            <w:r>
              <w:rPr>
                <w:rFonts w:hint="eastAsia"/>
              </w:rPr>
              <w:t xml:space="preserve">志贺氏菌 ☑霉菌  </w:t>
            </w:r>
            <w:r>
              <w:rPr>
                <w:rFonts w:hint="eastAsia"/>
              </w:rPr>
              <w:sym w:font="Wingdings" w:char="00A8"/>
            </w:r>
            <w:r>
              <w:rPr>
                <w:rFonts w:hint="eastAsia"/>
              </w:rPr>
              <w:t xml:space="preserve">酵母菌 </w:t>
            </w:r>
            <w:r>
              <w:rPr>
                <w:rFonts w:hint="eastAsia"/>
              </w:rPr>
              <w:sym w:font="Wingdings" w:char="00A8"/>
            </w:r>
            <w:r>
              <w:rPr>
                <w:rFonts w:hint="eastAsia"/>
              </w:rPr>
              <w:t>沙门氏菌</w:t>
            </w:r>
          </w:p>
          <w:p>
            <w:pPr>
              <w:shd w:val="clear" w:color="auto" w:fill="F4B8FF"/>
            </w:pPr>
            <w:r>
              <w:rPr>
                <w:rFonts w:hint="eastAsia"/>
              </w:rPr>
              <w:t xml:space="preserve">          </w:t>
            </w:r>
            <w:r>
              <w:rPr>
                <w:rFonts w:hint="eastAsia"/>
              </w:rPr>
              <w:sym w:font="Wingdings" w:char="00A8"/>
            </w:r>
            <w:r>
              <w:rPr>
                <w:rFonts w:hint="eastAsia"/>
              </w:rPr>
              <w:t xml:space="preserve">副溶血弧菌  </w:t>
            </w:r>
            <w:r>
              <w:rPr>
                <w:rFonts w:hint="eastAsia"/>
              </w:rPr>
              <w:sym w:font="Wingdings" w:char="00A8"/>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A8"/>
            </w:r>
            <w:r>
              <w:rPr>
                <w:rFonts w:hint="eastAsia"/>
              </w:rPr>
              <w:t>其他</w:t>
            </w:r>
          </w:p>
          <w:p>
            <w:pPr>
              <w:shd w:val="clear" w:color="auto" w:fill="F4B8FF"/>
            </w:pPr>
            <w:r>
              <w:rPr>
                <w:rFonts w:hint="eastAsia"/>
              </w:rPr>
              <w:t xml:space="preserve">物理危害：☑金属屑  ☑玻璃渣  ☑碎石  </w:t>
            </w:r>
            <w:r>
              <w:rPr>
                <w:rFonts w:hint="eastAsia"/>
              </w:rPr>
              <w:sym w:font="Wingdings" w:char="00A8"/>
            </w:r>
            <w:r>
              <w:rPr>
                <w:rFonts w:hint="eastAsia"/>
              </w:rPr>
              <w:t>其他异物</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b/>
              </w:rPr>
            </w:pPr>
            <w:r>
              <w:rPr>
                <w:rFonts w:hint="eastAsia"/>
                <w:b/>
              </w:rPr>
              <w:t>最终产品危害分析：</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
                      <w:color w:val="0000FF"/>
                      <w:lang w:val="en-GB"/>
                    </w:rPr>
                  </w:pPr>
                  <w:r>
                    <w:rPr>
                      <w:rFonts w:hint="eastAsia"/>
                      <w:b/>
                      <w:color w:val="0000FF"/>
                      <w:lang w:val="en-GB"/>
                    </w:rPr>
                    <w:t>产品</w:t>
                  </w:r>
                </w:p>
              </w:tc>
              <w:tc>
                <w:tcPr>
                  <w:tcW w:w="2873" w:type="dxa"/>
                  <w:shd w:val="clear" w:color="auto" w:fill="auto"/>
                  <w:vAlign w:val="bottom"/>
                </w:tcPr>
                <w:p>
                  <w:pPr>
                    <w:jc w:val="center"/>
                    <w:rPr>
                      <w:b/>
                      <w:color w:val="0000FF"/>
                      <w:lang w:val="en-GB"/>
                    </w:rPr>
                  </w:pPr>
                  <w:r>
                    <w:rPr>
                      <w:rFonts w:hint="eastAsia"/>
                      <w:b/>
                      <w:color w:val="0000FF"/>
                      <w:lang w:val="en-GB"/>
                    </w:rPr>
                    <w:t>潜在危害</w:t>
                  </w:r>
                </w:p>
              </w:tc>
              <w:tc>
                <w:tcPr>
                  <w:tcW w:w="3184" w:type="dxa"/>
                  <w:shd w:val="clear" w:color="auto" w:fill="auto"/>
                </w:tcPr>
                <w:p>
                  <w:pPr>
                    <w:jc w:val="center"/>
                    <w:rPr>
                      <w:b/>
                      <w:lang w:val="en-GB"/>
                    </w:rPr>
                  </w:pPr>
                  <w:r>
                    <w:rPr>
                      <w:rFonts w:hint="eastAsia"/>
                      <w:b/>
                    </w:rPr>
                    <w:t>控制措施</w:t>
                  </w:r>
                  <w:r>
                    <w:rPr>
                      <w:rFonts w:ascii="Arial-BoldMT" w:hAnsi="Arial-BoldMT" w:cs="Arial-BoldMT"/>
                      <w:bCs/>
                      <w:vanish/>
                      <w:color w:val="0000FF"/>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
                      <w:color w:val="0000FF"/>
                      <w:highlight w:val="yellow"/>
                      <w:lang w:val="en-GB"/>
                    </w:rPr>
                  </w:pPr>
                  <w:r>
                    <w:rPr>
                      <w:rFonts w:hint="eastAsia"/>
                      <w:b/>
                      <w:color w:val="0000FF"/>
                      <w:lang w:val="en-GB"/>
                    </w:rPr>
                    <w:t>米饭</w:t>
                  </w:r>
                </w:p>
              </w:tc>
              <w:tc>
                <w:tcPr>
                  <w:tcW w:w="2873" w:type="dxa"/>
                  <w:shd w:val="clear" w:color="auto" w:fill="auto"/>
                  <w:vAlign w:val="bottom"/>
                </w:tcPr>
                <w:p>
                  <w:pPr>
                    <w:rPr>
                      <w:b/>
                      <w:color w:val="0000FF"/>
                      <w:highlight w:val="yellow"/>
                      <w:lang w:val="en-GB"/>
                    </w:rPr>
                  </w:pPr>
                  <w:r>
                    <w:rPr>
                      <w:rFonts w:hint="eastAsia"/>
                      <w:b/>
                      <w:color w:val="0000FF"/>
                      <w:lang w:val="en-GB"/>
                    </w:rPr>
                    <w:t>有害微生物</w:t>
                  </w:r>
                </w:p>
              </w:tc>
              <w:tc>
                <w:tcPr>
                  <w:tcW w:w="3184" w:type="dxa"/>
                  <w:shd w:val="clear" w:color="auto" w:fill="auto"/>
                  <w:vAlign w:val="bottom"/>
                </w:tcPr>
                <w:p>
                  <w:r>
                    <w:rPr>
                      <w:rFonts w:hint="eastAsia"/>
                    </w:rPr>
                    <w:t>☑</w:t>
                  </w:r>
                  <w:r>
                    <w:t>OPRP</w:t>
                  </w:r>
                </w:p>
                <w:p>
                  <w:pPr>
                    <w:rPr>
                      <w:b/>
                      <w:color w:val="0000FF"/>
                      <w:highlight w:val="yellow"/>
                      <w:lang w:val="en-GB"/>
                    </w:rPr>
                  </w:pPr>
                  <w:r>
                    <w:rPr>
                      <w:rFonts w:hint="eastAsia"/>
                    </w:rPr>
                    <w:sym w:font="Wingdings" w:char="00A8"/>
                  </w:r>
                  <w: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
                      <w:color w:val="0000FF"/>
                      <w:highlight w:val="yellow"/>
                      <w:lang w:val="en-GB"/>
                    </w:rPr>
                  </w:pPr>
                  <w:r>
                    <w:rPr>
                      <w:b/>
                      <w:color w:val="0000FF"/>
                      <w:lang w:val="en-GB"/>
                    </w:rPr>
                    <w:t>菜肴</w:t>
                  </w:r>
                </w:p>
              </w:tc>
              <w:tc>
                <w:tcPr>
                  <w:tcW w:w="2873" w:type="dxa"/>
                  <w:shd w:val="clear" w:color="auto" w:fill="auto"/>
                  <w:vAlign w:val="bottom"/>
                </w:tcPr>
                <w:p>
                  <w:pPr>
                    <w:rPr>
                      <w:b/>
                      <w:color w:val="0000FF"/>
                      <w:highlight w:val="yellow"/>
                      <w:lang w:val="en-GB"/>
                    </w:rPr>
                  </w:pPr>
                  <w:r>
                    <w:rPr>
                      <w:rFonts w:hint="eastAsia"/>
                      <w:b/>
                      <w:color w:val="0000FF"/>
                      <w:lang w:val="en-GB"/>
                    </w:rPr>
                    <w:t>有害微生物</w:t>
                  </w:r>
                </w:p>
              </w:tc>
              <w:tc>
                <w:tcPr>
                  <w:tcW w:w="3184" w:type="dxa"/>
                  <w:shd w:val="clear" w:color="auto" w:fill="auto"/>
                  <w:vAlign w:val="bottom"/>
                </w:tcPr>
                <w:p>
                  <w:r>
                    <w:rPr>
                      <w:rFonts w:hint="eastAsia"/>
                    </w:rPr>
                    <w:t>☑</w:t>
                  </w:r>
                  <w:r>
                    <w:t>OPRP</w:t>
                  </w:r>
                </w:p>
                <w:p>
                  <w:pPr>
                    <w:rPr>
                      <w:b/>
                      <w:color w:val="0000FF"/>
                      <w:highlight w:val="yellow"/>
                      <w:lang w:val="en-GB"/>
                    </w:rPr>
                  </w:pPr>
                  <w:r>
                    <w:rPr>
                      <w:rFonts w:hint="eastAsia"/>
                    </w:rPr>
                    <w:t>☑</w:t>
                  </w:r>
                  <w:r>
                    <w:t>CCPs</w:t>
                  </w:r>
                </w:p>
              </w:tc>
            </w:tr>
          </w:tbl>
          <w:p>
            <w:pPr>
              <w:tabs>
                <w:tab w:val="right" w:pos="3119"/>
              </w:tabs>
              <w:rPr>
                <w:b/>
                <w:lang w:val="en-GB"/>
              </w:rPr>
            </w:pPr>
          </w:p>
          <w:p>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Style w:val="29"/>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jc w:val="center"/>
                    <w:rPr>
                      <w:b/>
                    </w:rPr>
                  </w:pPr>
                  <w:r>
                    <w:rPr>
                      <w:rFonts w:hint="eastAsia"/>
                      <w:b/>
                    </w:rPr>
                    <w:t>主要原料</w:t>
                  </w:r>
                </w:p>
              </w:tc>
              <w:tc>
                <w:tcPr>
                  <w:tcW w:w="3060"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r>
                    <w:rPr>
                      <w:rFonts w:ascii="Arial-BoldMT" w:hAnsi="Arial-BoldMT" w:cs="Arial-BoldMT"/>
                      <w:bCs/>
                      <w:vanish/>
                      <w:color w:val="0000FF"/>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肉类</w:t>
                  </w:r>
                </w:p>
              </w:tc>
              <w:tc>
                <w:tcPr>
                  <w:tcW w:w="3060" w:type="dxa"/>
                  <w:shd w:val="clear" w:color="auto" w:fill="auto"/>
                </w:tcPr>
                <w:p>
                  <w:pPr>
                    <w:autoSpaceDE w:val="0"/>
                    <w:autoSpaceDN w:val="0"/>
                    <w:adjustRightInd w:val="0"/>
                    <w:jc w:val="left"/>
                    <w:rPr>
                      <w:highlight w:val="yellow"/>
                    </w:rPr>
                  </w:pPr>
                  <w:r>
                    <w:rPr>
                      <w:rFonts w:hint="eastAsia"/>
                      <w:b/>
                      <w:color w:val="0000FF"/>
                      <w:lang w:val="en-GB"/>
                    </w:rPr>
                    <w:t>有害微生物、病毒、</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酱油</w:t>
                  </w:r>
                </w:p>
              </w:tc>
              <w:tc>
                <w:tcPr>
                  <w:tcW w:w="3060" w:type="dxa"/>
                  <w:shd w:val="clear" w:color="auto" w:fill="auto"/>
                </w:tcPr>
                <w:p>
                  <w:pPr>
                    <w:autoSpaceDE w:val="0"/>
                    <w:autoSpaceDN w:val="0"/>
                    <w:adjustRightInd w:val="0"/>
                    <w:jc w:val="left"/>
                    <w:rPr>
                      <w:highlight w:val="yellow"/>
                    </w:rPr>
                  </w:pPr>
                  <w:r>
                    <w:rPr>
                      <w:rFonts w:hint="eastAsia"/>
                      <w:b/>
                      <w:color w:val="0000FF"/>
                      <w:lang w:val="en-GB"/>
                    </w:rPr>
                    <w:t>黄曲霉毒素、</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调味料</w:t>
                  </w:r>
                </w:p>
              </w:tc>
              <w:tc>
                <w:tcPr>
                  <w:tcW w:w="3060" w:type="dxa"/>
                  <w:shd w:val="clear" w:color="auto" w:fill="auto"/>
                </w:tcPr>
                <w:p>
                  <w:pPr>
                    <w:autoSpaceDE w:val="0"/>
                    <w:autoSpaceDN w:val="0"/>
                    <w:adjustRightInd w:val="0"/>
                    <w:jc w:val="left"/>
                    <w:rPr>
                      <w:highlight w:val="yellow"/>
                    </w:rPr>
                  </w:pPr>
                  <w:r>
                    <w:rPr>
                      <w:rFonts w:hint="eastAsia"/>
                      <w:b/>
                      <w:color w:val="0000FF"/>
                      <w:lang w:val="en-GB"/>
                    </w:rPr>
                    <w:t>黄曲霉毒素、</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水</w:t>
                  </w:r>
                </w:p>
              </w:tc>
              <w:tc>
                <w:tcPr>
                  <w:tcW w:w="3060" w:type="dxa"/>
                  <w:shd w:val="clear" w:color="auto" w:fill="auto"/>
                </w:tcPr>
                <w:p>
                  <w:pPr>
                    <w:autoSpaceDE w:val="0"/>
                    <w:autoSpaceDN w:val="0"/>
                    <w:adjustRightInd w:val="0"/>
                    <w:jc w:val="left"/>
                    <w:rPr>
                      <w:highlight w:val="yellow"/>
                    </w:rPr>
                  </w:pPr>
                  <w:r>
                    <w:rPr>
                      <w:rFonts w:hint="eastAsia"/>
                      <w:b/>
                      <w:color w:val="0000FF"/>
                      <w:lang w:val="en-GB"/>
                    </w:rPr>
                    <w:t>重金属；</w:t>
                  </w:r>
                </w:p>
              </w:tc>
              <w:tc>
                <w:tcPr>
                  <w:tcW w:w="3661" w:type="dxa"/>
                  <w:shd w:val="clear" w:color="auto" w:fill="auto"/>
                </w:tcPr>
                <w:p>
                  <w:pPr>
                    <w:autoSpaceDE w:val="0"/>
                    <w:autoSpaceDN w:val="0"/>
                    <w:adjustRightInd w:val="0"/>
                    <w:jc w:val="left"/>
                    <w:rPr>
                      <w:highlight w:val="yellow"/>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大米</w:t>
                  </w:r>
                </w:p>
              </w:tc>
              <w:tc>
                <w:tcPr>
                  <w:tcW w:w="3060" w:type="dxa"/>
                  <w:shd w:val="clear" w:color="auto" w:fill="auto"/>
                </w:tcPr>
                <w:p>
                  <w:pPr>
                    <w:autoSpaceDE w:val="0"/>
                    <w:autoSpaceDN w:val="0"/>
                    <w:adjustRightInd w:val="0"/>
                    <w:jc w:val="left"/>
                    <w:rPr>
                      <w:b/>
                      <w:color w:val="0000FF"/>
                      <w:highlight w:val="yellow"/>
                      <w:lang w:val="en-GB"/>
                    </w:rPr>
                  </w:pPr>
                  <w:r>
                    <w:rPr>
                      <w:rFonts w:hint="eastAsia"/>
                      <w:b/>
                      <w:color w:val="0000FF"/>
                      <w:lang w:val="en-GB"/>
                    </w:rPr>
                    <w:t>农药残留；重金属；黄曲霉毒素</w:t>
                  </w:r>
                </w:p>
              </w:tc>
              <w:tc>
                <w:tcPr>
                  <w:tcW w:w="3661" w:type="dxa"/>
                  <w:shd w:val="clear" w:color="auto" w:fill="auto"/>
                </w:tcPr>
                <w:p>
                  <w:pPr>
                    <w:autoSpaceDE w:val="0"/>
                    <w:autoSpaceDN w:val="0"/>
                    <w:adjustRightInd w:val="0"/>
                    <w:jc w:val="left"/>
                    <w:rPr>
                      <w:highlight w:val="yellow"/>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食用油</w:t>
                  </w:r>
                </w:p>
              </w:tc>
              <w:tc>
                <w:tcPr>
                  <w:tcW w:w="3060"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油脂酸败（过氧化值、酸价）</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洗洁精</w:t>
                  </w:r>
                </w:p>
              </w:tc>
              <w:tc>
                <w:tcPr>
                  <w:tcW w:w="3060" w:type="dxa"/>
                  <w:shd w:val="clear" w:color="auto" w:fill="auto"/>
                </w:tcPr>
                <w:p>
                  <w:pPr>
                    <w:autoSpaceDE w:val="0"/>
                    <w:autoSpaceDN w:val="0"/>
                    <w:adjustRightInd w:val="0"/>
                    <w:jc w:val="left"/>
                    <w:rPr>
                      <w:highlight w:val="yellow"/>
                    </w:rPr>
                  </w:pPr>
                  <w:r>
                    <w:rPr>
                      <w:rFonts w:hint="eastAsia"/>
                      <w:b/>
                      <w:color w:val="0000FF"/>
                      <w:lang w:val="en-GB"/>
                    </w:rPr>
                    <w:t>重金属；</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lang w:val="en-GB"/>
                    </w:rPr>
                  </w:pPr>
                  <w:r>
                    <w:rPr>
                      <w:b/>
                      <w:color w:val="0000FF"/>
                      <w:lang w:val="en-GB"/>
                    </w:rPr>
                    <w:t>内包材</w:t>
                  </w:r>
                  <w:r>
                    <w:rPr>
                      <w:rFonts w:hint="eastAsia"/>
                      <w:b/>
                      <w:color w:val="0000FF"/>
                      <w:lang w:val="en-GB"/>
                    </w:rPr>
                    <w:t>（餐盒）</w:t>
                  </w:r>
                </w:p>
              </w:tc>
              <w:tc>
                <w:tcPr>
                  <w:tcW w:w="3060" w:type="dxa"/>
                  <w:shd w:val="clear" w:color="auto" w:fill="auto"/>
                </w:tcPr>
                <w:p>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556"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危害控制计划 (HACCP/OPRP 计划)</w:t>
            </w:r>
          </w:p>
          <w:p>
            <w:pPr>
              <w:shd w:val="clear" w:color="auto" w:fill="F4B8FF"/>
            </w:pPr>
            <w:r>
              <w:t>组织建立、 实施和保持HACCP计划。</w:t>
            </w:r>
          </w:p>
          <w:p>
            <w:pPr>
              <w:spacing w:before="240" w:after="120"/>
              <w:rPr>
                <w:lang w:val="en-GB"/>
              </w:rPr>
            </w:pPr>
            <w:r>
              <w:rPr>
                <w:rFonts w:hint="eastAsia" w:ascii="宋体" w:hAnsi="宋体" w:cs="宋体"/>
                <w:lang w:val="en-GB"/>
              </w:rPr>
              <w:t>HACCP计划1</w:t>
            </w:r>
          </w:p>
          <w:tbl>
            <w:tblPr>
              <w:tblStyle w:val="29"/>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52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45"/>
                    <w:rPr>
                      <w:lang w:eastAsia="zh-CN"/>
                    </w:rPr>
                  </w:pPr>
                  <w:r>
                    <w:rPr>
                      <w:rFonts w:hint="eastAsia"/>
                      <w:lang w:eastAsia="zh-CN"/>
                    </w:rPr>
                    <w:t xml:space="preserve"> </w:t>
                  </w:r>
                </w:p>
                <w:p>
                  <w:pPr>
                    <w:pStyle w:val="45"/>
                    <w:rPr>
                      <w:lang w:eastAsia="zh-CN"/>
                    </w:rPr>
                  </w:pPr>
                  <w:r>
                    <w:rPr>
                      <w:rFonts w:hint="eastAsia"/>
                      <w:lang w:eastAsia="zh-CN"/>
                    </w:rPr>
                    <w:t>序号</w:t>
                  </w:r>
                </w:p>
              </w:tc>
              <w:tc>
                <w:tcPr>
                  <w:tcW w:w="1569" w:type="dxa"/>
                  <w:shd w:val="clear" w:color="auto" w:fill="auto"/>
                </w:tcPr>
                <w:p>
                  <w:pPr>
                    <w:pStyle w:val="45"/>
                    <w:rPr>
                      <w:lang w:eastAsia="zh-CN"/>
                    </w:rPr>
                  </w:pPr>
                  <w:r>
                    <w:rPr>
                      <w:rFonts w:hint="eastAsia"/>
                      <w:lang w:eastAsia="zh-CN"/>
                    </w:rPr>
                    <w:t xml:space="preserve"> </w:t>
                  </w:r>
                </w:p>
                <w:p>
                  <w:pPr>
                    <w:pStyle w:val="45"/>
                    <w:rPr>
                      <w:lang w:eastAsia="zh-CN"/>
                    </w:rPr>
                  </w:pPr>
                  <w:r>
                    <w:rPr>
                      <w:rFonts w:hint="eastAsia"/>
                      <w:lang w:eastAsia="zh-CN"/>
                    </w:rPr>
                    <w:t>过程步骤</w:t>
                  </w:r>
                </w:p>
              </w:tc>
              <w:tc>
                <w:tcPr>
                  <w:tcW w:w="2301" w:type="dxa"/>
                  <w:shd w:val="clear" w:color="auto" w:fill="auto"/>
                </w:tcPr>
                <w:p>
                  <w:pPr>
                    <w:pStyle w:val="45"/>
                    <w:rPr>
                      <w:lang w:eastAsia="zh-CN"/>
                    </w:rPr>
                  </w:pPr>
                  <w:r>
                    <w:rPr>
                      <w:rFonts w:hint="eastAsia"/>
                      <w:lang w:eastAsia="zh-CN"/>
                    </w:rPr>
                    <w:t xml:space="preserve"> </w:t>
                  </w:r>
                </w:p>
                <w:p>
                  <w:pPr>
                    <w:pStyle w:val="45"/>
                    <w:rPr>
                      <w:lang w:eastAsia="zh-CN"/>
                    </w:rPr>
                  </w:pPr>
                  <w:r>
                    <w:rPr>
                      <w:rFonts w:hint="eastAsia"/>
                      <w:lang w:eastAsia="zh-CN"/>
                    </w:rPr>
                    <w:t>危害</w:t>
                  </w:r>
                </w:p>
              </w:tc>
              <w:tc>
                <w:tcPr>
                  <w:tcW w:w="2160" w:type="dxa"/>
                  <w:shd w:val="clear" w:color="auto" w:fill="auto"/>
                </w:tcPr>
                <w:p>
                  <w:pPr>
                    <w:pStyle w:val="45"/>
                    <w:rPr>
                      <w:lang w:eastAsia="zh-CN"/>
                    </w:rPr>
                  </w:pPr>
                  <w:r>
                    <w:rPr>
                      <w:rFonts w:hint="eastAsia"/>
                      <w:lang w:eastAsia="zh-CN"/>
                    </w:rPr>
                    <w:t xml:space="preserve"> </w:t>
                  </w:r>
                </w:p>
                <w:p>
                  <w:pPr>
                    <w:pStyle w:val="45"/>
                    <w:rPr>
                      <w:lang w:eastAsia="zh-CN"/>
                    </w:rPr>
                  </w:pPr>
                  <w:r>
                    <w:rPr>
                      <w:rFonts w:hint="eastAsia"/>
                      <w:lang w:eastAsia="zh-CN"/>
                    </w:rPr>
                    <w:t>监控程序</w:t>
                  </w:r>
                </w:p>
              </w:tc>
              <w:tc>
                <w:tcPr>
                  <w:tcW w:w="2520" w:type="dxa"/>
                  <w:shd w:val="clear" w:color="auto" w:fill="auto"/>
                </w:tcPr>
                <w:p>
                  <w:pPr>
                    <w:pStyle w:val="45"/>
                    <w:rPr>
                      <w:lang w:val="fr-FR" w:eastAsia="zh-CN"/>
                    </w:rPr>
                  </w:pPr>
                  <w:r>
                    <w:rPr>
                      <w:rFonts w:hint="eastAsia"/>
                      <w:lang w:val="fr-FR" w:eastAsia="zh-CN"/>
                    </w:rPr>
                    <w:t xml:space="preserve"> </w:t>
                  </w:r>
                </w:p>
                <w:p>
                  <w:pPr>
                    <w:pStyle w:val="45"/>
                    <w:rPr>
                      <w:lang w:val="fr-FR" w:eastAsia="zh-CN"/>
                    </w:rPr>
                  </w:pPr>
                  <w:r>
                    <w:rPr>
                      <w:rFonts w:hint="eastAsia"/>
                      <w:lang w:val="fr-FR" w:eastAsia="zh-CN"/>
                    </w:rPr>
                    <w:t>关键限值</w:t>
                  </w:r>
                </w:p>
              </w:tc>
              <w:tc>
                <w:tcPr>
                  <w:tcW w:w="840" w:type="dxa"/>
                  <w:shd w:val="clear" w:color="auto" w:fill="auto"/>
                </w:tcPr>
                <w:p>
                  <w:pPr>
                    <w:pStyle w:val="45"/>
                    <w:rPr>
                      <w:lang w:val="fr-FR" w:eastAsia="zh-CN"/>
                    </w:rPr>
                  </w:pPr>
                  <w:r>
                    <w:rPr>
                      <w:rFonts w:hint="eastAsia"/>
                      <w:lang w:val="fr-FR" w:eastAsia="zh-CN"/>
                    </w:rPr>
                    <w:t xml:space="preserve"> </w:t>
                  </w:r>
                </w:p>
                <w:p>
                  <w:pPr>
                    <w:pStyle w:val="45"/>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highlight w:val="yellow"/>
                    </w:rPr>
                  </w:pPr>
                  <w:r>
                    <w:rPr>
                      <w:color w:val="0000FF"/>
                      <w:sz w:val="18"/>
                      <w:szCs w:val="18"/>
                      <w:highlight w:val="yellow"/>
                    </w:rPr>
                    <w:t>CCP1</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jc w:val="center"/>
                    <w:textAlignment w:val="baseline"/>
                    <w:rPr>
                      <w:kern w:val="0"/>
                      <w:szCs w:val="22"/>
                    </w:rPr>
                  </w:pPr>
                  <w:r>
                    <w:rPr>
                      <w:rFonts w:hint="eastAsia" w:cs="宋体"/>
                      <w:kern w:val="0"/>
                      <w:szCs w:val="22"/>
                    </w:rPr>
                    <w:t>制熟</w:t>
                  </w:r>
                </w:p>
                <w:p>
                  <w:pPr>
                    <w:jc w:val="left"/>
                    <w:rPr>
                      <w:color w:val="0000FF"/>
                      <w:highlight w:val="yellow"/>
                      <w:lang w:val="fr-FR"/>
                    </w:rPr>
                  </w:pPr>
                  <w:r>
                    <w:rPr>
                      <w:rFonts w:hint="eastAsia" w:cs="宋体"/>
                      <w:kern w:val="0"/>
                      <w:szCs w:val="22"/>
                    </w:rPr>
                    <w:t>熟制</w:t>
                  </w:r>
                  <w:r>
                    <w:rPr>
                      <w:rFonts w:ascii="宋体" w:hAnsi="宋体" w:cs="宋体"/>
                      <w:kern w:val="0"/>
                      <w:szCs w:val="22"/>
                    </w:rPr>
                    <w:t>CCP</w:t>
                  </w:r>
                  <w:r>
                    <w:rPr>
                      <w:rFonts w:hint="eastAsia" w:ascii="宋体" w:hAnsi="宋体" w:cs="宋体"/>
                      <w:kern w:val="0"/>
                      <w:szCs w:val="22"/>
                    </w:rPr>
                    <w:t>1</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kern w:val="0"/>
                      <w:szCs w:val="22"/>
                    </w:rPr>
                  </w:pPr>
                  <w:r>
                    <w:rPr>
                      <w:rFonts w:hint="eastAsia" w:cs="宋体"/>
                      <w:kern w:val="0"/>
                      <w:szCs w:val="22"/>
                    </w:rPr>
                    <w:t>生物性危害：</w:t>
                  </w:r>
                </w:p>
                <w:p>
                  <w:pPr>
                    <w:jc w:val="left"/>
                    <w:rPr>
                      <w:color w:val="0000FF"/>
                      <w:highlight w:val="yellow"/>
                      <w:lang w:val="fr-FR"/>
                    </w:rPr>
                  </w:pPr>
                  <w:r>
                    <w:rPr>
                      <w:rFonts w:hint="eastAsia" w:ascii="宋体" w:hAnsi="宋体" w:cs="宋体"/>
                      <w:kern w:val="0"/>
                      <w:szCs w:val="22"/>
                    </w:rPr>
                    <w:t>加热温度过低或加热时间不足</w:t>
                  </w:r>
                  <w:r>
                    <w:rPr>
                      <w:rFonts w:hint="eastAsia" w:cs="宋体"/>
                      <w:kern w:val="0"/>
                      <w:szCs w:val="22"/>
                    </w:rPr>
                    <w:t>有害微生物繁殖</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highlight w:val="yellow"/>
                    </w:rPr>
                  </w:pPr>
                  <w:r>
                    <w:rPr>
                      <w:rFonts w:hint="eastAsia" w:cs="宋体"/>
                      <w:kern w:val="0"/>
                      <w:szCs w:val="22"/>
                    </w:rPr>
                    <w:t>温度计测温</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highlight w:val="yellow"/>
                    </w:rPr>
                  </w:pPr>
                  <w:r>
                    <w:rPr>
                      <w:rFonts w:hint="eastAsia" w:ascii="宋体" w:hAnsi="宋体" w:cs="宋体"/>
                      <w:kern w:val="0"/>
                      <w:szCs w:val="22"/>
                    </w:rPr>
                    <w:t>中心温度≥</w:t>
                  </w:r>
                  <w:r>
                    <w:rPr>
                      <w:rFonts w:ascii="宋体" w:hAnsi="宋体" w:cs="宋体"/>
                      <w:kern w:val="0"/>
                      <w:szCs w:val="22"/>
                    </w:rPr>
                    <w:t>70</w:t>
                  </w:r>
                  <w:r>
                    <w:rPr>
                      <w:kern w:val="0"/>
                      <w:szCs w:val="22"/>
                      <w:vertAlign w:val="superscript"/>
                    </w:rPr>
                    <w:t>0</w:t>
                  </w:r>
                  <w:r>
                    <w:rPr>
                      <w:kern w:val="0"/>
                      <w:szCs w:val="22"/>
                    </w:rPr>
                    <w:t>C</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highlight w:val="yellow"/>
                      <w:lang w:val="fr-FR"/>
                    </w:rPr>
                  </w:pPr>
                  <w:r>
                    <w:rPr>
                      <w:color w:val="0000FF"/>
                      <w:highlight w:val="yellow"/>
                      <w:lang w:val="fr-FR"/>
                    </w:rPr>
                    <w:t>1</w:t>
                  </w:r>
                </w:p>
              </w:tc>
            </w:tr>
          </w:tbl>
          <w:p/>
          <w:p>
            <w:pPr>
              <w:spacing w:before="240" w:after="120"/>
              <w:rPr>
                <w:lang w:val="en-GB"/>
              </w:rPr>
            </w:pPr>
            <w:r>
              <w:rPr>
                <w:rFonts w:hint="eastAsia" w:ascii="宋体" w:hAnsi="宋体" w:cs="宋体"/>
              </w:rPr>
              <w:t>OPRP</w:t>
            </w:r>
          </w:p>
          <w:tbl>
            <w:tblPr>
              <w:tblStyle w:val="29"/>
              <w:tblW w:w="92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38"/>
              <w:gridCol w:w="1430"/>
              <w:gridCol w:w="2097"/>
              <w:gridCol w:w="1969"/>
              <w:gridCol w:w="2297"/>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34" w:hRule="atLeast"/>
                <w:tblHeader/>
              </w:trPr>
              <w:tc>
                <w:tcPr>
                  <w:tcW w:w="738" w:type="dxa"/>
                  <w:shd w:val="clear" w:color="auto" w:fill="auto"/>
                </w:tcPr>
                <w:p>
                  <w:pPr>
                    <w:pStyle w:val="45"/>
                    <w:rPr>
                      <w:lang w:eastAsia="zh-CN"/>
                    </w:rPr>
                  </w:pPr>
                  <w:r>
                    <w:rPr>
                      <w:rFonts w:hint="eastAsia"/>
                      <w:lang w:eastAsia="zh-CN"/>
                    </w:rPr>
                    <w:t xml:space="preserve"> </w:t>
                  </w:r>
                </w:p>
                <w:p>
                  <w:pPr>
                    <w:pStyle w:val="45"/>
                    <w:rPr>
                      <w:lang w:eastAsia="zh-CN"/>
                    </w:rPr>
                  </w:pPr>
                  <w:r>
                    <w:rPr>
                      <w:rFonts w:hint="eastAsia"/>
                      <w:lang w:eastAsia="zh-CN"/>
                    </w:rPr>
                    <w:t>序号</w:t>
                  </w:r>
                </w:p>
              </w:tc>
              <w:tc>
                <w:tcPr>
                  <w:tcW w:w="1430" w:type="dxa"/>
                  <w:shd w:val="clear" w:color="auto" w:fill="auto"/>
                </w:tcPr>
                <w:p>
                  <w:pPr>
                    <w:pStyle w:val="45"/>
                    <w:rPr>
                      <w:lang w:eastAsia="zh-CN"/>
                    </w:rPr>
                  </w:pPr>
                  <w:r>
                    <w:rPr>
                      <w:rFonts w:hint="eastAsia"/>
                      <w:lang w:eastAsia="zh-CN"/>
                    </w:rPr>
                    <w:t xml:space="preserve"> </w:t>
                  </w:r>
                </w:p>
                <w:p>
                  <w:pPr>
                    <w:pStyle w:val="45"/>
                    <w:rPr>
                      <w:lang w:eastAsia="zh-CN"/>
                    </w:rPr>
                  </w:pPr>
                  <w:r>
                    <w:rPr>
                      <w:rFonts w:hint="eastAsia"/>
                      <w:lang w:eastAsia="zh-CN"/>
                    </w:rPr>
                    <w:t>过程步骤</w:t>
                  </w:r>
                </w:p>
              </w:tc>
              <w:tc>
                <w:tcPr>
                  <w:tcW w:w="2097" w:type="dxa"/>
                  <w:shd w:val="clear" w:color="auto" w:fill="auto"/>
                </w:tcPr>
                <w:p>
                  <w:pPr>
                    <w:pStyle w:val="45"/>
                    <w:rPr>
                      <w:lang w:eastAsia="zh-CN"/>
                    </w:rPr>
                  </w:pPr>
                  <w:r>
                    <w:rPr>
                      <w:rFonts w:hint="eastAsia"/>
                      <w:lang w:eastAsia="zh-CN"/>
                    </w:rPr>
                    <w:t xml:space="preserve"> </w:t>
                  </w:r>
                </w:p>
                <w:p>
                  <w:pPr>
                    <w:pStyle w:val="45"/>
                    <w:rPr>
                      <w:lang w:eastAsia="zh-CN"/>
                    </w:rPr>
                  </w:pPr>
                  <w:r>
                    <w:rPr>
                      <w:rFonts w:hint="eastAsia"/>
                      <w:lang w:eastAsia="zh-CN"/>
                    </w:rPr>
                    <w:t>危害</w:t>
                  </w:r>
                </w:p>
              </w:tc>
              <w:tc>
                <w:tcPr>
                  <w:tcW w:w="1969" w:type="dxa"/>
                  <w:shd w:val="clear" w:color="auto" w:fill="auto"/>
                </w:tcPr>
                <w:p>
                  <w:pPr>
                    <w:pStyle w:val="45"/>
                    <w:rPr>
                      <w:lang w:eastAsia="zh-CN"/>
                    </w:rPr>
                  </w:pPr>
                  <w:r>
                    <w:rPr>
                      <w:rFonts w:hint="eastAsia"/>
                      <w:lang w:eastAsia="zh-CN"/>
                    </w:rPr>
                    <w:t xml:space="preserve"> </w:t>
                  </w:r>
                </w:p>
                <w:p>
                  <w:pPr>
                    <w:pStyle w:val="45"/>
                    <w:rPr>
                      <w:lang w:eastAsia="zh-CN"/>
                    </w:rPr>
                  </w:pPr>
                  <w:r>
                    <w:rPr>
                      <w:rFonts w:hint="eastAsia"/>
                      <w:lang w:eastAsia="zh-CN"/>
                    </w:rPr>
                    <w:t>监控程序</w:t>
                  </w:r>
                </w:p>
              </w:tc>
              <w:tc>
                <w:tcPr>
                  <w:tcW w:w="2297" w:type="dxa"/>
                  <w:shd w:val="clear" w:color="auto" w:fill="auto"/>
                </w:tcPr>
                <w:p>
                  <w:pPr>
                    <w:pStyle w:val="45"/>
                    <w:rPr>
                      <w:lang w:val="fr-FR" w:eastAsia="zh-CN"/>
                    </w:rPr>
                  </w:pPr>
                  <w:r>
                    <w:rPr>
                      <w:rFonts w:hint="eastAsia"/>
                      <w:lang w:val="fr-FR" w:eastAsia="zh-CN"/>
                    </w:rPr>
                    <w:t xml:space="preserve"> </w:t>
                  </w:r>
                </w:p>
                <w:p>
                  <w:pPr>
                    <w:pStyle w:val="45"/>
                    <w:rPr>
                      <w:lang w:val="fr-FR" w:eastAsia="zh-CN"/>
                    </w:rPr>
                  </w:pPr>
                  <w:r>
                    <w:rPr>
                      <w:rFonts w:hint="eastAsia"/>
                      <w:lang w:val="en-US" w:eastAsia="zh-CN"/>
                    </w:rPr>
                    <w:t>操作</w:t>
                  </w:r>
                  <w:r>
                    <w:rPr>
                      <w:rFonts w:hint="eastAsia"/>
                      <w:lang w:val="fr-FR" w:eastAsia="zh-CN"/>
                    </w:rPr>
                    <w:t>限值</w:t>
                  </w:r>
                </w:p>
              </w:tc>
              <w:tc>
                <w:tcPr>
                  <w:tcW w:w="765" w:type="dxa"/>
                  <w:shd w:val="clear" w:color="auto" w:fill="auto"/>
                </w:tcPr>
                <w:p>
                  <w:pPr>
                    <w:pStyle w:val="45"/>
                    <w:rPr>
                      <w:lang w:val="fr-FR" w:eastAsia="zh-CN"/>
                    </w:rPr>
                  </w:pPr>
                  <w:r>
                    <w:rPr>
                      <w:rFonts w:hint="eastAsia"/>
                      <w:lang w:val="fr-FR" w:eastAsia="zh-CN"/>
                    </w:rPr>
                    <w:t xml:space="preserve"> </w:t>
                  </w:r>
                </w:p>
                <w:p>
                  <w:pPr>
                    <w:pStyle w:val="45"/>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24" w:hRule="atLeast"/>
              </w:trPr>
              <w:tc>
                <w:tcPr>
                  <w:tcW w:w="738"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highlight w:val="yellow"/>
                    </w:rPr>
                  </w:pPr>
                  <w:r>
                    <w:rPr>
                      <w:color w:val="0000FF"/>
                      <w:sz w:val="18"/>
                      <w:szCs w:val="18"/>
                      <w:highlight w:val="yellow"/>
                    </w:rPr>
                    <w:t>OPRP</w:t>
                  </w:r>
                </w:p>
              </w:tc>
              <w:tc>
                <w:tcPr>
                  <w:tcW w:w="1430"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kern w:val="0"/>
                      <w:szCs w:val="22"/>
                    </w:rPr>
                  </w:pPr>
                  <w:r>
                    <w:rPr>
                      <w:rFonts w:hint="eastAsia" w:cs="宋体"/>
                      <w:b/>
                      <w:kern w:val="0"/>
                      <w:szCs w:val="22"/>
                    </w:rPr>
                    <w:t>接收原辅</w:t>
                  </w:r>
                </w:p>
                <w:p>
                  <w:pPr>
                    <w:jc w:val="left"/>
                    <w:rPr>
                      <w:color w:val="0000FF"/>
                      <w:highlight w:val="yellow"/>
                      <w:lang w:val="fr-FR"/>
                    </w:rPr>
                  </w:pPr>
                  <w:r>
                    <w:rPr>
                      <w:rFonts w:hint="eastAsia" w:cs="宋体"/>
                      <w:b/>
                      <w:kern w:val="0"/>
                      <w:szCs w:val="22"/>
                    </w:rPr>
                    <w:t>料</w:t>
                  </w:r>
                  <w:r>
                    <w:rPr>
                      <w:rFonts w:hint="eastAsia" w:ascii="宋体" w:hAnsi="宋体" w:cs="宋体"/>
                      <w:b/>
                      <w:kern w:val="0"/>
                      <w:szCs w:val="22"/>
                    </w:rPr>
                    <w:t>OPRP</w:t>
                  </w:r>
                  <w:r>
                    <w:rPr>
                      <w:rFonts w:ascii="宋体" w:hAnsi="宋体" w:cs="宋体"/>
                      <w:b/>
                      <w:kern w:val="0"/>
                      <w:szCs w:val="22"/>
                    </w:rPr>
                    <w:t>1</w:t>
                  </w:r>
                </w:p>
              </w:tc>
              <w:tc>
                <w:tcPr>
                  <w:tcW w:w="2097"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kern w:val="0"/>
                      <w:szCs w:val="22"/>
                    </w:rPr>
                  </w:pPr>
                  <w:r>
                    <w:rPr>
                      <w:rFonts w:hint="eastAsia" w:cs="宋体"/>
                      <w:kern w:val="0"/>
                      <w:szCs w:val="22"/>
                    </w:rPr>
                    <w:t>生物性危害：肉类、水产原料中可能存在的</w:t>
                  </w:r>
                </w:p>
                <w:p>
                  <w:pPr>
                    <w:jc w:val="left"/>
                    <w:rPr>
                      <w:color w:val="0000FF"/>
                      <w:highlight w:val="yellow"/>
                      <w:lang w:val="fr-FR"/>
                    </w:rPr>
                  </w:pPr>
                  <w:r>
                    <w:rPr>
                      <w:rFonts w:hint="eastAsia" w:cs="宋体"/>
                      <w:kern w:val="0"/>
                      <w:szCs w:val="22"/>
                    </w:rPr>
                    <w:t>病原菌、寄生虫污染、疫病</w:t>
                  </w:r>
                </w:p>
              </w:tc>
              <w:tc>
                <w:tcPr>
                  <w:tcW w:w="1969" w:type="dxa"/>
                  <w:tcBorders>
                    <w:top w:val="single" w:color="auto" w:sz="4" w:space="0"/>
                    <w:left w:val="single" w:color="auto" w:sz="4" w:space="0"/>
                    <w:bottom w:val="single" w:color="auto" w:sz="4" w:space="0"/>
                    <w:right w:val="single" w:color="auto" w:sz="4" w:space="0"/>
                  </w:tcBorders>
                  <w:shd w:val="clear" w:color="auto" w:fill="auto"/>
                </w:tcPr>
                <w:p>
                  <w:pPr>
                    <w:jc w:val="left"/>
                    <w:rPr>
                      <w:rFonts w:cs="宋体"/>
                      <w:kern w:val="0"/>
                      <w:szCs w:val="22"/>
                    </w:rPr>
                  </w:pPr>
                  <w:r>
                    <w:rPr>
                      <w:rFonts w:hint="eastAsia" w:cs="宋体"/>
                      <w:kern w:val="0"/>
                      <w:szCs w:val="22"/>
                    </w:rPr>
                    <w:t>检疫证明查阅检疫证明</w:t>
                  </w:r>
                </w:p>
                <w:p>
                  <w:pPr>
                    <w:jc w:val="left"/>
                    <w:rPr>
                      <w:color w:val="0000FF"/>
                      <w:highlight w:val="yellow"/>
                    </w:rPr>
                  </w:pPr>
                  <w:r>
                    <w:rPr>
                      <w:rFonts w:hint="eastAsia" w:cs="宋体"/>
                      <w:kern w:val="0"/>
                      <w:szCs w:val="22"/>
                    </w:rPr>
                    <w:t>专</w:t>
                  </w:r>
                  <w:r>
                    <w:rPr>
                      <w:rFonts w:cs="宋体"/>
                      <w:kern w:val="0"/>
                      <w:szCs w:val="22"/>
                    </w:rPr>
                    <w:t>人</w:t>
                  </w:r>
                  <w:r>
                    <w:rPr>
                      <w:rFonts w:hint="eastAsia" w:cs="宋体"/>
                      <w:kern w:val="0"/>
                      <w:szCs w:val="22"/>
                    </w:rPr>
                    <w:t>每批查验</w:t>
                  </w:r>
                </w:p>
              </w:tc>
              <w:tc>
                <w:tcPr>
                  <w:tcW w:w="2297"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highlight w:val="yellow"/>
                    </w:rPr>
                  </w:pPr>
                  <w:r>
                    <w:rPr>
                      <w:rFonts w:hint="eastAsia" w:ascii="宋体" w:hAnsi="宋体" w:cs="宋体"/>
                      <w:kern w:val="0"/>
                      <w:szCs w:val="21"/>
                    </w:rPr>
                    <w:t>有效检验检疫证</w:t>
                  </w:r>
                  <w:r>
                    <w:rPr>
                      <w:rFonts w:hint="eastAsia" w:ascii="宋体" w:hAnsi="宋体" w:cs="宋体"/>
                      <w:kern w:val="0"/>
                      <w:sz w:val="22"/>
                      <w:szCs w:val="22"/>
                    </w:rPr>
                    <w:t>明及感官</w:t>
                  </w:r>
                </w:p>
              </w:tc>
              <w:tc>
                <w:tcPr>
                  <w:tcW w:w="765"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highlight w:val="yellow"/>
                      <w:lang w:val="fr-FR"/>
                    </w:rPr>
                  </w:pPr>
                  <w:r>
                    <w:rPr>
                      <w:color w:val="0000FF"/>
                      <w:highlight w:val="yellow"/>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4" w:hRule="atLeast"/>
              </w:trPr>
              <w:tc>
                <w:tcPr>
                  <w:tcW w:w="738"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highlight w:val="yellow"/>
                    </w:rPr>
                  </w:pPr>
                </w:p>
              </w:tc>
              <w:tc>
                <w:tcPr>
                  <w:tcW w:w="143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highlight w:val="yellow"/>
                    </w:rPr>
                  </w:pPr>
                </w:p>
              </w:tc>
              <w:tc>
                <w:tcPr>
                  <w:tcW w:w="2097"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highlight w:val="yellow"/>
                      <w:lang w:val="fr-FR"/>
                    </w:rPr>
                  </w:pPr>
                  <w:r>
                    <w:rPr>
                      <w:rFonts w:hint="eastAsia" w:cs="宋体"/>
                      <w:kern w:val="0"/>
                      <w:szCs w:val="22"/>
                    </w:rPr>
                    <w:t>化学性危害：肉类、水产、谷物、果蔬原料中可能存在的兽、农药残留，重金属污染</w:t>
                  </w:r>
                </w:p>
              </w:tc>
              <w:tc>
                <w:tcPr>
                  <w:tcW w:w="1969"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220" w:lineRule="exact"/>
                    <w:ind w:left="210" w:hanging="210" w:hangingChars="100"/>
                    <w:jc w:val="left"/>
                    <w:textAlignment w:val="baseline"/>
                    <w:rPr>
                      <w:kern w:val="0"/>
                      <w:szCs w:val="22"/>
                    </w:rPr>
                  </w:pPr>
                  <w:r>
                    <w:rPr>
                      <w:rFonts w:hint="eastAsia" w:cs="宋体"/>
                      <w:kern w:val="0"/>
                      <w:szCs w:val="22"/>
                    </w:rPr>
                    <w:t>农残、药残、重</w:t>
                  </w:r>
                </w:p>
                <w:p>
                  <w:pPr>
                    <w:jc w:val="left"/>
                    <w:rPr>
                      <w:rFonts w:cs="宋体"/>
                      <w:kern w:val="0"/>
                      <w:szCs w:val="22"/>
                    </w:rPr>
                  </w:pPr>
                  <w:r>
                    <w:rPr>
                      <w:rFonts w:hint="eastAsia" w:cs="宋体"/>
                      <w:kern w:val="0"/>
                      <w:szCs w:val="22"/>
                    </w:rPr>
                    <w:t>金属检测报告</w:t>
                  </w:r>
                </w:p>
                <w:p>
                  <w:pPr>
                    <w:jc w:val="left"/>
                    <w:rPr>
                      <w:rFonts w:cs="宋体"/>
                      <w:kern w:val="0"/>
                      <w:szCs w:val="22"/>
                    </w:rPr>
                  </w:pPr>
                  <w:r>
                    <w:rPr>
                      <w:rFonts w:hint="eastAsia" w:cs="宋体"/>
                      <w:kern w:val="0"/>
                      <w:szCs w:val="22"/>
                    </w:rPr>
                    <w:t>每半年或</w:t>
                  </w:r>
                  <w:r>
                    <w:rPr>
                      <w:kern w:val="0"/>
                      <w:szCs w:val="22"/>
                    </w:rPr>
                    <w:t>1</w:t>
                  </w:r>
                  <w:r>
                    <w:rPr>
                      <w:rFonts w:hint="eastAsia" w:cs="宋体"/>
                      <w:kern w:val="0"/>
                      <w:szCs w:val="22"/>
                    </w:rPr>
                    <w:t>年</w:t>
                  </w:r>
                </w:p>
                <w:p>
                  <w:pPr>
                    <w:jc w:val="left"/>
                    <w:rPr>
                      <w:color w:val="0000FF"/>
                      <w:highlight w:val="yellow"/>
                    </w:rPr>
                  </w:pPr>
                  <w:r>
                    <w:rPr>
                      <w:rFonts w:hint="eastAsia" w:cs="宋体"/>
                      <w:kern w:val="0"/>
                      <w:szCs w:val="22"/>
                    </w:rPr>
                    <w:t>专</w:t>
                  </w:r>
                  <w:r>
                    <w:rPr>
                      <w:rFonts w:cs="宋体"/>
                      <w:kern w:val="0"/>
                      <w:szCs w:val="22"/>
                    </w:rPr>
                    <w:t>人</w:t>
                  </w:r>
                  <w:r>
                    <w:rPr>
                      <w:rFonts w:hint="eastAsia" w:cs="宋体"/>
                      <w:kern w:val="0"/>
                      <w:szCs w:val="22"/>
                    </w:rPr>
                    <w:t>查阅检测报告</w:t>
                  </w:r>
                </w:p>
              </w:tc>
              <w:tc>
                <w:tcPr>
                  <w:tcW w:w="2297"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highlight w:val="yellow"/>
                    </w:rPr>
                  </w:pPr>
                  <w:r>
                    <w:rPr>
                      <w:rFonts w:hint="eastAsia" w:ascii="宋体" w:hAnsi="宋体" w:cs="宋体"/>
                      <w:kern w:val="0"/>
                      <w:szCs w:val="22"/>
                    </w:rPr>
                    <w:t>检验有效证明</w:t>
                  </w:r>
                  <w:r>
                    <w:rPr>
                      <w:rFonts w:hint="eastAsia" w:ascii="宋体" w:hAnsi="宋体" w:cs="宋体"/>
                      <w:kern w:val="0"/>
                      <w:sz w:val="22"/>
                      <w:szCs w:val="22"/>
                    </w:rPr>
                    <w:t>及感官</w:t>
                  </w:r>
                </w:p>
              </w:tc>
              <w:tc>
                <w:tcPr>
                  <w:tcW w:w="765"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highlight w:val="yellow"/>
                    </w:rPr>
                  </w:pPr>
                  <w:r>
                    <w:rPr>
                      <w:color w:val="0000FF"/>
                      <w:highlight w:val="yellow"/>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135" w:hRule="atLeast"/>
              </w:trPr>
              <w:tc>
                <w:tcPr>
                  <w:tcW w:w="738"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highlight w:val="yellow"/>
                    </w:rPr>
                  </w:pPr>
                  <w:r>
                    <w:rPr>
                      <w:color w:val="0000FF"/>
                      <w:sz w:val="18"/>
                      <w:szCs w:val="18"/>
                      <w:highlight w:val="yellow"/>
                    </w:rPr>
                    <w:t>OPRP</w:t>
                  </w:r>
                </w:p>
              </w:tc>
              <w:tc>
                <w:tcPr>
                  <w:tcW w:w="1430"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220" w:lineRule="exact"/>
                    <w:jc w:val="center"/>
                    <w:textAlignment w:val="baseline"/>
                    <w:rPr>
                      <w:rFonts w:ascii="仿宋_GB2312"/>
                      <w:b/>
                      <w:kern w:val="0"/>
                      <w:szCs w:val="22"/>
                    </w:rPr>
                  </w:pPr>
                  <w:r>
                    <w:rPr>
                      <w:rFonts w:hint="eastAsia" w:ascii="仿宋_GB2312" w:cs="宋体"/>
                      <w:b/>
                      <w:kern w:val="0"/>
                      <w:szCs w:val="22"/>
                    </w:rPr>
                    <w:t>餐具</w:t>
                  </w:r>
                </w:p>
                <w:p>
                  <w:pPr>
                    <w:jc w:val="left"/>
                    <w:rPr>
                      <w:color w:val="0000FF"/>
                      <w:highlight w:val="yellow"/>
                    </w:rPr>
                  </w:pPr>
                  <w:r>
                    <w:rPr>
                      <w:rFonts w:hint="eastAsia" w:ascii="仿宋_GB2312" w:cs="宋体"/>
                      <w:b/>
                      <w:kern w:val="0"/>
                      <w:szCs w:val="22"/>
                    </w:rPr>
                    <w:t>洗消</w:t>
                  </w:r>
                  <w:r>
                    <w:rPr>
                      <w:rFonts w:hint="eastAsia" w:ascii="宋体" w:hAnsi="宋体" w:cs="宋体"/>
                      <w:b/>
                      <w:kern w:val="0"/>
                      <w:szCs w:val="22"/>
                    </w:rPr>
                    <w:t>OPRP2</w:t>
                  </w:r>
                </w:p>
              </w:tc>
              <w:tc>
                <w:tcPr>
                  <w:tcW w:w="2097"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rFonts w:ascii="仿宋_GB2312"/>
                      <w:kern w:val="0"/>
                      <w:szCs w:val="22"/>
                    </w:rPr>
                  </w:pPr>
                  <w:r>
                    <w:rPr>
                      <w:rFonts w:hint="eastAsia" w:ascii="仿宋_GB2312" w:cs="宋体"/>
                      <w:kern w:val="0"/>
                      <w:szCs w:val="22"/>
                    </w:rPr>
                    <w:t>生物性危害：</w:t>
                  </w:r>
                </w:p>
                <w:p>
                  <w:pPr>
                    <w:jc w:val="left"/>
                    <w:rPr>
                      <w:rFonts w:cs="宋体"/>
                      <w:kern w:val="0"/>
                      <w:szCs w:val="22"/>
                    </w:rPr>
                  </w:pPr>
                  <w:r>
                    <w:rPr>
                      <w:rFonts w:hint="eastAsia" w:ascii="仿宋_GB2312" w:cs="宋体"/>
                      <w:kern w:val="0"/>
                      <w:szCs w:val="22"/>
                    </w:rPr>
                    <w:t>消毒时间、温度不够，或消毒液浓度不够，</w:t>
                  </w:r>
                  <w:r>
                    <w:rPr>
                      <w:rFonts w:hint="eastAsia" w:cs="宋体"/>
                      <w:kern w:val="0"/>
                      <w:szCs w:val="22"/>
                    </w:rPr>
                    <w:t>有害微生物繁殖</w:t>
                  </w:r>
                </w:p>
              </w:tc>
              <w:tc>
                <w:tcPr>
                  <w:tcW w:w="1969"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rFonts w:cs="宋体"/>
                      <w:kern w:val="0"/>
                      <w:szCs w:val="22"/>
                    </w:rPr>
                  </w:pPr>
                  <w:r>
                    <w:rPr>
                      <w:rFonts w:hint="eastAsia" w:cs="宋体"/>
                      <w:kern w:val="0"/>
                      <w:szCs w:val="22"/>
                    </w:rPr>
                    <w:t>物理法：</w:t>
                  </w:r>
                </w:p>
                <w:p>
                  <w:pPr>
                    <w:adjustRightInd w:val="0"/>
                    <w:spacing w:line="312" w:lineRule="atLeast"/>
                    <w:textAlignment w:val="baseline"/>
                    <w:rPr>
                      <w:kern w:val="0"/>
                      <w:szCs w:val="22"/>
                    </w:rPr>
                  </w:pPr>
                  <w:r>
                    <w:rPr>
                      <w:rFonts w:hint="eastAsia" w:cs="宋体"/>
                      <w:kern w:val="0"/>
                      <w:szCs w:val="22"/>
                    </w:rPr>
                    <w:t>温度计</w:t>
                  </w:r>
                </w:p>
                <w:p>
                  <w:pPr>
                    <w:adjustRightInd w:val="0"/>
                    <w:spacing w:line="312" w:lineRule="atLeast"/>
                    <w:textAlignment w:val="baseline"/>
                    <w:rPr>
                      <w:kern w:val="0"/>
                      <w:szCs w:val="22"/>
                    </w:rPr>
                  </w:pPr>
                  <w:r>
                    <w:rPr>
                      <w:rFonts w:hint="eastAsia" w:cs="宋体"/>
                      <w:kern w:val="0"/>
                      <w:szCs w:val="22"/>
                    </w:rPr>
                    <w:t>或控温仪</w:t>
                  </w:r>
                </w:p>
                <w:p>
                  <w:pPr>
                    <w:adjustRightInd w:val="0"/>
                    <w:spacing w:line="312" w:lineRule="atLeast"/>
                    <w:textAlignment w:val="baseline"/>
                    <w:rPr>
                      <w:kern w:val="0"/>
                      <w:szCs w:val="22"/>
                    </w:rPr>
                  </w:pPr>
                  <w:r>
                    <w:rPr>
                      <w:rFonts w:hint="eastAsia" w:cs="宋体"/>
                      <w:kern w:val="0"/>
                      <w:szCs w:val="22"/>
                    </w:rPr>
                    <w:t>化学法：</w:t>
                  </w:r>
                </w:p>
                <w:p>
                  <w:pPr>
                    <w:jc w:val="left"/>
                    <w:rPr>
                      <w:rFonts w:cs="宋体"/>
                      <w:kern w:val="0"/>
                      <w:szCs w:val="22"/>
                    </w:rPr>
                  </w:pPr>
                  <w:r>
                    <w:rPr>
                      <w:rFonts w:hint="eastAsia" w:cs="宋体"/>
                      <w:kern w:val="0"/>
                      <w:szCs w:val="22"/>
                    </w:rPr>
                    <w:t>试纸</w:t>
                  </w:r>
                </w:p>
                <w:p>
                  <w:pPr>
                    <w:jc w:val="left"/>
                    <w:rPr>
                      <w:rFonts w:cs="宋体"/>
                      <w:kern w:val="0"/>
                      <w:szCs w:val="22"/>
                    </w:rPr>
                  </w:pPr>
                  <w:r>
                    <w:rPr>
                      <w:rFonts w:hint="eastAsia" w:cs="宋体"/>
                      <w:kern w:val="0"/>
                      <w:szCs w:val="22"/>
                    </w:rPr>
                    <w:t>每批消毒记录</w:t>
                  </w:r>
                </w:p>
                <w:p>
                  <w:pPr>
                    <w:jc w:val="left"/>
                    <w:rPr>
                      <w:rFonts w:ascii="宋体" w:hAnsi="宋体" w:cs="宋体"/>
                      <w:kern w:val="0"/>
                      <w:szCs w:val="22"/>
                    </w:rPr>
                  </w:pPr>
                  <w:r>
                    <w:rPr>
                      <w:rFonts w:hint="eastAsia" w:cs="宋体"/>
                      <w:kern w:val="0"/>
                      <w:szCs w:val="22"/>
                    </w:rPr>
                    <w:t>专人监</w:t>
                  </w:r>
                  <w:r>
                    <w:rPr>
                      <w:rFonts w:cs="宋体"/>
                      <w:kern w:val="0"/>
                      <w:szCs w:val="22"/>
                    </w:rPr>
                    <w:t>控</w:t>
                  </w:r>
                </w:p>
              </w:tc>
              <w:tc>
                <w:tcPr>
                  <w:tcW w:w="2297"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ascii="宋体" w:hAnsi="宋体" w:cs="宋体"/>
                      <w:kern w:val="0"/>
                      <w:szCs w:val="22"/>
                    </w:rPr>
                  </w:pPr>
                  <w:r>
                    <w:rPr>
                      <w:rFonts w:hint="eastAsia" w:ascii="仿宋_GB2312" w:cs="宋体"/>
                      <w:color w:val="0000FF"/>
                      <w:kern w:val="0"/>
                      <w:szCs w:val="22"/>
                    </w:rPr>
                    <w:t>红外杀菌温度≥80℃，时间≥20分钟</w:t>
                  </w:r>
                </w:p>
              </w:tc>
              <w:tc>
                <w:tcPr>
                  <w:tcW w:w="765"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41" w:hRule="atLeast"/>
              </w:trPr>
              <w:tc>
                <w:tcPr>
                  <w:tcW w:w="738"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highlight w:val="yellow"/>
                    </w:rPr>
                  </w:pPr>
                </w:p>
              </w:tc>
              <w:tc>
                <w:tcPr>
                  <w:tcW w:w="1430"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220" w:lineRule="exact"/>
                    <w:jc w:val="center"/>
                    <w:textAlignment w:val="baseline"/>
                    <w:rPr>
                      <w:rFonts w:ascii="仿宋_GB2312" w:cs="宋体"/>
                      <w:b/>
                      <w:kern w:val="0"/>
                      <w:szCs w:val="22"/>
                    </w:rPr>
                  </w:pPr>
                </w:p>
              </w:tc>
              <w:tc>
                <w:tcPr>
                  <w:tcW w:w="2097"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rFonts w:ascii="仿宋_GB2312"/>
                      <w:kern w:val="0"/>
                      <w:szCs w:val="22"/>
                    </w:rPr>
                  </w:pPr>
                  <w:r>
                    <w:rPr>
                      <w:rFonts w:hint="eastAsia" w:ascii="仿宋_GB2312" w:cs="宋体"/>
                      <w:kern w:val="0"/>
                      <w:szCs w:val="22"/>
                    </w:rPr>
                    <w:t>化学性危害：</w:t>
                  </w:r>
                </w:p>
                <w:p>
                  <w:pPr>
                    <w:adjustRightInd w:val="0"/>
                    <w:spacing w:line="312" w:lineRule="atLeast"/>
                    <w:textAlignment w:val="baseline"/>
                    <w:rPr>
                      <w:rFonts w:ascii="仿宋_GB2312" w:cs="宋体"/>
                      <w:kern w:val="0"/>
                      <w:szCs w:val="22"/>
                    </w:rPr>
                  </w:pPr>
                  <w:r>
                    <w:rPr>
                      <w:rFonts w:hint="eastAsia" w:ascii="仿宋_GB2312" w:cs="宋体"/>
                      <w:kern w:val="0"/>
                      <w:szCs w:val="22"/>
                    </w:rPr>
                    <w:t>清洗不彻底洗涤剂残留</w:t>
                  </w:r>
                </w:p>
              </w:tc>
              <w:tc>
                <w:tcPr>
                  <w:tcW w:w="1969"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rFonts w:cs="宋体"/>
                      <w:kern w:val="0"/>
                      <w:szCs w:val="22"/>
                    </w:rPr>
                  </w:pPr>
                  <w:r>
                    <w:rPr>
                      <w:rFonts w:hint="eastAsia" w:cs="宋体"/>
                      <w:kern w:val="0"/>
                      <w:szCs w:val="22"/>
                    </w:rPr>
                    <w:t>物理法：</w:t>
                  </w:r>
                </w:p>
                <w:p>
                  <w:pPr>
                    <w:adjustRightInd w:val="0"/>
                    <w:spacing w:line="312" w:lineRule="atLeast"/>
                    <w:textAlignment w:val="baseline"/>
                    <w:rPr>
                      <w:kern w:val="0"/>
                      <w:szCs w:val="22"/>
                    </w:rPr>
                  </w:pPr>
                  <w:r>
                    <w:rPr>
                      <w:rFonts w:hint="eastAsia" w:cs="宋体"/>
                      <w:kern w:val="0"/>
                      <w:szCs w:val="22"/>
                    </w:rPr>
                    <w:t>温度计</w:t>
                  </w:r>
                </w:p>
                <w:p>
                  <w:pPr>
                    <w:adjustRightInd w:val="0"/>
                    <w:spacing w:line="312" w:lineRule="atLeast"/>
                    <w:textAlignment w:val="baseline"/>
                    <w:rPr>
                      <w:kern w:val="0"/>
                      <w:szCs w:val="22"/>
                    </w:rPr>
                  </w:pPr>
                  <w:r>
                    <w:rPr>
                      <w:rFonts w:hint="eastAsia" w:cs="宋体"/>
                      <w:kern w:val="0"/>
                      <w:szCs w:val="22"/>
                    </w:rPr>
                    <w:t>或控温仪</w:t>
                  </w:r>
                </w:p>
                <w:p>
                  <w:pPr>
                    <w:adjustRightInd w:val="0"/>
                    <w:spacing w:line="312" w:lineRule="atLeast"/>
                    <w:textAlignment w:val="baseline"/>
                    <w:rPr>
                      <w:kern w:val="0"/>
                      <w:szCs w:val="22"/>
                    </w:rPr>
                  </w:pPr>
                  <w:r>
                    <w:rPr>
                      <w:rFonts w:hint="eastAsia" w:cs="宋体"/>
                      <w:kern w:val="0"/>
                      <w:szCs w:val="22"/>
                    </w:rPr>
                    <w:t>化学法：</w:t>
                  </w:r>
                </w:p>
                <w:p>
                  <w:pPr>
                    <w:jc w:val="left"/>
                    <w:rPr>
                      <w:rFonts w:cs="宋体"/>
                      <w:kern w:val="0"/>
                      <w:szCs w:val="22"/>
                    </w:rPr>
                  </w:pPr>
                  <w:r>
                    <w:rPr>
                      <w:rFonts w:hint="eastAsia" w:cs="宋体"/>
                      <w:kern w:val="0"/>
                      <w:szCs w:val="22"/>
                    </w:rPr>
                    <w:t>试纸</w:t>
                  </w:r>
                </w:p>
                <w:p>
                  <w:pPr>
                    <w:jc w:val="left"/>
                    <w:rPr>
                      <w:rFonts w:cs="宋体"/>
                      <w:kern w:val="0"/>
                      <w:szCs w:val="22"/>
                    </w:rPr>
                  </w:pPr>
                  <w:r>
                    <w:rPr>
                      <w:rFonts w:hint="eastAsia" w:cs="宋体"/>
                      <w:kern w:val="0"/>
                      <w:szCs w:val="22"/>
                    </w:rPr>
                    <w:t>每批消毒记录</w:t>
                  </w:r>
                </w:p>
                <w:p>
                  <w:pPr>
                    <w:adjustRightInd w:val="0"/>
                    <w:spacing w:line="312" w:lineRule="atLeast"/>
                    <w:textAlignment w:val="baseline"/>
                    <w:rPr>
                      <w:rFonts w:cs="宋体"/>
                      <w:kern w:val="0"/>
                      <w:szCs w:val="22"/>
                    </w:rPr>
                  </w:pPr>
                  <w:r>
                    <w:rPr>
                      <w:rFonts w:hint="eastAsia" w:cs="宋体"/>
                      <w:kern w:val="0"/>
                      <w:szCs w:val="22"/>
                    </w:rPr>
                    <w:t>专人监</w:t>
                  </w:r>
                  <w:r>
                    <w:rPr>
                      <w:rFonts w:cs="宋体"/>
                      <w:kern w:val="0"/>
                      <w:szCs w:val="22"/>
                    </w:rPr>
                    <w:t>控</w:t>
                  </w:r>
                </w:p>
              </w:tc>
              <w:tc>
                <w:tcPr>
                  <w:tcW w:w="2297"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ascii="宋体" w:hAnsi="宋体" w:cs="宋体"/>
                      <w:kern w:val="0"/>
                      <w:szCs w:val="22"/>
                    </w:rPr>
                  </w:pPr>
                  <w:r>
                    <w:rPr>
                      <w:rFonts w:hint="eastAsia" w:ascii="仿宋_GB2312" w:cs="宋体"/>
                      <w:kern w:val="0"/>
                      <w:szCs w:val="22"/>
                      <w:highlight w:val="none"/>
                    </w:rPr>
                    <w:t>链道运行速度正常</w:t>
                  </w:r>
                </w:p>
              </w:tc>
              <w:tc>
                <w:tcPr>
                  <w:tcW w:w="765"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highlight w:val="yellow"/>
                    </w:rPr>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A8"/>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监视和测量的控制</w:t>
            </w:r>
          </w:p>
          <w:p>
            <w:pPr>
              <w:shd w:val="clear" w:color="auto" w:fill="F4B8FF"/>
            </w:pPr>
            <w:r>
              <w:rPr>
                <w:rFonts w:hint="eastAsia"/>
              </w:rPr>
              <w:t>与食品安全相关的</w:t>
            </w:r>
            <w:r>
              <w:t>监视和测量</w:t>
            </w:r>
            <w:r>
              <w:rPr>
                <w:rFonts w:hint="eastAsia"/>
              </w:rPr>
              <w:t xml:space="preserve">方法依据：  ☑外来标准 </w:t>
            </w:r>
            <w:r>
              <w:rPr>
                <w:rFonts w:hint="eastAsia"/>
              </w:rPr>
              <w:sym w:font="Wingdings" w:char="00A8"/>
            </w:r>
            <w:r>
              <w:rPr>
                <w:rFonts w:hint="eastAsia"/>
              </w:rPr>
              <w:t xml:space="preserve">企业标准  </w:t>
            </w:r>
            <w:r>
              <w:rPr>
                <w:rFonts w:hint="eastAsia"/>
              </w:rPr>
              <w:sym w:font="Wingdings" w:char="00A8"/>
            </w:r>
            <w:r>
              <w:rPr>
                <w:rFonts w:hint="eastAsia"/>
              </w:rPr>
              <w:t xml:space="preserve">顾客要求  </w:t>
            </w:r>
            <w:r>
              <w:rPr>
                <w:rFonts w:hint="eastAsia"/>
              </w:rPr>
              <w:sym w:font="Wingdings" w:char="00A8"/>
            </w:r>
            <w:r>
              <w:rPr>
                <w:rFonts w:hint="eastAsia"/>
              </w:rPr>
              <w:t>其他</w:t>
            </w:r>
          </w:p>
          <w:p>
            <w:pPr>
              <w:shd w:val="clear" w:color="auto" w:fill="F4B8FF"/>
              <w:rPr>
                <w:b/>
                <w:bCs/>
              </w:rPr>
            </w:pPr>
          </w:p>
          <w:p>
            <w:pPr>
              <w:shd w:val="clear" w:color="auto" w:fill="F4B8FF"/>
            </w:pPr>
            <w:r>
              <w:rPr>
                <w:rFonts w:hint="eastAsia"/>
              </w:rPr>
              <w:t>组织与食品安全相关的</w:t>
            </w:r>
            <w:r>
              <w:t>监视和测量资源</w:t>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shd w:val="clear" w:color="auto" w:fill="F4B8FF"/>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☑外校 </w:t>
            </w:r>
          </w:p>
          <w:p>
            <w:pPr>
              <w:shd w:val="clear" w:color="auto" w:fill="F4B8FF"/>
              <w:rPr>
                <w:u w:val="single"/>
              </w:rPr>
            </w:pPr>
            <w:r>
              <w:rPr>
                <w:rFonts w:hint="eastAsia"/>
              </w:rPr>
              <w:t>国家强检的计量器具有：</w:t>
            </w:r>
            <w:r>
              <w:rPr>
                <w:rFonts w:hint="eastAsia"/>
                <w:u w:val="single"/>
              </w:rPr>
              <w:t xml:space="preserve">  笔</w:t>
            </w:r>
            <w:r>
              <w:rPr>
                <w:u w:val="single"/>
              </w:rPr>
              <w:t>式温度针</w:t>
            </w:r>
            <w:r>
              <w:rPr>
                <w:rFonts w:hint="eastAsia"/>
                <w:u w:val="single"/>
              </w:rPr>
              <w:t xml:space="preserve">                               （列举1~4种）</w:t>
            </w:r>
          </w:p>
          <w:p>
            <w:pPr>
              <w:shd w:val="clear" w:color="auto" w:fill="F4B8FF"/>
            </w:pPr>
            <w:r>
              <w:rPr>
                <w:rFonts w:hint="eastAsia"/>
              </w:rPr>
              <w:t xml:space="preserve">计量器具管理：☑进行了定期校准/检定  </w:t>
            </w:r>
            <w:r>
              <w:rPr>
                <w:rFonts w:hint="eastAsia"/>
              </w:rPr>
              <w:sym w:font="Wingdings" w:char="00A8"/>
            </w:r>
            <w:r>
              <w:rPr>
                <w:rFonts w:hint="eastAsia"/>
              </w:rPr>
              <w:t xml:space="preserve">未进行定期校准/检定的有： </w:t>
            </w:r>
            <w:r>
              <w:rPr>
                <w:rFonts w:hint="eastAsia"/>
                <w:u w:val="single"/>
              </w:rPr>
              <w:t xml:space="preserve">            </w:t>
            </w:r>
          </w:p>
          <w:p>
            <w:pPr>
              <w:shd w:val="clear" w:color="auto" w:fill="F4B8FF"/>
            </w:pPr>
            <w:r>
              <w:rPr>
                <w:rFonts w:hint="eastAsia"/>
              </w:rPr>
              <w:sym w:font="Wingdings" w:char="00A8"/>
            </w:r>
            <w:r>
              <w:t>在FSMS中用于监视和测量的软件在使用前</w:t>
            </w:r>
            <w:r>
              <w:rPr>
                <w:rFonts w:hint="eastAsia"/>
              </w:rPr>
              <w:t>已</w:t>
            </w:r>
            <w:r>
              <w:t>由组织、软件供应商或第三方进行验证。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2019</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12</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04</w:t>
            </w:r>
            <w:r>
              <w:rPr>
                <w:rFonts w:hint="eastAsia"/>
                <w:color w:val="0000FF"/>
                <w:szCs w:val="21"/>
                <w:u w:val="single"/>
              </w:rPr>
              <w:t xml:space="preserve"> </w:t>
            </w:r>
            <w:r>
              <w:rPr>
                <w:rFonts w:hint="eastAsia"/>
                <w:color w:val="0000FF"/>
                <w:szCs w:val="21"/>
              </w:rPr>
              <w:t>日，进行验证了PRP。</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2019</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12</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04</w:t>
            </w:r>
            <w:r>
              <w:rPr>
                <w:rFonts w:hint="eastAsia"/>
                <w:color w:val="0000FF"/>
                <w:szCs w:val="21"/>
                <w:u w:val="single"/>
              </w:rPr>
              <w:t xml:space="preserve"> </w:t>
            </w:r>
            <w:r>
              <w:rPr>
                <w:rFonts w:hint="eastAsia"/>
                <w:color w:val="0000FF"/>
                <w:szCs w:val="21"/>
              </w:rPr>
              <w:t>日，进行验证了危害控制计划。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 xml:space="preserve">近一年来，☑未发生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 xml:space="preserve">不合格产品或过程控制：☑符合要求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r>
              <w:rPr>
                <w:rFonts w:hint="eastAsia"/>
              </w:rPr>
              <w:t>产品撤回/召回</w:t>
            </w:r>
          </w:p>
          <w:p>
            <w:pPr>
              <w:rPr>
                <w:szCs w:val="21"/>
              </w:rPr>
            </w:pPr>
            <w:r>
              <w:rPr>
                <w:szCs w:val="21"/>
              </w:rPr>
              <w:t>产品</w:t>
            </w:r>
            <w:r>
              <w:rPr>
                <w:rFonts w:hint="eastAsia"/>
              </w:rPr>
              <w:t>撤回/</w:t>
            </w:r>
            <w:r>
              <w:rPr>
                <w:szCs w:val="21"/>
              </w:rPr>
              <w:t>召回计划</w:t>
            </w:r>
            <w:r>
              <w:rPr>
                <w:rFonts w:hint="eastAsia"/>
                <w:szCs w:val="21"/>
              </w:rPr>
              <w:t>包括了下列内容：</w:t>
            </w:r>
          </w:p>
          <w:p>
            <w:pPr>
              <w:widowControl/>
              <w:numPr>
                <w:ilvl w:val="0"/>
                <w:numId w:val="11"/>
              </w:numPr>
              <w:spacing w:before="40" w:after="40"/>
              <w:rPr>
                <w:szCs w:val="21"/>
              </w:rPr>
            </w:pPr>
            <w:r>
              <w:rPr>
                <w:szCs w:val="21"/>
              </w:rPr>
              <w:t>启动和实施产品召回计划人员的职责和权限</w:t>
            </w:r>
          </w:p>
          <w:p>
            <w:pPr>
              <w:widowControl/>
              <w:numPr>
                <w:ilvl w:val="0"/>
                <w:numId w:val="11"/>
              </w:numPr>
              <w:spacing w:before="40" w:after="40"/>
              <w:rPr>
                <w:szCs w:val="21"/>
              </w:rPr>
            </w:pPr>
            <w:r>
              <w:rPr>
                <w:szCs w:val="21"/>
              </w:rPr>
              <w:t>产品召回行动需符合的相关法律、法规和其他相关要求</w:t>
            </w:r>
          </w:p>
          <w:p>
            <w:pPr>
              <w:widowControl/>
              <w:numPr>
                <w:ilvl w:val="0"/>
                <w:numId w:val="11"/>
              </w:numPr>
              <w:spacing w:before="40" w:after="40"/>
              <w:rPr>
                <w:szCs w:val="21"/>
              </w:rPr>
            </w:pPr>
            <w:r>
              <w:rPr>
                <w:szCs w:val="21"/>
              </w:rPr>
              <w:t>制定并实施受安全危害影响产品的召回措施</w:t>
            </w:r>
          </w:p>
          <w:p>
            <w:pPr>
              <w:widowControl/>
              <w:numPr>
                <w:ilvl w:val="0"/>
                <w:numId w:val="11"/>
              </w:numPr>
              <w:spacing w:before="40" w:after="40"/>
              <w:rPr>
                <w:szCs w:val="21"/>
              </w:rPr>
            </w:pPr>
            <w:r>
              <w:rPr>
                <w:szCs w:val="21"/>
              </w:rPr>
              <w:t>制定对召回的产品进行分析和处置的措施；</w:t>
            </w:r>
          </w:p>
          <w:p>
            <w:pPr>
              <w:rPr>
                <w:szCs w:val="21"/>
              </w:rPr>
            </w:pPr>
            <w:r>
              <w:rPr>
                <w:rFonts w:hint="eastAsia"/>
                <w:szCs w:val="21"/>
              </w:rPr>
              <w:t>实际发生的产品</w:t>
            </w:r>
            <w:r>
              <w:rPr>
                <w:szCs w:val="21"/>
              </w:rPr>
              <w:t>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szCs w:val="21"/>
                <w:u w:val="single"/>
              </w:rPr>
              <w:t>2019</w:t>
            </w:r>
            <w:r>
              <w:rPr>
                <w:rFonts w:hint="eastAsia"/>
                <w:szCs w:val="21"/>
                <w:u w:val="single"/>
              </w:rPr>
              <w:t xml:space="preserve">  </w:t>
            </w:r>
            <w:r>
              <w:rPr>
                <w:rFonts w:hint="eastAsia"/>
                <w:szCs w:val="21"/>
              </w:rPr>
              <w:t>年</w:t>
            </w:r>
            <w:r>
              <w:rPr>
                <w:rFonts w:hint="eastAsia"/>
                <w:szCs w:val="21"/>
                <w:u w:val="single"/>
              </w:rPr>
              <w:t xml:space="preserve">  </w:t>
            </w:r>
            <w:r>
              <w:rPr>
                <w:szCs w:val="21"/>
                <w:u w:val="single"/>
              </w:rPr>
              <w:t>11</w:t>
            </w:r>
            <w:r>
              <w:rPr>
                <w:rFonts w:hint="eastAsia"/>
                <w:szCs w:val="21"/>
                <w:u w:val="single"/>
              </w:rPr>
              <w:t xml:space="preserve">  </w:t>
            </w:r>
            <w:r>
              <w:rPr>
                <w:rFonts w:hint="eastAsia"/>
                <w:szCs w:val="21"/>
              </w:rPr>
              <w:t>月</w:t>
            </w:r>
            <w:r>
              <w:rPr>
                <w:rFonts w:hint="eastAsia"/>
                <w:szCs w:val="21"/>
                <w:u w:val="single"/>
              </w:rPr>
              <w:t xml:space="preserve">  </w:t>
            </w:r>
            <w:r>
              <w:rPr>
                <w:szCs w:val="21"/>
                <w:u w:val="single"/>
              </w:rPr>
              <w:t>18</w:t>
            </w:r>
            <w:r>
              <w:rPr>
                <w:rFonts w:hint="eastAsia"/>
                <w:szCs w:val="21"/>
                <w:u w:val="single"/>
              </w:rPr>
              <w:t xml:space="preserve">   </w:t>
            </w:r>
            <w:r>
              <w:rPr>
                <w:rFonts w:hint="eastAsia"/>
                <w:szCs w:val="21"/>
              </w:rPr>
              <w:t>日进行了召回演练，产品</w:t>
            </w:r>
            <w:r>
              <w:rPr>
                <w:rFonts w:hint="eastAsia"/>
                <w:szCs w:val="21"/>
                <w:u w:val="single"/>
              </w:rPr>
              <w:t xml:space="preserve"> </w:t>
            </w:r>
            <w:r>
              <w:rPr>
                <w:rFonts w:hint="eastAsia" w:ascii="宋体" w:hAnsi="宋体"/>
                <w:bCs/>
                <w:szCs w:val="21"/>
                <w:u w:val="single"/>
              </w:rPr>
              <w:t>炒洋葱添加的调味料过期</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rPr>
            </w:pPr>
            <w:r>
              <w:rPr>
                <w:rFonts w:hint="eastAsia"/>
                <w:szCs w:val="21"/>
              </w:rPr>
              <w:t>批号</w:t>
            </w:r>
            <w:r>
              <w:rPr>
                <w:rFonts w:hint="eastAsia"/>
                <w:szCs w:val="21"/>
                <w:u w:val="single"/>
              </w:rPr>
              <w:t xml:space="preserve"> </w:t>
            </w:r>
            <w:r>
              <w:rPr>
                <w:rFonts w:hint="eastAsia" w:ascii="宋体" w:hAnsi="宋体"/>
                <w:bCs/>
                <w:szCs w:val="21"/>
                <w:u w:val="single"/>
              </w:rPr>
              <w:t>2019.11.18</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t>☑</w:t>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634"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12"/>
              </w:numPr>
              <w:shd w:val="clear" w:color="auto" w:fill="F4B8FF"/>
            </w:pPr>
            <w:r>
              <w:rPr>
                <w:rFonts w:hint="eastAsia"/>
              </w:rPr>
              <w:t>PRP和危害控制计划</w:t>
            </w:r>
          </w:p>
          <w:p>
            <w:pPr>
              <w:numPr>
                <w:ilvl w:val="0"/>
                <w:numId w:val="12"/>
              </w:numPr>
              <w:shd w:val="clear" w:color="auto" w:fill="F4B8FF"/>
            </w:pPr>
            <w:r>
              <w:rPr>
                <w:rFonts w:hint="eastAsia"/>
              </w:rPr>
              <w:t>内部审核的结果</w:t>
            </w:r>
          </w:p>
          <w:p>
            <w:pPr>
              <w:numPr>
                <w:ilvl w:val="0"/>
                <w:numId w:val="12"/>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2019</w:t>
            </w:r>
            <w:r>
              <w:rPr>
                <w:rFonts w:hint="eastAsia"/>
                <w:u w:val="single"/>
              </w:rPr>
              <w:t xml:space="preserve">     </w:t>
            </w:r>
            <w:r>
              <w:rPr>
                <w:rFonts w:hint="eastAsia"/>
              </w:rPr>
              <w:t>年</w:t>
            </w:r>
            <w:r>
              <w:rPr>
                <w:rFonts w:hint="eastAsia"/>
                <w:u w:val="single"/>
              </w:rPr>
              <w:t xml:space="preserve"> </w:t>
            </w:r>
            <w:r>
              <w:rPr>
                <w:u w:val="single"/>
              </w:rPr>
              <w:t>12</w:t>
            </w:r>
            <w:r>
              <w:rPr>
                <w:rFonts w:hint="eastAsia"/>
                <w:u w:val="single"/>
              </w:rPr>
              <w:t xml:space="preserve">  </w:t>
            </w:r>
            <w:r>
              <w:rPr>
                <w:rFonts w:hint="eastAsia"/>
              </w:rPr>
              <w:t>月</w:t>
            </w:r>
            <w:r>
              <w:rPr>
                <w:rFonts w:hint="eastAsia"/>
                <w:u w:val="single"/>
              </w:rPr>
              <w:t xml:space="preserve">13   </w:t>
            </w:r>
            <w:r>
              <w:rPr>
                <w:rFonts w:hint="eastAsia"/>
              </w:rPr>
              <w:t>日实施了食品安全管理体系内部审核，对食品安全管理体系的符合性和有效性进行了审核。内审发现的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pPr>
            <w:r>
              <w:rPr>
                <w:rFonts w:hint="eastAsia"/>
              </w:rPr>
              <w:t>若是组织多场所/临时场所：（按照组织的实际情况选择）</w:t>
            </w:r>
          </w:p>
          <w:p>
            <w:pPr>
              <w:shd w:val="clear" w:color="auto" w:fill="F4B8FF"/>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F4B8FF"/>
            </w:pPr>
          </w:p>
          <w:p>
            <w:pPr>
              <w:shd w:val="clear" w:color="auto" w:fill="F4B8FF"/>
            </w:pPr>
            <w:r>
              <w:rPr>
                <w:rFonts w:hint="eastAsia"/>
              </w:rPr>
              <w:t>若是多班次操作：（按照组织的实际情况选择）</w:t>
            </w:r>
          </w:p>
          <w:p>
            <w:pPr>
              <w:shd w:val="clear" w:color="auto" w:fill="F4B8FF"/>
            </w:pPr>
            <w:r>
              <w:rPr>
                <w:rFonts w:hint="eastAsia"/>
              </w:rPr>
              <w:sym w:font="Wingdings" w:char="00A8"/>
            </w:r>
            <w:r>
              <w:rPr>
                <w:rFonts w:hint="eastAsia"/>
              </w:rPr>
              <w:t>对所有班次的现场操作已审核。</w:t>
            </w:r>
          </w:p>
          <w:p>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最高管理者已按策划的时间间隔，在</w:t>
            </w:r>
            <w:r>
              <w:rPr>
                <w:rFonts w:hint="eastAsia"/>
                <w:u w:val="single"/>
              </w:rPr>
              <w:t xml:space="preserve">  </w:t>
            </w:r>
            <w:r>
              <w:rPr>
                <w:u w:val="single"/>
              </w:rPr>
              <w:t>2020</w:t>
            </w:r>
            <w:r>
              <w:rPr>
                <w:rFonts w:hint="eastAsia"/>
                <w:u w:val="single"/>
              </w:rPr>
              <w:t xml:space="preserve">   </w:t>
            </w:r>
            <w:r>
              <w:rPr>
                <w:rFonts w:hint="eastAsia"/>
              </w:rPr>
              <w:t>年</w:t>
            </w:r>
            <w:r>
              <w:rPr>
                <w:rFonts w:hint="eastAsia"/>
                <w:u w:val="single"/>
              </w:rPr>
              <w:t xml:space="preserve"> </w:t>
            </w:r>
            <w:r>
              <w:rPr>
                <w:u w:val="single"/>
              </w:rPr>
              <w:t>01</w:t>
            </w:r>
            <w:r>
              <w:rPr>
                <w:rFonts w:hint="eastAsia"/>
                <w:u w:val="single"/>
              </w:rPr>
              <w:t xml:space="preserve">  </w:t>
            </w:r>
            <w:r>
              <w:rPr>
                <w:rFonts w:hint="eastAsia"/>
              </w:rPr>
              <w:t>月</w:t>
            </w:r>
            <w:r>
              <w:rPr>
                <w:rFonts w:hint="eastAsia"/>
                <w:u w:val="single"/>
              </w:rPr>
              <w:t xml:space="preserve"> </w:t>
            </w:r>
            <w:r>
              <w:rPr>
                <w:u w:val="single"/>
              </w:rPr>
              <w:t>08</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634"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A8"/>
            </w:r>
            <w:r>
              <w:rPr>
                <w:rFonts w:hint="eastAsia"/>
              </w:rPr>
              <w:t xml:space="preserve">食品安全事故  </w:t>
            </w:r>
            <w:r>
              <w:rPr>
                <w:rFonts w:hint="eastAsia"/>
              </w:rPr>
              <w:sym w:font="Wingdings" w:char="00A8"/>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29"/>
        <w:tblW w:w="9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586"/>
        <w:gridCol w:w="607"/>
        <w:gridCol w:w="593"/>
        <w:gridCol w:w="622"/>
        <w:gridCol w:w="614"/>
        <w:gridCol w:w="601"/>
        <w:gridCol w:w="614"/>
        <w:gridCol w:w="663"/>
        <w:gridCol w:w="578"/>
        <w:gridCol w:w="566"/>
        <w:gridCol w:w="627"/>
        <w:gridCol w:w="626"/>
        <w:gridCol w:w="627"/>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lang w:eastAsia="ja-JP"/>
              </w:rPr>
            </w:pPr>
            <w:r>
              <w:rPr>
                <w:rFonts w:hint="eastAsia"/>
                <w:lang w:val="en-GB"/>
              </w:rPr>
              <w:t>标准条款</w:t>
            </w:r>
          </w:p>
        </w:tc>
        <w:tc>
          <w:tcPr>
            <w:tcW w:w="586" w:type="dxa"/>
            <w:vAlign w:val="center"/>
          </w:tcPr>
          <w:p>
            <w:pPr>
              <w:shd w:val="clear" w:color="auto" w:fill="F4B8FF"/>
              <w:rPr>
                <w:lang w:eastAsia="ja-JP"/>
              </w:rPr>
            </w:pPr>
            <w:r>
              <w:rPr>
                <w:rFonts w:hint="eastAsia"/>
              </w:rPr>
              <w:t>4.1</w:t>
            </w:r>
          </w:p>
        </w:tc>
        <w:tc>
          <w:tcPr>
            <w:tcW w:w="607" w:type="dxa"/>
            <w:vAlign w:val="center"/>
          </w:tcPr>
          <w:p>
            <w:pPr>
              <w:shd w:val="clear" w:color="auto" w:fill="F4B8FF"/>
              <w:rPr>
                <w:lang w:eastAsia="ja-JP"/>
              </w:rPr>
            </w:pPr>
            <w:r>
              <w:rPr>
                <w:rFonts w:hint="eastAsia"/>
              </w:rPr>
              <w:t>4.2</w:t>
            </w:r>
          </w:p>
        </w:tc>
        <w:tc>
          <w:tcPr>
            <w:tcW w:w="593" w:type="dxa"/>
            <w:vAlign w:val="center"/>
          </w:tcPr>
          <w:p>
            <w:pPr>
              <w:shd w:val="clear" w:color="auto" w:fill="F4B8FF"/>
              <w:rPr>
                <w:lang w:eastAsia="ja-JP"/>
              </w:rPr>
            </w:pPr>
            <w:r>
              <w:rPr>
                <w:rFonts w:hint="eastAsia"/>
              </w:rPr>
              <w:t>4.3</w:t>
            </w:r>
          </w:p>
        </w:tc>
        <w:tc>
          <w:tcPr>
            <w:tcW w:w="622" w:type="dxa"/>
            <w:vAlign w:val="center"/>
          </w:tcPr>
          <w:p>
            <w:pPr>
              <w:shd w:val="clear" w:color="auto" w:fill="F4B8FF"/>
              <w:rPr>
                <w:lang w:eastAsia="ja-JP"/>
              </w:rPr>
            </w:pPr>
            <w:r>
              <w:rPr>
                <w:rFonts w:hint="eastAsia"/>
              </w:rPr>
              <w:t>4.4</w:t>
            </w:r>
          </w:p>
        </w:tc>
        <w:tc>
          <w:tcPr>
            <w:tcW w:w="614" w:type="dxa"/>
            <w:vAlign w:val="center"/>
          </w:tcPr>
          <w:p>
            <w:pPr>
              <w:shd w:val="clear" w:color="auto" w:fill="F4B8FF"/>
              <w:rPr>
                <w:lang w:eastAsia="ja-JP"/>
              </w:rPr>
            </w:pPr>
            <w:r>
              <w:rPr>
                <w:rFonts w:hint="eastAsia"/>
              </w:rPr>
              <w:t>5.1</w:t>
            </w:r>
          </w:p>
        </w:tc>
        <w:tc>
          <w:tcPr>
            <w:tcW w:w="601" w:type="dxa"/>
            <w:vAlign w:val="center"/>
          </w:tcPr>
          <w:p>
            <w:pPr>
              <w:shd w:val="clear" w:color="auto" w:fill="F4B8FF"/>
              <w:rPr>
                <w:lang w:eastAsia="ja-JP"/>
              </w:rPr>
            </w:pPr>
            <w:r>
              <w:rPr>
                <w:rFonts w:hint="eastAsia"/>
              </w:rPr>
              <w:t>5.2</w:t>
            </w:r>
          </w:p>
        </w:tc>
        <w:tc>
          <w:tcPr>
            <w:tcW w:w="614" w:type="dxa"/>
            <w:vAlign w:val="center"/>
          </w:tcPr>
          <w:p>
            <w:pPr>
              <w:shd w:val="clear" w:color="auto" w:fill="F4B8FF"/>
              <w:rPr>
                <w:lang w:eastAsia="ja-JP"/>
              </w:rPr>
            </w:pPr>
            <w:r>
              <w:rPr>
                <w:rFonts w:hint="eastAsia"/>
              </w:rPr>
              <w:t>5.3</w:t>
            </w:r>
          </w:p>
        </w:tc>
        <w:tc>
          <w:tcPr>
            <w:tcW w:w="663" w:type="dxa"/>
            <w:vAlign w:val="center"/>
          </w:tcPr>
          <w:p>
            <w:pPr>
              <w:shd w:val="clear" w:color="auto" w:fill="F4B8FF"/>
              <w:rPr>
                <w:lang w:eastAsia="ja-JP"/>
              </w:rPr>
            </w:pPr>
            <w:r>
              <w:rPr>
                <w:rFonts w:hint="eastAsia"/>
              </w:rPr>
              <w:t>6.1</w:t>
            </w:r>
          </w:p>
        </w:tc>
        <w:tc>
          <w:tcPr>
            <w:tcW w:w="578" w:type="dxa"/>
            <w:vAlign w:val="center"/>
          </w:tcPr>
          <w:p>
            <w:pPr>
              <w:shd w:val="clear" w:color="auto" w:fill="F4B8FF"/>
            </w:pPr>
            <w:r>
              <w:rPr>
                <w:rFonts w:hint="eastAsia"/>
              </w:rPr>
              <w:t>6.2</w:t>
            </w:r>
          </w:p>
        </w:tc>
        <w:tc>
          <w:tcPr>
            <w:tcW w:w="566" w:type="dxa"/>
            <w:vAlign w:val="center"/>
          </w:tcPr>
          <w:p>
            <w:pPr>
              <w:shd w:val="clear" w:color="auto" w:fill="F4B8FF"/>
            </w:pPr>
            <w:r>
              <w:rPr>
                <w:rFonts w:hint="eastAsia"/>
              </w:rPr>
              <w:t>6.3</w:t>
            </w:r>
          </w:p>
        </w:tc>
        <w:tc>
          <w:tcPr>
            <w:tcW w:w="627" w:type="dxa"/>
            <w:vAlign w:val="center"/>
          </w:tcPr>
          <w:p>
            <w:pPr>
              <w:shd w:val="clear" w:color="auto" w:fill="F4B8FF"/>
              <w:rPr>
                <w:lang w:eastAsia="ja-JP"/>
              </w:rPr>
            </w:pPr>
          </w:p>
        </w:tc>
        <w:tc>
          <w:tcPr>
            <w:tcW w:w="626" w:type="dxa"/>
            <w:vAlign w:val="center"/>
          </w:tcPr>
          <w:p>
            <w:pPr>
              <w:shd w:val="clear" w:color="auto" w:fill="F4B8FF"/>
              <w:rPr>
                <w:lang w:eastAsia="ja-JP"/>
              </w:rPr>
            </w:pPr>
          </w:p>
        </w:tc>
        <w:tc>
          <w:tcPr>
            <w:tcW w:w="627" w:type="dxa"/>
            <w:shd w:val="clear" w:color="auto" w:fill="BFBFBF"/>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lang w:eastAsia="ja-JP"/>
              </w:rPr>
            </w:pPr>
            <w:r>
              <w:rPr>
                <w:rFonts w:hint="eastAsia"/>
                <w:lang w:val="en-GB"/>
              </w:rPr>
              <w:t>评价*)</w:t>
            </w:r>
          </w:p>
        </w:tc>
        <w:tc>
          <w:tcPr>
            <w:tcW w:w="586" w:type="dxa"/>
            <w:vAlign w:val="center"/>
          </w:tcPr>
          <w:p>
            <w:pPr>
              <w:shd w:val="clear" w:color="auto" w:fill="F4B8FF"/>
            </w:pPr>
            <w:r>
              <w:rPr>
                <w:rFonts w:hint="eastAsia"/>
              </w:rPr>
              <w:t>1</w:t>
            </w:r>
          </w:p>
        </w:tc>
        <w:tc>
          <w:tcPr>
            <w:tcW w:w="607" w:type="dxa"/>
            <w:vAlign w:val="center"/>
          </w:tcPr>
          <w:p>
            <w:pPr>
              <w:shd w:val="clear" w:color="auto" w:fill="F4B8FF"/>
            </w:pPr>
            <w:r>
              <w:rPr>
                <w:rFonts w:hint="eastAsia"/>
              </w:rPr>
              <w:t>1</w:t>
            </w:r>
          </w:p>
        </w:tc>
        <w:tc>
          <w:tcPr>
            <w:tcW w:w="593" w:type="dxa"/>
            <w:vAlign w:val="center"/>
          </w:tcPr>
          <w:p>
            <w:pPr>
              <w:shd w:val="clear" w:color="auto" w:fill="F4B8FF"/>
            </w:pPr>
            <w:r>
              <w:rPr>
                <w:rFonts w:hint="eastAsia"/>
              </w:rPr>
              <w:t>1</w:t>
            </w:r>
          </w:p>
        </w:tc>
        <w:tc>
          <w:tcPr>
            <w:tcW w:w="622" w:type="dxa"/>
            <w:vAlign w:val="center"/>
          </w:tcPr>
          <w:p>
            <w:pPr>
              <w:shd w:val="clear" w:color="auto" w:fill="F4B8FF"/>
            </w:pPr>
            <w:r>
              <w:rPr>
                <w:rFonts w:hint="eastAsia"/>
              </w:rPr>
              <w:t>1</w:t>
            </w:r>
          </w:p>
        </w:tc>
        <w:tc>
          <w:tcPr>
            <w:tcW w:w="614" w:type="dxa"/>
            <w:vAlign w:val="center"/>
          </w:tcPr>
          <w:p>
            <w:pPr>
              <w:shd w:val="clear" w:color="auto" w:fill="F4B8FF"/>
            </w:pPr>
            <w:r>
              <w:rPr>
                <w:rFonts w:hint="eastAsia"/>
              </w:rPr>
              <w:t>1</w:t>
            </w:r>
          </w:p>
        </w:tc>
        <w:tc>
          <w:tcPr>
            <w:tcW w:w="601" w:type="dxa"/>
            <w:vAlign w:val="center"/>
          </w:tcPr>
          <w:p>
            <w:pPr>
              <w:shd w:val="clear" w:color="auto" w:fill="F4B8FF"/>
            </w:pPr>
            <w:r>
              <w:rPr>
                <w:rFonts w:hint="eastAsia"/>
              </w:rPr>
              <w:t>1</w:t>
            </w:r>
          </w:p>
        </w:tc>
        <w:tc>
          <w:tcPr>
            <w:tcW w:w="614" w:type="dxa"/>
            <w:vAlign w:val="center"/>
          </w:tcPr>
          <w:p>
            <w:pPr>
              <w:shd w:val="clear" w:color="auto" w:fill="F4B8FF"/>
            </w:pPr>
            <w:r>
              <w:rPr>
                <w:rFonts w:hint="eastAsia"/>
              </w:rPr>
              <w:t>1</w:t>
            </w:r>
          </w:p>
        </w:tc>
        <w:tc>
          <w:tcPr>
            <w:tcW w:w="663" w:type="dxa"/>
            <w:vAlign w:val="center"/>
          </w:tcPr>
          <w:p>
            <w:pPr>
              <w:shd w:val="clear" w:color="auto" w:fill="F4B8FF"/>
            </w:pPr>
            <w:r>
              <w:rPr>
                <w:rFonts w:hint="eastAsia"/>
              </w:rPr>
              <w:t>1</w:t>
            </w:r>
          </w:p>
        </w:tc>
        <w:tc>
          <w:tcPr>
            <w:tcW w:w="578" w:type="dxa"/>
            <w:vAlign w:val="center"/>
          </w:tcPr>
          <w:p>
            <w:pPr>
              <w:shd w:val="clear" w:color="auto" w:fill="F4B8FF"/>
            </w:pPr>
            <w:r>
              <w:rPr>
                <w:rFonts w:hint="eastAsia"/>
              </w:rPr>
              <w:t>1</w:t>
            </w:r>
          </w:p>
        </w:tc>
        <w:tc>
          <w:tcPr>
            <w:tcW w:w="566" w:type="dxa"/>
            <w:vAlign w:val="center"/>
          </w:tcPr>
          <w:p>
            <w:pPr>
              <w:shd w:val="clear" w:color="auto" w:fill="F4B8FF"/>
            </w:pPr>
            <w:r>
              <w:rPr>
                <w:rFonts w:hint="eastAsia"/>
              </w:rPr>
              <w:t>1</w:t>
            </w:r>
          </w:p>
        </w:tc>
        <w:tc>
          <w:tcPr>
            <w:tcW w:w="627" w:type="dxa"/>
            <w:vAlign w:val="center"/>
          </w:tcPr>
          <w:p>
            <w:pPr>
              <w:shd w:val="clear" w:color="auto" w:fill="F4B8FF"/>
              <w:rPr>
                <w:lang w:eastAsia="ja-JP"/>
              </w:rPr>
            </w:pPr>
          </w:p>
        </w:tc>
        <w:tc>
          <w:tcPr>
            <w:tcW w:w="626" w:type="dxa"/>
            <w:vAlign w:val="center"/>
          </w:tcPr>
          <w:p>
            <w:pPr>
              <w:shd w:val="clear" w:color="auto" w:fill="F4B8FF"/>
              <w:rPr>
                <w:lang w:eastAsia="ja-JP"/>
              </w:rPr>
            </w:pPr>
          </w:p>
        </w:tc>
        <w:tc>
          <w:tcPr>
            <w:tcW w:w="627" w:type="dxa"/>
            <w:shd w:val="clear" w:color="auto" w:fill="BFBFBF"/>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pPr>
            <w:r>
              <w:rPr>
                <w:rFonts w:hint="eastAsia"/>
              </w:rPr>
              <w:t>不符合数量</w:t>
            </w:r>
          </w:p>
        </w:tc>
        <w:tc>
          <w:tcPr>
            <w:tcW w:w="586" w:type="dxa"/>
            <w:vAlign w:val="center"/>
          </w:tcPr>
          <w:p>
            <w:pPr>
              <w:shd w:val="clear" w:color="auto" w:fill="F4B8FF"/>
              <w:rPr>
                <w:lang w:eastAsia="ja-JP"/>
              </w:rPr>
            </w:pPr>
          </w:p>
        </w:tc>
        <w:tc>
          <w:tcPr>
            <w:tcW w:w="607" w:type="dxa"/>
            <w:vAlign w:val="center"/>
          </w:tcPr>
          <w:p>
            <w:pPr>
              <w:shd w:val="clear" w:color="auto" w:fill="F4B8FF"/>
              <w:rPr>
                <w:lang w:eastAsia="ja-JP"/>
              </w:rPr>
            </w:pPr>
          </w:p>
        </w:tc>
        <w:tc>
          <w:tcPr>
            <w:tcW w:w="593" w:type="dxa"/>
            <w:vAlign w:val="center"/>
          </w:tcPr>
          <w:p>
            <w:pPr>
              <w:shd w:val="clear" w:color="auto" w:fill="F4B8FF"/>
              <w:rPr>
                <w:lang w:eastAsia="ja-JP"/>
              </w:rPr>
            </w:pPr>
          </w:p>
        </w:tc>
        <w:tc>
          <w:tcPr>
            <w:tcW w:w="622" w:type="dxa"/>
            <w:vAlign w:val="center"/>
          </w:tcPr>
          <w:p>
            <w:pPr>
              <w:shd w:val="clear" w:color="auto" w:fill="F4B8FF"/>
              <w:rPr>
                <w:lang w:eastAsia="ja-JP"/>
              </w:rPr>
            </w:pPr>
          </w:p>
        </w:tc>
        <w:tc>
          <w:tcPr>
            <w:tcW w:w="614" w:type="dxa"/>
            <w:vAlign w:val="center"/>
          </w:tcPr>
          <w:p>
            <w:pPr>
              <w:shd w:val="clear" w:color="auto" w:fill="F4B8FF"/>
              <w:rPr>
                <w:lang w:eastAsia="ja-JP"/>
              </w:rPr>
            </w:pPr>
          </w:p>
        </w:tc>
        <w:tc>
          <w:tcPr>
            <w:tcW w:w="601" w:type="dxa"/>
            <w:vAlign w:val="center"/>
          </w:tcPr>
          <w:p>
            <w:pPr>
              <w:shd w:val="clear" w:color="auto" w:fill="F4B8FF"/>
              <w:rPr>
                <w:lang w:eastAsia="ja-JP"/>
              </w:rPr>
            </w:pPr>
          </w:p>
        </w:tc>
        <w:tc>
          <w:tcPr>
            <w:tcW w:w="614" w:type="dxa"/>
            <w:vAlign w:val="center"/>
          </w:tcPr>
          <w:p>
            <w:pPr>
              <w:shd w:val="clear" w:color="auto" w:fill="F4B8FF"/>
              <w:rPr>
                <w:lang w:eastAsia="ja-JP"/>
              </w:rPr>
            </w:pPr>
          </w:p>
        </w:tc>
        <w:tc>
          <w:tcPr>
            <w:tcW w:w="663" w:type="dxa"/>
            <w:vAlign w:val="center"/>
          </w:tcPr>
          <w:p>
            <w:pPr>
              <w:shd w:val="clear" w:color="auto" w:fill="F4B8FF"/>
              <w:rPr>
                <w:lang w:eastAsia="ja-JP"/>
              </w:rPr>
            </w:pPr>
          </w:p>
        </w:tc>
        <w:tc>
          <w:tcPr>
            <w:tcW w:w="578" w:type="dxa"/>
            <w:vAlign w:val="center"/>
          </w:tcPr>
          <w:p>
            <w:pPr>
              <w:shd w:val="clear" w:color="auto" w:fill="F4B8FF"/>
              <w:rPr>
                <w:lang w:eastAsia="ja-JP"/>
              </w:rPr>
            </w:pPr>
          </w:p>
        </w:tc>
        <w:tc>
          <w:tcPr>
            <w:tcW w:w="566" w:type="dxa"/>
            <w:vAlign w:val="center"/>
          </w:tcPr>
          <w:p>
            <w:pPr>
              <w:shd w:val="clear" w:color="auto" w:fill="F4B8FF"/>
              <w:rPr>
                <w:lang w:eastAsia="ja-JP"/>
              </w:rPr>
            </w:pPr>
          </w:p>
        </w:tc>
        <w:tc>
          <w:tcPr>
            <w:tcW w:w="627" w:type="dxa"/>
            <w:vAlign w:val="center"/>
          </w:tcPr>
          <w:p>
            <w:pPr>
              <w:shd w:val="clear" w:color="auto" w:fill="F4B8FF"/>
              <w:rPr>
                <w:lang w:eastAsia="ja-JP"/>
              </w:rPr>
            </w:pPr>
          </w:p>
        </w:tc>
        <w:tc>
          <w:tcPr>
            <w:tcW w:w="626" w:type="dxa"/>
            <w:vAlign w:val="center"/>
          </w:tcPr>
          <w:p>
            <w:pPr>
              <w:shd w:val="clear" w:color="auto" w:fill="F4B8FF"/>
              <w:rPr>
                <w:lang w:eastAsia="ja-JP"/>
              </w:rPr>
            </w:pPr>
          </w:p>
        </w:tc>
        <w:tc>
          <w:tcPr>
            <w:tcW w:w="627" w:type="dxa"/>
            <w:shd w:val="clear" w:color="auto" w:fill="BFBFBF"/>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lang w:eastAsia="ja-JP"/>
              </w:rPr>
            </w:pPr>
            <w:r>
              <w:rPr>
                <w:rFonts w:hint="eastAsia"/>
                <w:lang w:val="en-GB"/>
              </w:rPr>
              <w:t>标准条款</w:t>
            </w:r>
          </w:p>
        </w:tc>
        <w:tc>
          <w:tcPr>
            <w:tcW w:w="586" w:type="dxa"/>
            <w:vAlign w:val="center"/>
          </w:tcPr>
          <w:p>
            <w:pPr>
              <w:shd w:val="clear" w:color="auto" w:fill="F4B8FF"/>
              <w:rPr>
                <w:lang w:eastAsia="ja-JP"/>
              </w:rPr>
            </w:pPr>
            <w:r>
              <w:rPr>
                <w:rFonts w:hint="eastAsia"/>
              </w:rPr>
              <w:t>7.1</w:t>
            </w:r>
          </w:p>
        </w:tc>
        <w:tc>
          <w:tcPr>
            <w:tcW w:w="607" w:type="dxa"/>
            <w:vAlign w:val="center"/>
          </w:tcPr>
          <w:p>
            <w:pPr>
              <w:shd w:val="clear" w:color="auto" w:fill="F4B8FF"/>
              <w:rPr>
                <w:lang w:eastAsia="ja-JP"/>
              </w:rPr>
            </w:pPr>
            <w:r>
              <w:rPr>
                <w:rFonts w:hint="eastAsia"/>
              </w:rPr>
              <w:t>7.2</w:t>
            </w:r>
          </w:p>
        </w:tc>
        <w:tc>
          <w:tcPr>
            <w:tcW w:w="593" w:type="dxa"/>
            <w:vAlign w:val="center"/>
          </w:tcPr>
          <w:p>
            <w:pPr>
              <w:shd w:val="clear" w:color="auto" w:fill="F4B8FF"/>
              <w:rPr>
                <w:lang w:eastAsia="ja-JP"/>
              </w:rPr>
            </w:pPr>
            <w:r>
              <w:rPr>
                <w:rFonts w:hint="eastAsia"/>
              </w:rPr>
              <w:t>7.3</w:t>
            </w:r>
          </w:p>
        </w:tc>
        <w:tc>
          <w:tcPr>
            <w:tcW w:w="622" w:type="dxa"/>
            <w:vAlign w:val="center"/>
          </w:tcPr>
          <w:p>
            <w:pPr>
              <w:shd w:val="clear" w:color="auto" w:fill="F4B8FF"/>
              <w:rPr>
                <w:lang w:eastAsia="ja-JP"/>
              </w:rPr>
            </w:pPr>
            <w:r>
              <w:rPr>
                <w:rFonts w:hint="eastAsia"/>
              </w:rPr>
              <w:t>7.4</w:t>
            </w:r>
          </w:p>
        </w:tc>
        <w:tc>
          <w:tcPr>
            <w:tcW w:w="614" w:type="dxa"/>
            <w:vAlign w:val="center"/>
          </w:tcPr>
          <w:p>
            <w:pPr>
              <w:shd w:val="clear" w:color="auto" w:fill="F4B8FF"/>
              <w:rPr>
                <w:lang w:eastAsia="ja-JP"/>
              </w:rPr>
            </w:pPr>
            <w:r>
              <w:rPr>
                <w:rFonts w:hint="eastAsia"/>
              </w:rPr>
              <w:t>7.5</w:t>
            </w:r>
          </w:p>
        </w:tc>
        <w:tc>
          <w:tcPr>
            <w:tcW w:w="601" w:type="dxa"/>
            <w:vAlign w:val="center"/>
          </w:tcPr>
          <w:p>
            <w:pPr>
              <w:shd w:val="clear" w:color="auto" w:fill="F4B8FF"/>
              <w:rPr>
                <w:lang w:eastAsia="ja-JP"/>
              </w:rPr>
            </w:pPr>
            <w:r>
              <w:rPr>
                <w:rFonts w:hint="eastAsia"/>
              </w:rPr>
              <w:t>8.1</w:t>
            </w:r>
          </w:p>
        </w:tc>
        <w:tc>
          <w:tcPr>
            <w:tcW w:w="614" w:type="dxa"/>
            <w:vAlign w:val="center"/>
          </w:tcPr>
          <w:p>
            <w:pPr>
              <w:shd w:val="clear" w:color="auto" w:fill="F4B8FF"/>
              <w:rPr>
                <w:lang w:eastAsia="ja-JP"/>
              </w:rPr>
            </w:pPr>
            <w:r>
              <w:rPr>
                <w:rFonts w:hint="eastAsia"/>
              </w:rPr>
              <w:t>8.2</w:t>
            </w:r>
          </w:p>
        </w:tc>
        <w:tc>
          <w:tcPr>
            <w:tcW w:w="663" w:type="dxa"/>
            <w:vAlign w:val="center"/>
          </w:tcPr>
          <w:p>
            <w:pPr>
              <w:shd w:val="clear" w:color="auto" w:fill="F4B8FF"/>
              <w:rPr>
                <w:lang w:eastAsia="ja-JP"/>
              </w:rPr>
            </w:pPr>
            <w:r>
              <w:rPr>
                <w:rFonts w:hint="eastAsia"/>
              </w:rPr>
              <w:t>8.3</w:t>
            </w:r>
          </w:p>
        </w:tc>
        <w:tc>
          <w:tcPr>
            <w:tcW w:w="578" w:type="dxa"/>
            <w:vAlign w:val="center"/>
          </w:tcPr>
          <w:p>
            <w:pPr>
              <w:shd w:val="clear" w:color="auto" w:fill="F4B8FF"/>
            </w:pPr>
            <w:r>
              <w:rPr>
                <w:rFonts w:hint="eastAsia"/>
              </w:rPr>
              <w:t>8.4</w:t>
            </w:r>
          </w:p>
        </w:tc>
        <w:tc>
          <w:tcPr>
            <w:tcW w:w="566" w:type="dxa"/>
            <w:vAlign w:val="center"/>
          </w:tcPr>
          <w:p>
            <w:pPr>
              <w:shd w:val="clear" w:color="auto" w:fill="F4B8FF"/>
            </w:pPr>
            <w:r>
              <w:rPr>
                <w:rFonts w:hint="eastAsia"/>
              </w:rPr>
              <w:t>8.5</w:t>
            </w:r>
          </w:p>
        </w:tc>
        <w:tc>
          <w:tcPr>
            <w:tcW w:w="627" w:type="dxa"/>
            <w:vAlign w:val="center"/>
          </w:tcPr>
          <w:p>
            <w:pPr>
              <w:shd w:val="clear" w:color="auto" w:fill="F4B8FF"/>
              <w:rPr>
                <w:lang w:eastAsia="ja-JP"/>
              </w:rPr>
            </w:pPr>
            <w:r>
              <w:rPr>
                <w:rFonts w:hint="eastAsia"/>
              </w:rPr>
              <w:t>8.6</w:t>
            </w:r>
          </w:p>
        </w:tc>
        <w:tc>
          <w:tcPr>
            <w:tcW w:w="626" w:type="dxa"/>
            <w:vAlign w:val="center"/>
          </w:tcPr>
          <w:p>
            <w:pPr>
              <w:shd w:val="clear" w:color="auto" w:fill="F4B8FF"/>
              <w:rPr>
                <w:lang w:eastAsia="ja-JP"/>
              </w:rPr>
            </w:pPr>
            <w:r>
              <w:rPr>
                <w:rFonts w:hint="eastAsia"/>
              </w:rPr>
              <w:t>8.7</w:t>
            </w:r>
          </w:p>
        </w:tc>
        <w:tc>
          <w:tcPr>
            <w:tcW w:w="627" w:type="dxa"/>
            <w:vAlign w:val="center"/>
          </w:tcPr>
          <w:p>
            <w:pPr>
              <w:shd w:val="clear" w:color="auto" w:fill="F4B8FF"/>
              <w:rPr>
                <w:lang w:eastAsia="ja-JP"/>
              </w:rPr>
            </w:pPr>
            <w:r>
              <w:rPr>
                <w:rFonts w:hint="eastAsia"/>
              </w:rPr>
              <w:t>8.8</w:t>
            </w:r>
          </w:p>
        </w:tc>
        <w:tc>
          <w:tcPr>
            <w:tcW w:w="627"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lang w:eastAsia="ja-JP"/>
              </w:rPr>
            </w:pPr>
            <w:r>
              <w:rPr>
                <w:rFonts w:hint="eastAsia"/>
                <w:lang w:val="en-GB"/>
              </w:rPr>
              <w:t>评价*)</w:t>
            </w:r>
          </w:p>
        </w:tc>
        <w:tc>
          <w:tcPr>
            <w:tcW w:w="586" w:type="dxa"/>
            <w:vAlign w:val="center"/>
          </w:tcPr>
          <w:p>
            <w:pPr>
              <w:shd w:val="clear" w:color="auto" w:fill="F4B8FF"/>
            </w:pPr>
            <w:r>
              <w:rPr>
                <w:rFonts w:hint="eastAsia"/>
              </w:rPr>
              <w:t>1</w:t>
            </w:r>
          </w:p>
        </w:tc>
        <w:tc>
          <w:tcPr>
            <w:tcW w:w="607" w:type="dxa"/>
            <w:vAlign w:val="center"/>
          </w:tcPr>
          <w:p>
            <w:pPr>
              <w:shd w:val="clear" w:color="auto" w:fill="F4B8FF"/>
              <w:rPr>
                <w:rFonts w:hint="eastAsia" w:eastAsia="宋体"/>
                <w:lang w:eastAsia="zh-CN"/>
              </w:rPr>
            </w:pPr>
            <w:r>
              <w:rPr>
                <w:rFonts w:hint="eastAsia"/>
                <w:lang w:val="en-US" w:eastAsia="zh-CN"/>
              </w:rPr>
              <w:t>1</w:t>
            </w:r>
          </w:p>
        </w:tc>
        <w:tc>
          <w:tcPr>
            <w:tcW w:w="593" w:type="dxa"/>
            <w:vAlign w:val="center"/>
          </w:tcPr>
          <w:p>
            <w:pPr>
              <w:shd w:val="clear" w:color="auto" w:fill="F4B8FF"/>
            </w:pPr>
            <w:r>
              <w:rPr>
                <w:rFonts w:hint="eastAsia"/>
              </w:rPr>
              <w:t>1</w:t>
            </w:r>
          </w:p>
        </w:tc>
        <w:tc>
          <w:tcPr>
            <w:tcW w:w="622" w:type="dxa"/>
            <w:vAlign w:val="center"/>
          </w:tcPr>
          <w:p>
            <w:pPr>
              <w:shd w:val="clear" w:color="auto" w:fill="F4B8FF"/>
            </w:pPr>
            <w:r>
              <w:rPr>
                <w:rFonts w:hint="eastAsia"/>
              </w:rPr>
              <w:t>1</w:t>
            </w:r>
          </w:p>
        </w:tc>
        <w:tc>
          <w:tcPr>
            <w:tcW w:w="614" w:type="dxa"/>
            <w:vAlign w:val="center"/>
          </w:tcPr>
          <w:p>
            <w:pPr>
              <w:shd w:val="clear" w:color="auto" w:fill="F4B8FF"/>
            </w:pPr>
            <w:r>
              <w:rPr>
                <w:rFonts w:hint="eastAsia"/>
              </w:rPr>
              <w:t>1</w:t>
            </w:r>
          </w:p>
        </w:tc>
        <w:tc>
          <w:tcPr>
            <w:tcW w:w="601" w:type="dxa"/>
            <w:vAlign w:val="center"/>
          </w:tcPr>
          <w:p>
            <w:pPr>
              <w:shd w:val="clear" w:color="auto" w:fill="F4B8FF"/>
            </w:pPr>
            <w:r>
              <w:rPr>
                <w:rFonts w:hint="eastAsia"/>
              </w:rPr>
              <w:t>1</w:t>
            </w:r>
          </w:p>
        </w:tc>
        <w:tc>
          <w:tcPr>
            <w:tcW w:w="614" w:type="dxa"/>
            <w:vAlign w:val="center"/>
          </w:tcPr>
          <w:p>
            <w:pPr>
              <w:shd w:val="clear" w:color="auto" w:fill="F4B8FF"/>
              <w:rPr>
                <w:rFonts w:hint="eastAsia" w:eastAsia="宋体"/>
                <w:lang w:eastAsia="zh-CN"/>
              </w:rPr>
            </w:pPr>
            <w:r>
              <w:rPr>
                <w:rFonts w:hint="eastAsia"/>
                <w:lang w:val="en-US" w:eastAsia="zh-CN"/>
              </w:rPr>
              <w:t>3</w:t>
            </w:r>
          </w:p>
        </w:tc>
        <w:tc>
          <w:tcPr>
            <w:tcW w:w="663" w:type="dxa"/>
            <w:vAlign w:val="center"/>
          </w:tcPr>
          <w:p>
            <w:pPr>
              <w:shd w:val="clear" w:color="auto" w:fill="F4B8FF"/>
            </w:pPr>
            <w:r>
              <w:rPr>
                <w:rFonts w:hint="eastAsia"/>
              </w:rPr>
              <w:t>1</w:t>
            </w:r>
          </w:p>
        </w:tc>
        <w:tc>
          <w:tcPr>
            <w:tcW w:w="578" w:type="dxa"/>
            <w:vAlign w:val="center"/>
          </w:tcPr>
          <w:p>
            <w:pPr>
              <w:shd w:val="clear" w:color="auto" w:fill="F4B8FF"/>
            </w:pPr>
            <w:r>
              <w:rPr>
                <w:rFonts w:hint="eastAsia"/>
              </w:rPr>
              <w:t>1</w:t>
            </w:r>
          </w:p>
        </w:tc>
        <w:tc>
          <w:tcPr>
            <w:tcW w:w="566" w:type="dxa"/>
            <w:vAlign w:val="center"/>
          </w:tcPr>
          <w:p>
            <w:pPr>
              <w:shd w:val="clear" w:color="auto" w:fill="F4B8FF"/>
            </w:pPr>
            <w:r>
              <w:rPr>
                <w:rFonts w:hint="eastAsia"/>
              </w:rPr>
              <w:t>1</w:t>
            </w:r>
          </w:p>
        </w:tc>
        <w:tc>
          <w:tcPr>
            <w:tcW w:w="627" w:type="dxa"/>
            <w:vAlign w:val="center"/>
          </w:tcPr>
          <w:p>
            <w:pPr>
              <w:shd w:val="clear" w:color="auto" w:fill="F4B8FF"/>
            </w:pPr>
            <w:r>
              <w:rPr>
                <w:rFonts w:hint="eastAsia"/>
              </w:rPr>
              <w:t>1</w:t>
            </w:r>
          </w:p>
        </w:tc>
        <w:tc>
          <w:tcPr>
            <w:tcW w:w="626" w:type="dxa"/>
            <w:vAlign w:val="center"/>
          </w:tcPr>
          <w:p>
            <w:pPr>
              <w:shd w:val="clear" w:color="auto" w:fill="F4B8FF"/>
              <w:rPr>
                <w:rFonts w:hint="eastAsia" w:eastAsia="宋体"/>
                <w:lang w:eastAsia="zh-CN"/>
              </w:rPr>
            </w:pPr>
            <w:r>
              <w:rPr>
                <w:rFonts w:hint="eastAsia"/>
                <w:lang w:val="en-US" w:eastAsia="zh-CN"/>
              </w:rPr>
              <w:t>3</w:t>
            </w:r>
          </w:p>
        </w:tc>
        <w:tc>
          <w:tcPr>
            <w:tcW w:w="627" w:type="dxa"/>
            <w:vAlign w:val="center"/>
          </w:tcPr>
          <w:p>
            <w:pPr>
              <w:shd w:val="clear" w:color="auto" w:fill="F4B8FF"/>
            </w:pPr>
            <w:r>
              <w:rPr>
                <w:rFonts w:hint="eastAsia"/>
              </w:rPr>
              <w:t>1</w:t>
            </w:r>
          </w:p>
        </w:tc>
        <w:tc>
          <w:tcPr>
            <w:tcW w:w="627" w:type="dxa"/>
            <w:vAlign w:val="center"/>
          </w:tcPr>
          <w:p>
            <w:pPr>
              <w:shd w:val="clear" w:color="auto" w:fill="F4B8FF"/>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lang w:eastAsia="ja-JP"/>
              </w:rPr>
            </w:pPr>
            <w:r>
              <w:rPr>
                <w:rFonts w:hint="eastAsia"/>
              </w:rPr>
              <w:t>不符合数量</w:t>
            </w:r>
          </w:p>
        </w:tc>
        <w:tc>
          <w:tcPr>
            <w:tcW w:w="586" w:type="dxa"/>
            <w:vAlign w:val="center"/>
          </w:tcPr>
          <w:p>
            <w:pPr>
              <w:shd w:val="clear" w:color="auto" w:fill="F4B8FF"/>
              <w:rPr>
                <w:rFonts w:hint="eastAsia"/>
              </w:rPr>
            </w:pPr>
            <w:r>
              <w:rPr>
                <w:rFonts w:hint="eastAsia"/>
              </w:rPr>
              <w:t>0</w:t>
            </w:r>
            <w:r>
              <w:t>3</w:t>
            </w:r>
            <w:r>
              <w:rPr>
                <w:rFonts w:hint="eastAsia"/>
              </w:rPr>
              <w:t>/</w:t>
            </w:r>
            <w:r>
              <w:t>04</w:t>
            </w:r>
          </w:p>
        </w:tc>
        <w:tc>
          <w:tcPr>
            <w:tcW w:w="607" w:type="dxa"/>
            <w:vAlign w:val="center"/>
          </w:tcPr>
          <w:p>
            <w:pPr>
              <w:shd w:val="clear" w:color="auto" w:fill="F4B8FF"/>
              <w:rPr>
                <w:lang w:eastAsia="ja-JP"/>
              </w:rPr>
            </w:pPr>
          </w:p>
        </w:tc>
        <w:tc>
          <w:tcPr>
            <w:tcW w:w="593" w:type="dxa"/>
            <w:vAlign w:val="center"/>
          </w:tcPr>
          <w:p>
            <w:pPr>
              <w:shd w:val="clear" w:color="auto" w:fill="F4B8FF"/>
              <w:rPr>
                <w:lang w:eastAsia="ja-JP"/>
              </w:rPr>
            </w:pPr>
          </w:p>
        </w:tc>
        <w:tc>
          <w:tcPr>
            <w:tcW w:w="622" w:type="dxa"/>
            <w:vAlign w:val="center"/>
          </w:tcPr>
          <w:p>
            <w:pPr>
              <w:shd w:val="clear" w:color="auto" w:fill="F4B8FF"/>
              <w:rPr>
                <w:lang w:eastAsia="ja-JP"/>
              </w:rPr>
            </w:pPr>
          </w:p>
        </w:tc>
        <w:tc>
          <w:tcPr>
            <w:tcW w:w="614" w:type="dxa"/>
            <w:vAlign w:val="center"/>
          </w:tcPr>
          <w:p>
            <w:pPr>
              <w:shd w:val="clear" w:color="auto" w:fill="F4B8FF"/>
              <w:rPr>
                <w:lang w:eastAsia="ja-JP"/>
              </w:rPr>
            </w:pPr>
          </w:p>
        </w:tc>
        <w:tc>
          <w:tcPr>
            <w:tcW w:w="601" w:type="dxa"/>
            <w:vAlign w:val="center"/>
          </w:tcPr>
          <w:p>
            <w:pPr>
              <w:shd w:val="clear" w:color="auto" w:fill="F4B8FF"/>
              <w:rPr>
                <w:lang w:eastAsia="ja-JP"/>
              </w:rPr>
            </w:pPr>
          </w:p>
        </w:tc>
        <w:tc>
          <w:tcPr>
            <w:tcW w:w="614" w:type="dxa"/>
            <w:tcBorders>
              <w:bottom w:val="single" w:color="auto" w:sz="4" w:space="0"/>
            </w:tcBorders>
            <w:vAlign w:val="center"/>
          </w:tcPr>
          <w:p>
            <w:pPr>
              <w:shd w:val="clear" w:color="auto" w:fill="F4B8FF"/>
              <w:rPr>
                <w:rFonts w:hint="eastAsia"/>
              </w:rPr>
            </w:pPr>
            <w:r>
              <w:rPr>
                <w:rFonts w:hint="eastAsia"/>
              </w:rPr>
              <w:t>0</w:t>
            </w:r>
            <w:r>
              <w:t>1</w:t>
            </w:r>
          </w:p>
        </w:tc>
        <w:tc>
          <w:tcPr>
            <w:tcW w:w="663" w:type="dxa"/>
            <w:tcBorders>
              <w:bottom w:val="single" w:color="auto" w:sz="4" w:space="0"/>
            </w:tcBorders>
            <w:vAlign w:val="center"/>
          </w:tcPr>
          <w:p>
            <w:pPr>
              <w:shd w:val="clear" w:color="auto" w:fill="F4B8FF"/>
              <w:rPr>
                <w:lang w:eastAsia="ja-JP"/>
              </w:rPr>
            </w:pPr>
          </w:p>
        </w:tc>
        <w:tc>
          <w:tcPr>
            <w:tcW w:w="578" w:type="dxa"/>
            <w:tcBorders>
              <w:bottom w:val="single" w:color="auto" w:sz="4" w:space="0"/>
            </w:tcBorders>
            <w:vAlign w:val="center"/>
          </w:tcPr>
          <w:p>
            <w:pPr>
              <w:shd w:val="clear" w:color="auto" w:fill="F4B8FF"/>
              <w:rPr>
                <w:lang w:eastAsia="ja-JP"/>
              </w:rPr>
            </w:pPr>
          </w:p>
        </w:tc>
        <w:tc>
          <w:tcPr>
            <w:tcW w:w="566" w:type="dxa"/>
            <w:tcBorders>
              <w:bottom w:val="single" w:color="auto" w:sz="4" w:space="0"/>
            </w:tcBorders>
            <w:vAlign w:val="center"/>
          </w:tcPr>
          <w:p>
            <w:pPr>
              <w:shd w:val="clear" w:color="auto" w:fill="F4B8FF"/>
              <w:rPr>
                <w:lang w:eastAsia="ja-JP"/>
              </w:rPr>
            </w:pPr>
          </w:p>
        </w:tc>
        <w:tc>
          <w:tcPr>
            <w:tcW w:w="627" w:type="dxa"/>
            <w:tcBorders>
              <w:bottom w:val="single" w:color="auto" w:sz="4" w:space="0"/>
            </w:tcBorders>
            <w:vAlign w:val="center"/>
          </w:tcPr>
          <w:p>
            <w:pPr>
              <w:shd w:val="clear" w:color="auto" w:fill="F4B8FF"/>
              <w:rPr>
                <w:lang w:eastAsia="ja-JP"/>
              </w:rPr>
            </w:pPr>
          </w:p>
        </w:tc>
        <w:tc>
          <w:tcPr>
            <w:tcW w:w="626" w:type="dxa"/>
            <w:tcBorders>
              <w:bottom w:val="single" w:color="auto" w:sz="4" w:space="0"/>
            </w:tcBorders>
            <w:vAlign w:val="center"/>
          </w:tcPr>
          <w:p>
            <w:pPr>
              <w:shd w:val="clear" w:color="auto" w:fill="F4B8FF"/>
              <w:rPr>
                <w:rFonts w:hint="eastAsia"/>
              </w:rPr>
            </w:pPr>
            <w:r>
              <w:rPr>
                <w:rFonts w:hint="eastAsia"/>
              </w:rPr>
              <w:t>0</w:t>
            </w:r>
            <w:r>
              <w:t>2</w:t>
            </w:r>
          </w:p>
        </w:tc>
        <w:tc>
          <w:tcPr>
            <w:tcW w:w="627" w:type="dxa"/>
            <w:tcBorders>
              <w:bottom w:val="single" w:color="auto" w:sz="4" w:space="0"/>
            </w:tcBorders>
            <w:vAlign w:val="center"/>
          </w:tcPr>
          <w:p>
            <w:pPr>
              <w:shd w:val="clear" w:color="auto" w:fill="F4B8FF"/>
              <w:rPr>
                <w:lang w:eastAsia="ja-JP"/>
              </w:rPr>
            </w:pPr>
          </w:p>
        </w:tc>
        <w:tc>
          <w:tcPr>
            <w:tcW w:w="627" w:type="dxa"/>
            <w:tcBorders>
              <w:bottom w:val="single" w:color="auto" w:sz="4" w:space="0"/>
            </w:tcBorders>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lang w:eastAsia="ja-JP"/>
              </w:rPr>
            </w:pPr>
            <w:r>
              <w:rPr>
                <w:rFonts w:hint="eastAsia"/>
                <w:lang w:val="en-GB"/>
              </w:rPr>
              <w:t>标准条款</w:t>
            </w:r>
          </w:p>
        </w:tc>
        <w:tc>
          <w:tcPr>
            <w:tcW w:w="586" w:type="dxa"/>
            <w:vAlign w:val="center"/>
          </w:tcPr>
          <w:p>
            <w:pPr>
              <w:shd w:val="clear" w:color="auto" w:fill="F4B8FF"/>
              <w:rPr>
                <w:lang w:eastAsia="ja-JP"/>
              </w:rPr>
            </w:pPr>
            <w:r>
              <w:rPr>
                <w:rFonts w:hint="eastAsia"/>
              </w:rPr>
              <w:t>9.1</w:t>
            </w:r>
          </w:p>
        </w:tc>
        <w:tc>
          <w:tcPr>
            <w:tcW w:w="607" w:type="dxa"/>
            <w:vAlign w:val="center"/>
          </w:tcPr>
          <w:p>
            <w:pPr>
              <w:shd w:val="clear" w:color="auto" w:fill="F4B8FF"/>
              <w:rPr>
                <w:lang w:eastAsia="ja-JP"/>
              </w:rPr>
            </w:pPr>
            <w:r>
              <w:rPr>
                <w:rFonts w:hint="eastAsia"/>
              </w:rPr>
              <w:t>9.2</w:t>
            </w:r>
          </w:p>
        </w:tc>
        <w:tc>
          <w:tcPr>
            <w:tcW w:w="593" w:type="dxa"/>
            <w:vAlign w:val="center"/>
          </w:tcPr>
          <w:p>
            <w:pPr>
              <w:shd w:val="clear" w:color="auto" w:fill="F4B8FF"/>
              <w:rPr>
                <w:lang w:eastAsia="ja-JP"/>
              </w:rPr>
            </w:pPr>
            <w:r>
              <w:rPr>
                <w:rFonts w:hint="eastAsia"/>
              </w:rPr>
              <w:t>9.3</w:t>
            </w:r>
          </w:p>
        </w:tc>
        <w:tc>
          <w:tcPr>
            <w:tcW w:w="622" w:type="dxa"/>
            <w:vAlign w:val="center"/>
          </w:tcPr>
          <w:p>
            <w:pPr>
              <w:shd w:val="clear" w:color="auto" w:fill="F4B8FF"/>
              <w:rPr>
                <w:lang w:eastAsia="ja-JP"/>
              </w:rPr>
            </w:pPr>
            <w:r>
              <w:rPr>
                <w:rFonts w:hint="eastAsia"/>
              </w:rPr>
              <w:t>10.1</w:t>
            </w:r>
          </w:p>
        </w:tc>
        <w:tc>
          <w:tcPr>
            <w:tcW w:w="614" w:type="dxa"/>
            <w:vAlign w:val="center"/>
          </w:tcPr>
          <w:p>
            <w:pPr>
              <w:shd w:val="clear" w:color="auto" w:fill="F4B8FF"/>
              <w:rPr>
                <w:lang w:eastAsia="ja-JP"/>
              </w:rPr>
            </w:pPr>
            <w:r>
              <w:rPr>
                <w:rFonts w:hint="eastAsia"/>
              </w:rPr>
              <w:t>10.2</w:t>
            </w:r>
          </w:p>
        </w:tc>
        <w:tc>
          <w:tcPr>
            <w:tcW w:w="601" w:type="dxa"/>
            <w:vAlign w:val="center"/>
          </w:tcPr>
          <w:p>
            <w:pPr>
              <w:shd w:val="clear" w:color="auto" w:fill="F4B8FF"/>
              <w:rPr>
                <w:lang w:eastAsia="ja-JP"/>
              </w:rPr>
            </w:pPr>
            <w:r>
              <w:rPr>
                <w:rFonts w:hint="eastAsia"/>
              </w:rPr>
              <w:t>10.3</w:t>
            </w:r>
          </w:p>
        </w:tc>
        <w:tc>
          <w:tcPr>
            <w:tcW w:w="614" w:type="dxa"/>
            <w:shd w:val="pct25" w:color="auto" w:fill="auto"/>
            <w:vAlign w:val="center"/>
          </w:tcPr>
          <w:p>
            <w:pPr>
              <w:shd w:val="clear" w:color="auto" w:fill="F4B8FF"/>
              <w:rPr>
                <w:lang w:eastAsia="ja-JP"/>
              </w:rPr>
            </w:pPr>
          </w:p>
        </w:tc>
        <w:tc>
          <w:tcPr>
            <w:tcW w:w="663" w:type="dxa"/>
            <w:shd w:val="pct25" w:color="auto" w:fill="auto"/>
            <w:vAlign w:val="center"/>
          </w:tcPr>
          <w:p>
            <w:pPr>
              <w:shd w:val="clear" w:color="auto" w:fill="F4B8FF"/>
              <w:rPr>
                <w:lang w:eastAsia="ja-JP"/>
              </w:rPr>
            </w:pPr>
          </w:p>
        </w:tc>
        <w:tc>
          <w:tcPr>
            <w:tcW w:w="578" w:type="dxa"/>
            <w:shd w:val="pct25" w:color="auto" w:fill="auto"/>
            <w:vAlign w:val="center"/>
          </w:tcPr>
          <w:p>
            <w:pPr>
              <w:shd w:val="clear" w:color="auto" w:fill="F4B8FF"/>
              <w:rPr>
                <w:lang w:eastAsia="ja-JP"/>
              </w:rPr>
            </w:pPr>
          </w:p>
        </w:tc>
        <w:tc>
          <w:tcPr>
            <w:tcW w:w="566"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c>
          <w:tcPr>
            <w:tcW w:w="626"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lang w:eastAsia="ja-JP"/>
              </w:rPr>
            </w:pPr>
            <w:r>
              <w:rPr>
                <w:rFonts w:hint="eastAsia"/>
                <w:lang w:val="en-GB"/>
              </w:rPr>
              <w:t>评价*)</w:t>
            </w:r>
          </w:p>
        </w:tc>
        <w:tc>
          <w:tcPr>
            <w:tcW w:w="586" w:type="dxa"/>
            <w:vAlign w:val="center"/>
          </w:tcPr>
          <w:p>
            <w:pPr>
              <w:shd w:val="clear" w:color="auto" w:fill="F4B8FF"/>
            </w:pPr>
            <w:r>
              <w:rPr>
                <w:rFonts w:hint="eastAsia"/>
              </w:rPr>
              <w:t>1</w:t>
            </w:r>
          </w:p>
        </w:tc>
        <w:tc>
          <w:tcPr>
            <w:tcW w:w="607" w:type="dxa"/>
            <w:vAlign w:val="center"/>
          </w:tcPr>
          <w:p>
            <w:pPr>
              <w:shd w:val="clear" w:color="auto" w:fill="F4B8FF"/>
            </w:pPr>
            <w:r>
              <w:rPr>
                <w:rFonts w:hint="eastAsia"/>
              </w:rPr>
              <w:t>1</w:t>
            </w:r>
          </w:p>
        </w:tc>
        <w:tc>
          <w:tcPr>
            <w:tcW w:w="593" w:type="dxa"/>
            <w:vAlign w:val="center"/>
          </w:tcPr>
          <w:p>
            <w:pPr>
              <w:shd w:val="clear" w:color="auto" w:fill="F4B8FF"/>
            </w:pPr>
            <w:r>
              <w:rPr>
                <w:rFonts w:hint="eastAsia"/>
              </w:rPr>
              <w:t>1</w:t>
            </w:r>
          </w:p>
        </w:tc>
        <w:tc>
          <w:tcPr>
            <w:tcW w:w="622" w:type="dxa"/>
            <w:vAlign w:val="center"/>
          </w:tcPr>
          <w:p>
            <w:pPr>
              <w:shd w:val="clear" w:color="auto" w:fill="F4B8FF"/>
            </w:pPr>
            <w:r>
              <w:rPr>
                <w:rFonts w:hint="eastAsia"/>
              </w:rPr>
              <w:t>1</w:t>
            </w:r>
          </w:p>
        </w:tc>
        <w:tc>
          <w:tcPr>
            <w:tcW w:w="614" w:type="dxa"/>
            <w:vAlign w:val="center"/>
          </w:tcPr>
          <w:p>
            <w:pPr>
              <w:shd w:val="clear" w:color="auto" w:fill="F4B8FF"/>
            </w:pPr>
            <w:r>
              <w:rPr>
                <w:rFonts w:hint="eastAsia"/>
              </w:rPr>
              <w:t>1</w:t>
            </w:r>
          </w:p>
        </w:tc>
        <w:tc>
          <w:tcPr>
            <w:tcW w:w="601" w:type="dxa"/>
            <w:vAlign w:val="center"/>
          </w:tcPr>
          <w:p>
            <w:pPr>
              <w:shd w:val="clear" w:color="auto" w:fill="F4B8FF"/>
            </w:pPr>
            <w:r>
              <w:rPr>
                <w:rFonts w:hint="eastAsia"/>
              </w:rPr>
              <w:t>1</w:t>
            </w:r>
          </w:p>
        </w:tc>
        <w:tc>
          <w:tcPr>
            <w:tcW w:w="614" w:type="dxa"/>
            <w:shd w:val="pct25" w:color="auto" w:fill="auto"/>
            <w:vAlign w:val="center"/>
          </w:tcPr>
          <w:p>
            <w:pPr>
              <w:shd w:val="clear" w:color="auto" w:fill="F4B8FF"/>
              <w:rPr>
                <w:lang w:eastAsia="ja-JP"/>
              </w:rPr>
            </w:pPr>
          </w:p>
        </w:tc>
        <w:tc>
          <w:tcPr>
            <w:tcW w:w="663" w:type="dxa"/>
            <w:shd w:val="pct25" w:color="auto" w:fill="auto"/>
            <w:vAlign w:val="center"/>
          </w:tcPr>
          <w:p>
            <w:pPr>
              <w:shd w:val="clear" w:color="auto" w:fill="F4B8FF"/>
              <w:rPr>
                <w:lang w:eastAsia="ja-JP"/>
              </w:rPr>
            </w:pPr>
          </w:p>
        </w:tc>
        <w:tc>
          <w:tcPr>
            <w:tcW w:w="578" w:type="dxa"/>
            <w:shd w:val="pct25" w:color="auto" w:fill="auto"/>
            <w:vAlign w:val="center"/>
          </w:tcPr>
          <w:p>
            <w:pPr>
              <w:shd w:val="clear" w:color="auto" w:fill="F4B8FF"/>
              <w:rPr>
                <w:lang w:eastAsia="ja-JP"/>
              </w:rPr>
            </w:pPr>
          </w:p>
        </w:tc>
        <w:tc>
          <w:tcPr>
            <w:tcW w:w="566"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c>
          <w:tcPr>
            <w:tcW w:w="626"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lang w:eastAsia="ja-JP"/>
              </w:rPr>
            </w:pPr>
            <w:r>
              <w:rPr>
                <w:rFonts w:hint="eastAsia"/>
              </w:rPr>
              <w:t>不符合数量</w:t>
            </w:r>
          </w:p>
        </w:tc>
        <w:tc>
          <w:tcPr>
            <w:tcW w:w="586" w:type="dxa"/>
            <w:vAlign w:val="center"/>
          </w:tcPr>
          <w:p>
            <w:pPr>
              <w:shd w:val="clear" w:color="auto" w:fill="F4B8FF"/>
              <w:rPr>
                <w:lang w:eastAsia="ja-JP"/>
              </w:rPr>
            </w:pPr>
          </w:p>
        </w:tc>
        <w:tc>
          <w:tcPr>
            <w:tcW w:w="607" w:type="dxa"/>
            <w:vAlign w:val="center"/>
          </w:tcPr>
          <w:p>
            <w:pPr>
              <w:shd w:val="clear" w:color="auto" w:fill="F4B8FF"/>
              <w:rPr>
                <w:lang w:eastAsia="ja-JP"/>
              </w:rPr>
            </w:pPr>
          </w:p>
        </w:tc>
        <w:tc>
          <w:tcPr>
            <w:tcW w:w="593" w:type="dxa"/>
            <w:vAlign w:val="center"/>
          </w:tcPr>
          <w:p>
            <w:pPr>
              <w:shd w:val="clear" w:color="auto" w:fill="F4B8FF"/>
              <w:rPr>
                <w:lang w:eastAsia="ja-JP"/>
              </w:rPr>
            </w:pPr>
          </w:p>
        </w:tc>
        <w:tc>
          <w:tcPr>
            <w:tcW w:w="622" w:type="dxa"/>
            <w:vAlign w:val="center"/>
          </w:tcPr>
          <w:p>
            <w:pPr>
              <w:shd w:val="clear" w:color="auto" w:fill="F4B8FF"/>
              <w:rPr>
                <w:lang w:eastAsia="ja-JP"/>
              </w:rPr>
            </w:pPr>
          </w:p>
        </w:tc>
        <w:tc>
          <w:tcPr>
            <w:tcW w:w="614" w:type="dxa"/>
            <w:vAlign w:val="center"/>
          </w:tcPr>
          <w:p>
            <w:pPr>
              <w:shd w:val="clear" w:color="auto" w:fill="F4B8FF"/>
              <w:rPr>
                <w:lang w:eastAsia="ja-JP"/>
              </w:rPr>
            </w:pPr>
          </w:p>
        </w:tc>
        <w:tc>
          <w:tcPr>
            <w:tcW w:w="601" w:type="dxa"/>
            <w:vAlign w:val="center"/>
          </w:tcPr>
          <w:p>
            <w:pPr>
              <w:shd w:val="clear" w:color="auto" w:fill="F4B8FF"/>
              <w:rPr>
                <w:lang w:eastAsia="ja-JP"/>
              </w:rPr>
            </w:pPr>
          </w:p>
        </w:tc>
        <w:tc>
          <w:tcPr>
            <w:tcW w:w="614" w:type="dxa"/>
            <w:shd w:val="pct25" w:color="auto" w:fill="auto"/>
            <w:vAlign w:val="center"/>
          </w:tcPr>
          <w:p>
            <w:pPr>
              <w:shd w:val="clear" w:color="auto" w:fill="F4B8FF"/>
              <w:rPr>
                <w:lang w:eastAsia="ja-JP"/>
              </w:rPr>
            </w:pPr>
          </w:p>
        </w:tc>
        <w:tc>
          <w:tcPr>
            <w:tcW w:w="663" w:type="dxa"/>
            <w:shd w:val="pct25" w:color="auto" w:fill="auto"/>
            <w:vAlign w:val="center"/>
          </w:tcPr>
          <w:p>
            <w:pPr>
              <w:shd w:val="clear" w:color="auto" w:fill="F4B8FF"/>
              <w:rPr>
                <w:lang w:eastAsia="ja-JP"/>
              </w:rPr>
            </w:pPr>
          </w:p>
        </w:tc>
        <w:tc>
          <w:tcPr>
            <w:tcW w:w="578" w:type="dxa"/>
            <w:shd w:val="pct25" w:color="auto" w:fill="auto"/>
            <w:vAlign w:val="center"/>
          </w:tcPr>
          <w:p>
            <w:pPr>
              <w:shd w:val="clear" w:color="auto" w:fill="F4B8FF"/>
              <w:rPr>
                <w:lang w:eastAsia="ja-JP"/>
              </w:rPr>
            </w:pPr>
          </w:p>
        </w:tc>
        <w:tc>
          <w:tcPr>
            <w:tcW w:w="566"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c>
          <w:tcPr>
            <w:tcW w:w="626"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c>
          <w:tcPr>
            <w:tcW w:w="627"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hd w:val="clear" w:color="auto" w:fill="F4B8FF"/>
      </w:pPr>
    </w:p>
    <w:p>
      <w:pPr>
        <w:shd w:val="clear" w:color="auto" w:fill="F4B8FF"/>
      </w:pPr>
    </w:p>
    <w:p>
      <w:pPr>
        <w:shd w:val="clear" w:color="auto" w:fill="F4B8FF"/>
      </w:pPr>
    </w:p>
    <w:p>
      <w:pPr>
        <w:autoSpaceDE w:val="0"/>
        <w:autoSpaceDN w:val="0"/>
        <w:adjustRightInd w:val="0"/>
        <w:snapToGrid w:val="0"/>
        <w:spacing w:before="120"/>
        <w:ind w:left="101"/>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rFonts w:hint="eastAsia"/>
          <w:b/>
          <w:bCs/>
          <w:color w:val="0000FF"/>
          <w:sz w:val="22"/>
          <w:szCs w:val="22"/>
        </w:rPr>
      </w:pPr>
    </w:p>
    <w:p>
      <w:pPr>
        <w:rPr>
          <w:b/>
          <w:bCs/>
          <w:color w:val="0070C0"/>
          <w:sz w:val="22"/>
          <w:szCs w:val="22"/>
        </w:rPr>
      </w:pPr>
      <w:r>
        <w:rPr>
          <w:rFonts w:hint="eastAsia"/>
          <w:b/>
          <w:bCs/>
          <w:color w:val="0000FF"/>
          <w:sz w:val="22"/>
          <w:szCs w:val="22"/>
        </w:rPr>
        <w:t>附件</w:t>
      </w:r>
      <w:r>
        <w:rPr>
          <w:rFonts w:hint="eastAsia"/>
        </w:rPr>
        <w:t>GB/T 27341</w:t>
      </w:r>
      <w:r>
        <w:t>-200</w:t>
      </w:r>
      <w:r>
        <w:rPr>
          <w:rFonts w:hint="eastAsia"/>
        </w:rPr>
        <w:t xml:space="preserve">9 </w:t>
      </w:r>
      <w:r>
        <w:t xml:space="preserve">  </w:t>
      </w:r>
      <w:r>
        <w:rPr>
          <w:rFonts w:hint="eastAsia"/>
        </w:rPr>
        <w:t>(适用于CA二阶段/监督/再认证)</w:t>
      </w:r>
    </w:p>
    <w:tbl>
      <w:tblPr>
        <w:tblStyle w:val="2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07"/>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144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1"/>
              <w:jc w:val="left"/>
              <w:rPr>
                <w:sz w:val="20"/>
                <w:lang w:val="en-US" w:eastAsia="zh-CN"/>
              </w:rPr>
            </w:pPr>
            <w:r>
              <w:rPr>
                <w:rFonts w:hint="eastAsia"/>
                <w:sz w:val="20"/>
                <w:lang w:val="en-GB" w:eastAsia="zh-CN"/>
              </w:rPr>
              <w:t>条目</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41"/>
              <w:jc w:val="left"/>
              <w:rPr>
                <w:sz w:val="20"/>
                <w:highlight w:val="yellow"/>
                <w:lang w:val="en-US" w:eastAsia="zh-CN"/>
              </w:rPr>
            </w:pPr>
            <w:r>
              <w:rPr>
                <w:rFonts w:hint="eastAsia"/>
                <w:sz w:val="20"/>
                <w:lang w:val="en-US" w:eastAsia="zh-CN"/>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pPr>
            <w:r>
              <w:rPr>
                <w:rFonts w:hint="eastAsia"/>
              </w:rPr>
              <w:t>总要求</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rPr>
                <w:lang w:val="en-GB"/>
              </w:rPr>
            </w:pPr>
            <w:r>
              <w:rPr>
                <w:rFonts w:hint="eastAsia"/>
                <w:lang w:val="en-GB"/>
              </w:rPr>
              <w:t>组织实施和维护一个有效的</w:t>
            </w:r>
            <w:r>
              <w:rPr>
                <w:rFonts w:hint="eastAsia" w:ascii="宋体" w:hAnsi="宋体"/>
                <w:szCs w:val="21"/>
              </w:rPr>
              <w:t>HACCP</w:t>
            </w:r>
            <w:r>
              <w:rPr>
                <w:rFonts w:hint="eastAsia"/>
                <w:lang w:val="en-GB"/>
              </w:rPr>
              <w:t>体系。审核范围已记录在本报告中。</w:t>
            </w:r>
          </w:p>
          <w:p>
            <w:pPr>
              <w:rPr>
                <w:lang w:val="en-GB"/>
              </w:rPr>
            </w:pPr>
            <w:r>
              <w:rPr>
                <w:rFonts w:hint="eastAsia"/>
                <w:lang w:val="en-GB"/>
              </w:rPr>
              <w:t xml:space="preserve"> 潜在食品安全危害已经识别，评估和控制。</w:t>
            </w:r>
          </w:p>
          <w:p>
            <w:pPr>
              <w:rPr>
                <w:lang w:val="en-GB"/>
              </w:rPr>
            </w:pPr>
            <w:r>
              <w:rPr>
                <w:rFonts w:hint="eastAsia"/>
                <w:lang w:val="en-GB"/>
              </w:rPr>
              <w:t>组织管理层已评价了</w:t>
            </w:r>
            <w:r>
              <w:rPr>
                <w:rFonts w:hint="eastAsia" w:ascii="宋体" w:hAnsi="宋体"/>
                <w:szCs w:val="21"/>
              </w:rPr>
              <w:t>HACCP</w:t>
            </w:r>
            <w:r>
              <w:rPr>
                <w:rFonts w:hint="eastAsia"/>
                <w:lang w:val="en-GB"/>
              </w:rPr>
              <w:t>体系。</w:t>
            </w:r>
          </w:p>
          <w:p>
            <w:pPr>
              <w:rPr>
                <w:lang w:val="en-GB"/>
              </w:rPr>
            </w:pPr>
            <w:r>
              <w:rPr>
                <w:rFonts w:hint="eastAsia"/>
                <w:lang w:val="en-GB"/>
              </w:rPr>
              <w:t>以下过程已被外包，并在</w:t>
            </w:r>
            <w:r>
              <w:rPr>
                <w:rFonts w:hint="eastAsia" w:ascii="宋体" w:hAnsi="宋体"/>
                <w:szCs w:val="21"/>
              </w:rPr>
              <w:t>HACCP</w:t>
            </w:r>
            <w:r>
              <w:rPr>
                <w:rFonts w:hint="eastAsia"/>
                <w:lang w:val="en-GB"/>
              </w:rPr>
              <w:t>体系中文件化：</w:t>
            </w:r>
          </w:p>
          <w:p>
            <w:pPr>
              <w:numPr>
                <w:ilvl w:val="0"/>
                <w:numId w:val="12"/>
              </w:numPr>
              <w:ind w:left="420" w:leftChars="0" w:hanging="420" w:firstLineChars="0"/>
              <w:rPr>
                <w:rFonts w:hint="eastAsia"/>
                <w:color w:val="0000FF"/>
                <w:lang w:val="en-GB"/>
              </w:rPr>
            </w:pPr>
            <w:r>
              <w:rPr>
                <w:rFonts w:hint="eastAsia"/>
                <w:color w:val="0000FF"/>
                <w:lang w:val="en-GB"/>
              </w:rPr>
              <w:t>餐厨垃圾处理</w:t>
            </w:r>
          </w:p>
          <w:p>
            <w:pPr>
              <w:numPr>
                <w:ilvl w:val="0"/>
                <w:numId w:val="12"/>
              </w:numPr>
              <w:ind w:left="420" w:leftChars="0" w:hanging="420" w:firstLineChars="0"/>
              <w:rPr>
                <w:rFonts w:hint="eastAsia"/>
                <w:color w:val="0000FF"/>
                <w:lang w:val="en-GB"/>
              </w:rPr>
            </w:pPr>
            <w:r>
              <w:rPr>
                <w:rFonts w:hint="eastAsia"/>
                <w:color w:val="0000FF"/>
                <w:lang w:val="en-GB"/>
              </w:rPr>
              <w:t>虫害消杀</w:t>
            </w:r>
          </w:p>
          <w:p>
            <w:pPr>
              <w:spacing w:before="60" w:after="60"/>
              <w:rPr>
                <w:color w:val="0000FF"/>
              </w:rPr>
            </w:pPr>
          </w:p>
          <w:p>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目标提供了框架。它使所有员工负起持续改进HACCP体系的责任。</w:t>
            </w:r>
          </w:p>
          <w:p>
            <w:pPr>
              <w:rPr>
                <w:color w:val="000000"/>
              </w:rPr>
            </w:pPr>
          </w:p>
          <w:p>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HACCP体系文件中包括书面的方针，今年已确认以下目标：</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521"/>
              <w:gridCol w:w="296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食品安全</w:t>
                  </w:r>
                  <w:r>
                    <w:rPr>
                      <w:rFonts w:hint="eastAsia" w:ascii="宋体" w:hAnsi="宋体"/>
                    </w:rPr>
                    <w:t>目标</w:t>
                  </w:r>
                </w:p>
              </w:tc>
              <w:tc>
                <w:tcPr>
                  <w:tcW w:w="1521" w:type="dxa"/>
                  <w:shd w:val="clear" w:color="auto" w:fill="auto"/>
                </w:tcPr>
                <w:p>
                  <w:pPr>
                    <w:rPr>
                      <w:rFonts w:ascii="宋体" w:hAnsi="宋体"/>
                    </w:rPr>
                  </w:pPr>
                  <w:r>
                    <w:rPr>
                      <w:rFonts w:hint="eastAsia" w:ascii="宋体" w:hAnsi="宋体"/>
                    </w:rPr>
                    <w:t>考核频次</w:t>
                  </w:r>
                </w:p>
              </w:tc>
              <w:tc>
                <w:tcPr>
                  <w:tcW w:w="2965" w:type="dxa"/>
                  <w:shd w:val="clear" w:color="auto" w:fill="auto"/>
                </w:tcPr>
                <w:p>
                  <w:pPr>
                    <w:rPr>
                      <w:rFonts w:ascii="宋体" w:hAnsi="宋体"/>
                    </w:rPr>
                  </w:pPr>
                  <w:r>
                    <w:rPr>
                      <w:rFonts w:hint="eastAsia"/>
                      <w:color w:val="000000"/>
                      <w:szCs w:val="18"/>
                    </w:rPr>
                    <w:t>计算方法</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rPr>
                      <w:color w:val="000000"/>
                      <w:szCs w:val="21"/>
                    </w:rPr>
                  </w:pPr>
                  <w:r>
                    <w:rPr>
                      <w:rFonts w:hint="eastAsia" w:ascii="宋体" w:hAnsi="宋体" w:cs="宋体"/>
                      <w:bCs/>
                      <w:szCs w:val="21"/>
                    </w:rPr>
                    <w:t>食品安全事故为零</w:t>
                  </w:r>
                </w:p>
              </w:tc>
              <w:tc>
                <w:tcPr>
                  <w:tcW w:w="1521" w:type="dxa"/>
                  <w:shd w:val="clear" w:color="auto" w:fill="auto"/>
                </w:tcPr>
                <w:p>
                  <w:pPr>
                    <w:widowControl/>
                    <w:spacing w:before="40"/>
                    <w:jc w:val="left"/>
                    <w:rPr>
                      <w:color w:val="000000"/>
                      <w:szCs w:val="21"/>
                      <w:lang w:val="en-GB"/>
                    </w:rPr>
                  </w:pPr>
                  <w:r>
                    <w:rPr>
                      <w:rFonts w:hint="eastAsia"/>
                      <w:color w:val="000000"/>
                      <w:szCs w:val="21"/>
                    </w:rPr>
                    <w:t>每年</w:t>
                  </w:r>
                </w:p>
              </w:tc>
              <w:tc>
                <w:tcPr>
                  <w:tcW w:w="2965" w:type="dxa"/>
                  <w:shd w:val="clear" w:color="auto" w:fill="auto"/>
                </w:tcPr>
                <w:p>
                  <w:pPr>
                    <w:widowControl/>
                    <w:spacing w:before="40"/>
                    <w:jc w:val="left"/>
                    <w:rPr>
                      <w:color w:val="000000"/>
                      <w:szCs w:val="21"/>
                      <w:lang w:val="en-GB"/>
                    </w:rPr>
                  </w:pPr>
                  <w:r>
                    <w:rPr>
                      <w:rFonts w:hint="eastAsia"/>
                      <w:color w:val="000000"/>
                      <w:szCs w:val="21"/>
                    </w:rPr>
                    <w:t>按</w:t>
                  </w:r>
                  <w:r>
                    <w:rPr>
                      <w:color w:val="000000"/>
                      <w:szCs w:val="21"/>
                    </w:rPr>
                    <w:t>实</w:t>
                  </w:r>
                  <w:r>
                    <w:rPr>
                      <w:rFonts w:hint="eastAsia"/>
                      <w:color w:val="000000"/>
                      <w:szCs w:val="21"/>
                    </w:rPr>
                    <w:t>际</w:t>
                  </w:r>
                  <w:r>
                    <w:rPr>
                      <w:color w:val="000000"/>
                      <w:szCs w:val="21"/>
                    </w:rPr>
                    <w:t>发</w:t>
                  </w:r>
                  <w:r>
                    <w:rPr>
                      <w:rFonts w:hint="eastAsia"/>
                      <w:color w:val="000000"/>
                      <w:szCs w:val="21"/>
                    </w:rPr>
                    <w:t>生</w:t>
                  </w:r>
                  <w:r>
                    <w:rPr>
                      <w:color w:val="000000"/>
                      <w:szCs w:val="21"/>
                    </w:rPr>
                    <w:t>次数</w:t>
                  </w:r>
                </w:p>
              </w:tc>
              <w:tc>
                <w:tcPr>
                  <w:tcW w:w="1774" w:type="dxa"/>
                  <w:shd w:val="clear" w:color="auto" w:fill="auto"/>
                </w:tcPr>
                <w:p>
                  <w:pPr>
                    <w:widowControl/>
                    <w:spacing w:before="40"/>
                    <w:jc w:val="left"/>
                    <w:rPr>
                      <w:color w:val="000000"/>
                      <w:szCs w:val="21"/>
                      <w:lang w:val="en-GB"/>
                    </w:rPr>
                  </w:pPr>
                  <w:r>
                    <w:rPr>
                      <w:rFonts w:hint="eastAsia"/>
                      <w:color w:val="000000"/>
                      <w:szCs w:val="21"/>
                    </w:rPr>
                    <w:t>未</w:t>
                  </w:r>
                  <w:r>
                    <w:rPr>
                      <w:color w:val="000000"/>
                      <w:szCs w:val="21"/>
                    </w:rPr>
                    <w:t>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rPr>
                      <w:color w:val="000000"/>
                      <w:szCs w:val="21"/>
                    </w:rPr>
                  </w:pPr>
                  <w:r>
                    <w:rPr>
                      <w:rFonts w:hint="eastAsia" w:ascii="宋体" w:hAnsi="宋体" w:cs="宋体"/>
                      <w:bCs/>
                      <w:szCs w:val="21"/>
                    </w:rPr>
                    <w:t>关键</w:t>
                  </w:r>
                  <w:r>
                    <w:rPr>
                      <w:rFonts w:ascii="宋体" w:hAnsi="宋体" w:cs="宋体"/>
                      <w:bCs/>
                      <w:szCs w:val="21"/>
                    </w:rPr>
                    <w:t>控制点监控</w:t>
                  </w:r>
                  <w:r>
                    <w:rPr>
                      <w:rFonts w:hint="eastAsia" w:ascii="宋体" w:hAnsi="宋体" w:cs="宋体"/>
                      <w:bCs/>
                      <w:szCs w:val="21"/>
                    </w:rPr>
                    <w:t>合格率</w:t>
                  </w:r>
                </w:p>
              </w:tc>
              <w:tc>
                <w:tcPr>
                  <w:tcW w:w="1521" w:type="dxa"/>
                  <w:shd w:val="clear" w:color="auto" w:fill="auto"/>
                </w:tcPr>
                <w:p>
                  <w:pPr>
                    <w:widowControl/>
                    <w:spacing w:before="40"/>
                    <w:jc w:val="left"/>
                    <w:rPr>
                      <w:color w:val="000000"/>
                      <w:szCs w:val="21"/>
                    </w:rPr>
                  </w:pPr>
                  <w:r>
                    <w:rPr>
                      <w:rFonts w:hint="eastAsia"/>
                      <w:color w:val="000000"/>
                      <w:szCs w:val="21"/>
                    </w:rPr>
                    <w:t>每年</w:t>
                  </w:r>
                </w:p>
              </w:tc>
              <w:tc>
                <w:tcPr>
                  <w:tcW w:w="2965" w:type="dxa"/>
                  <w:shd w:val="clear" w:color="auto" w:fill="auto"/>
                </w:tcPr>
                <w:p>
                  <w:pPr>
                    <w:widowControl/>
                    <w:spacing w:before="40"/>
                    <w:jc w:val="left"/>
                    <w:rPr>
                      <w:color w:val="000000"/>
                      <w:szCs w:val="21"/>
                    </w:rPr>
                  </w:pPr>
                  <w:r>
                    <w:rPr>
                      <w:rFonts w:hint="eastAsia"/>
                      <w:color w:val="000000"/>
                      <w:szCs w:val="21"/>
                    </w:rPr>
                    <w:t>CCP的</w:t>
                  </w:r>
                  <w:r>
                    <w:rPr>
                      <w:color w:val="000000"/>
                      <w:szCs w:val="21"/>
                    </w:rPr>
                    <w:t>控制抽查合格数</w:t>
                  </w:r>
                  <w:r>
                    <w:rPr>
                      <w:rFonts w:hint="eastAsia"/>
                      <w:color w:val="000000"/>
                      <w:szCs w:val="21"/>
                    </w:rPr>
                    <w:t>/总CCP点</w:t>
                  </w:r>
                  <w:r>
                    <w:rPr>
                      <w:color w:val="000000"/>
                      <w:szCs w:val="21"/>
                    </w:rPr>
                    <w:t>的控制数X100%</w:t>
                  </w:r>
                </w:p>
              </w:tc>
              <w:tc>
                <w:tcPr>
                  <w:tcW w:w="1774" w:type="dxa"/>
                  <w:shd w:val="clear" w:color="auto" w:fill="auto"/>
                </w:tcPr>
                <w:p>
                  <w:pPr>
                    <w:widowControl/>
                    <w:spacing w:before="40"/>
                    <w:jc w:val="left"/>
                    <w:rPr>
                      <w:color w:val="000000"/>
                      <w:szCs w:val="21"/>
                    </w:rPr>
                  </w:pPr>
                  <w:r>
                    <w:rPr>
                      <w:rFonts w:hint="eastAsia"/>
                      <w:color w:val="000000"/>
                      <w:szCs w:val="21"/>
                    </w:rPr>
                    <w:t>100</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rPr>
                      <w:color w:val="000000"/>
                      <w:szCs w:val="21"/>
                    </w:rPr>
                  </w:pPr>
                  <w:r>
                    <w:rPr>
                      <w:rFonts w:hint="eastAsia"/>
                      <w:color w:val="000000"/>
                      <w:szCs w:val="21"/>
                    </w:rPr>
                    <w:t>采购</w:t>
                  </w:r>
                  <w:r>
                    <w:rPr>
                      <w:color w:val="000000"/>
                      <w:szCs w:val="21"/>
                    </w:rPr>
                    <w:t>物料合格率</w:t>
                  </w:r>
                </w:p>
              </w:tc>
              <w:tc>
                <w:tcPr>
                  <w:tcW w:w="1521" w:type="dxa"/>
                  <w:shd w:val="clear" w:color="auto" w:fill="auto"/>
                </w:tcPr>
                <w:p>
                  <w:pPr>
                    <w:widowControl/>
                    <w:spacing w:before="40"/>
                    <w:jc w:val="left"/>
                    <w:rPr>
                      <w:color w:val="000000"/>
                      <w:szCs w:val="21"/>
                    </w:rPr>
                  </w:pPr>
                  <w:r>
                    <w:rPr>
                      <w:rFonts w:hint="eastAsia"/>
                      <w:color w:val="000000"/>
                      <w:szCs w:val="21"/>
                    </w:rPr>
                    <w:t>每月</w:t>
                  </w:r>
                </w:p>
              </w:tc>
              <w:tc>
                <w:tcPr>
                  <w:tcW w:w="2965" w:type="dxa"/>
                  <w:shd w:val="clear" w:color="auto" w:fill="auto"/>
                </w:tcPr>
                <w:p>
                  <w:pPr>
                    <w:widowControl/>
                    <w:spacing w:before="40"/>
                    <w:jc w:val="left"/>
                    <w:rPr>
                      <w:color w:val="000000"/>
                      <w:szCs w:val="21"/>
                    </w:rPr>
                  </w:pPr>
                  <w:r>
                    <w:rPr>
                      <w:rFonts w:hint="eastAsia"/>
                      <w:color w:val="000000"/>
                      <w:szCs w:val="21"/>
                    </w:rPr>
                    <w:t>物</w:t>
                  </w:r>
                  <w:r>
                    <w:rPr>
                      <w:color w:val="000000"/>
                      <w:szCs w:val="21"/>
                    </w:rPr>
                    <w:t>料</w:t>
                  </w:r>
                  <w:r>
                    <w:rPr>
                      <w:rFonts w:hint="eastAsia"/>
                      <w:color w:val="000000"/>
                      <w:szCs w:val="21"/>
                    </w:rPr>
                    <w:t>采</w:t>
                  </w:r>
                  <w:r>
                    <w:rPr>
                      <w:color w:val="000000"/>
                      <w:szCs w:val="21"/>
                    </w:rPr>
                    <w:t>购合</w:t>
                  </w:r>
                  <w:r>
                    <w:rPr>
                      <w:rFonts w:hint="eastAsia"/>
                      <w:color w:val="000000"/>
                      <w:szCs w:val="21"/>
                    </w:rPr>
                    <w:t>格</w:t>
                  </w:r>
                  <w:r>
                    <w:rPr>
                      <w:color w:val="000000"/>
                      <w:szCs w:val="21"/>
                    </w:rPr>
                    <w:t>数量</w:t>
                  </w:r>
                  <w:r>
                    <w:rPr>
                      <w:rFonts w:hint="eastAsia"/>
                      <w:color w:val="000000"/>
                      <w:szCs w:val="21"/>
                    </w:rPr>
                    <w:t>/采</w:t>
                  </w:r>
                  <w:r>
                    <w:rPr>
                      <w:color w:val="000000"/>
                      <w:szCs w:val="21"/>
                    </w:rPr>
                    <w:t>购总数</w:t>
                  </w:r>
                  <w:r>
                    <w:rPr>
                      <w:rFonts w:hint="eastAsia"/>
                      <w:color w:val="000000"/>
                      <w:szCs w:val="21"/>
                    </w:rPr>
                    <w:t>量</w:t>
                  </w:r>
                </w:p>
              </w:tc>
              <w:tc>
                <w:tcPr>
                  <w:tcW w:w="1774" w:type="dxa"/>
                  <w:shd w:val="clear" w:color="auto" w:fill="auto"/>
                </w:tcPr>
                <w:p>
                  <w:pPr>
                    <w:widowControl/>
                    <w:spacing w:before="40"/>
                    <w:jc w:val="left"/>
                    <w:rPr>
                      <w:color w:val="000000"/>
                      <w:szCs w:val="21"/>
                    </w:rPr>
                  </w:pPr>
                  <w:r>
                    <w:rPr>
                      <w:rFonts w:hint="eastAsia"/>
                      <w:color w:val="000000"/>
                      <w:szCs w:val="21"/>
                    </w:rPr>
                    <w:t>100</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jc w:val="left"/>
                    <w:rPr>
                      <w:color w:val="000000"/>
                      <w:szCs w:val="21"/>
                    </w:rPr>
                  </w:pPr>
                  <w:r>
                    <w:rPr>
                      <w:rFonts w:hint="eastAsia"/>
                      <w:color w:val="000000"/>
                      <w:szCs w:val="21"/>
                    </w:rPr>
                    <w:t>人</w:t>
                  </w:r>
                  <w:r>
                    <w:rPr>
                      <w:color w:val="000000"/>
                      <w:szCs w:val="21"/>
                    </w:rPr>
                    <w:t>员培训合格率</w:t>
                  </w:r>
                </w:p>
              </w:tc>
              <w:tc>
                <w:tcPr>
                  <w:tcW w:w="1521" w:type="dxa"/>
                  <w:shd w:val="clear" w:color="auto" w:fill="auto"/>
                </w:tcPr>
                <w:p>
                  <w:pPr>
                    <w:widowControl/>
                    <w:spacing w:before="40"/>
                    <w:jc w:val="left"/>
                    <w:rPr>
                      <w:color w:val="000000"/>
                      <w:szCs w:val="21"/>
                    </w:rPr>
                  </w:pPr>
                  <w:r>
                    <w:rPr>
                      <w:rFonts w:hint="eastAsia"/>
                      <w:color w:val="000000"/>
                      <w:szCs w:val="21"/>
                    </w:rPr>
                    <w:t>每</w:t>
                  </w:r>
                  <w:r>
                    <w:rPr>
                      <w:color w:val="000000"/>
                      <w:szCs w:val="21"/>
                    </w:rPr>
                    <w:t>年</w:t>
                  </w:r>
                </w:p>
              </w:tc>
              <w:tc>
                <w:tcPr>
                  <w:tcW w:w="2965" w:type="dxa"/>
                  <w:shd w:val="clear" w:color="auto" w:fill="auto"/>
                </w:tcPr>
                <w:p>
                  <w:pPr>
                    <w:widowControl/>
                    <w:spacing w:before="40"/>
                    <w:jc w:val="left"/>
                    <w:rPr>
                      <w:color w:val="000000"/>
                      <w:szCs w:val="21"/>
                    </w:rPr>
                  </w:pPr>
                  <w:r>
                    <w:rPr>
                      <w:rFonts w:hint="eastAsia"/>
                      <w:color w:val="000000"/>
                      <w:szCs w:val="21"/>
                    </w:rPr>
                    <w:t>培</w:t>
                  </w:r>
                  <w:r>
                    <w:rPr>
                      <w:color w:val="000000"/>
                      <w:szCs w:val="21"/>
                    </w:rPr>
                    <w:t>训合格人数/</w:t>
                  </w:r>
                  <w:r>
                    <w:rPr>
                      <w:rFonts w:hint="eastAsia"/>
                      <w:color w:val="000000"/>
                      <w:szCs w:val="21"/>
                    </w:rPr>
                    <w:t>总</w:t>
                  </w:r>
                  <w:r>
                    <w:rPr>
                      <w:color w:val="000000"/>
                      <w:szCs w:val="21"/>
                    </w:rPr>
                    <w:t>培训人数</w:t>
                  </w:r>
                </w:p>
              </w:tc>
              <w:tc>
                <w:tcPr>
                  <w:tcW w:w="1774" w:type="dxa"/>
                  <w:shd w:val="clear" w:color="auto" w:fill="auto"/>
                </w:tcPr>
                <w:p>
                  <w:pPr>
                    <w:widowControl/>
                    <w:spacing w:before="40"/>
                    <w:jc w:val="left"/>
                    <w:rPr>
                      <w:color w:val="000000"/>
                      <w:szCs w:val="21"/>
                    </w:rPr>
                  </w:pPr>
                  <w:r>
                    <w:rPr>
                      <w:rFonts w:hint="eastAsia"/>
                      <w:color w:val="000000"/>
                      <w:szCs w:val="21"/>
                    </w:rPr>
                    <w:t>100</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1521" w:type="dxa"/>
                  <w:shd w:val="clear" w:color="auto" w:fill="auto"/>
                  <w:vAlign w:val="center"/>
                </w:tcPr>
                <w:p>
                  <w:pPr>
                    <w:rPr>
                      <w:rFonts w:ascii="宋体" w:hAnsi="宋体"/>
                    </w:rPr>
                  </w:pPr>
                </w:p>
              </w:tc>
              <w:tc>
                <w:tcPr>
                  <w:tcW w:w="2965"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color w:val="0000FF"/>
              </w:rPr>
              <w:t>是</w:t>
            </w:r>
            <w:r>
              <w:rPr>
                <w:color w:val="0000FF"/>
              </w:rPr>
              <w:t>/□</w:t>
            </w:r>
            <w:r>
              <w:rPr>
                <w:rFonts w:hint="eastAsia"/>
                <w:color w:val="0000FF"/>
              </w:rPr>
              <w:t>否</w:t>
            </w:r>
            <w:r>
              <w:rPr>
                <w:rFonts w:hint="eastAsia"/>
                <w:color w:val="000000"/>
              </w:rPr>
              <w:t>实现。</w:t>
            </w:r>
          </w:p>
          <w:p>
            <w:pPr>
              <w:rPr>
                <w:color w:val="0000FF"/>
              </w:rPr>
            </w:pPr>
          </w:p>
          <w:p>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pPr>
              <w:rPr>
                <w:color w:val="0000FF"/>
              </w:rPr>
            </w:pPr>
          </w:p>
          <w:p>
            <w:pPr>
              <w:rPr>
                <w:lang w:val="en-GB"/>
              </w:rPr>
            </w:pPr>
            <w:r>
              <w:rPr>
                <w:rFonts w:hint="eastAsia"/>
                <w:u w:val="single"/>
              </w:rPr>
              <w:t>《文件控制程序》编号：（</w:t>
            </w:r>
            <w:r>
              <w:rPr>
                <w:u w:val="single"/>
              </w:rPr>
              <w:t>XXF/CX-01</w:t>
            </w:r>
            <w:r>
              <w:rPr>
                <w:rFonts w:hint="eastAsia"/>
                <w:u w:val="single"/>
              </w:rPr>
              <w:t>）</w:t>
            </w:r>
            <w:r>
              <w:rPr>
                <w:u w:val="single"/>
              </w:rPr>
              <w:t>_</w:t>
            </w:r>
            <w:r>
              <w:rPr>
                <w:lang w:val="en-GB"/>
              </w:rPr>
              <w:t>_</w:t>
            </w:r>
          </w:p>
          <w:p>
            <w:pPr>
              <w:rPr>
                <w:lang w:val="en-GB"/>
              </w:rPr>
            </w:pPr>
            <w:r>
              <w:rPr>
                <w:rFonts w:hint="eastAsia"/>
                <w:lang w:val="en-GB"/>
              </w:rPr>
              <w:t>管理体系文件经验证已得到控制，这包括文件评审和批准、文件变更的识别，以确保相关文件版本的可用性，并防止已废弃的文件的非预期使用。</w:t>
            </w:r>
          </w:p>
          <w:p>
            <w:pPr>
              <w:tabs>
                <w:tab w:val="left" w:pos="510"/>
              </w:tabs>
              <w:autoSpaceDE w:val="0"/>
              <w:autoSpaceDN w:val="0"/>
              <w:adjustRightInd w:val="0"/>
              <w:ind w:right="6"/>
              <w:rPr>
                <w:u w:val="single"/>
              </w:rPr>
            </w:pPr>
          </w:p>
          <w:p>
            <w:pPr>
              <w:tabs>
                <w:tab w:val="left" w:pos="510"/>
              </w:tabs>
              <w:autoSpaceDE w:val="0"/>
              <w:autoSpaceDN w:val="0"/>
              <w:adjustRightInd w:val="0"/>
              <w:ind w:right="6"/>
              <w:rPr>
                <w:lang w:val="en-GB"/>
              </w:rPr>
            </w:pPr>
            <w:r>
              <w:rPr>
                <w:rFonts w:hint="eastAsia"/>
                <w:u w:val="single"/>
              </w:rPr>
              <w:t>《记录控制程序》编号：（</w:t>
            </w:r>
            <w:r>
              <w:rPr>
                <w:u w:val="single"/>
              </w:rPr>
              <w:t>XXF/CX-02</w:t>
            </w:r>
            <w:r>
              <w:rPr>
                <w:rFonts w:hint="eastAsia"/>
                <w:u w:val="single"/>
              </w:rPr>
              <w:t>）</w:t>
            </w:r>
          </w:p>
          <w:p>
            <w:pPr>
              <w:tabs>
                <w:tab w:val="left" w:pos="510"/>
              </w:tabs>
              <w:autoSpaceDE w:val="0"/>
              <w:autoSpaceDN w:val="0"/>
              <w:adjustRightInd w:val="0"/>
              <w:ind w:right="6"/>
            </w:pPr>
            <w:r>
              <w:rPr>
                <w:rFonts w:hint="eastAsia"/>
              </w:rPr>
              <w:t>已实施，以管控记录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pPr>
            <w:r>
              <w:rPr>
                <w:rFonts w:hint="eastAsia"/>
              </w:rPr>
              <w:t>管理职责</w:t>
            </w:r>
          </w:p>
          <w:p>
            <w:pPr>
              <w:tabs>
                <w:tab w:val="left" w:pos="510"/>
              </w:tabs>
              <w:autoSpaceDE w:val="0"/>
              <w:autoSpaceDN w:val="0"/>
              <w:adjustRightInd w:val="0"/>
              <w:ind w:right="6"/>
              <w:rPr>
                <w:color w:val="000000"/>
                <w:highlight w:val="yellow"/>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pPr>
            <w:r>
              <w:rPr>
                <w:rFonts w:hint="eastAsia"/>
              </w:rPr>
              <w:t>通过以下各要点，公司管理层证实其对食品安全管理体制建立，发展和实施的承诺：</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pPr>
              <w:tabs>
                <w:tab w:val="left" w:pos="510"/>
              </w:tabs>
              <w:autoSpaceDE w:val="0"/>
              <w:autoSpaceDN w:val="0"/>
              <w:adjustRightInd w:val="0"/>
              <w:ind w:right="6"/>
              <w:rPr>
                <w:color w:val="0000FF"/>
              </w:rPr>
            </w:pPr>
            <w:r>
              <w:rPr>
                <w:rFonts w:hint="eastAsia"/>
              </w:rPr>
              <w:t>•</w:t>
            </w:r>
            <w:r>
              <w:rPr>
                <w:color w:val="0000FF"/>
              </w:rPr>
              <w:tab/>
            </w:r>
            <w:r>
              <w:rPr>
                <w:rFonts w:hint="eastAsia"/>
                <w:color w:val="0000FF"/>
              </w:rPr>
              <w:t>组织管理评审</w:t>
            </w:r>
          </w:p>
          <w:p>
            <w:pPr>
              <w:tabs>
                <w:tab w:val="left" w:pos="510"/>
              </w:tabs>
              <w:autoSpaceDE w:val="0"/>
              <w:autoSpaceDN w:val="0"/>
              <w:adjustRightInd w:val="0"/>
              <w:ind w:right="6"/>
              <w:rPr>
                <w:color w:val="0000FF"/>
              </w:rPr>
            </w:pPr>
          </w:p>
          <w:p>
            <w:pPr>
              <w:tabs>
                <w:tab w:val="left" w:pos="510"/>
              </w:tabs>
              <w:autoSpaceDE w:val="0"/>
              <w:autoSpaceDN w:val="0"/>
              <w:adjustRightInd w:val="0"/>
              <w:ind w:right="6"/>
            </w:pPr>
            <w:r>
              <w:rPr>
                <w:rFonts w:hint="eastAsia"/>
              </w:rPr>
              <w:t>公司高层已制定了食品安全方针并在全公司内通过以下方式公布了该方针：</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pPr>
              <w:tabs>
                <w:tab w:val="left" w:pos="510"/>
              </w:tabs>
              <w:autoSpaceDE w:val="0"/>
              <w:autoSpaceDN w:val="0"/>
              <w:adjustRightInd w:val="0"/>
              <w:ind w:right="6"/>
            </w:pPr>
            <w:r>
              <w:rPr>
                <w:rFonts w:hint="eastAsia"/>
              </w:rPr>
              <w:t>•</w:t>
            </w:r>
            <w:r>
              <w:tab/>
            </w:r>
          </w:p>
          <w:p>
            <w:pPr>
              <w:tabs>
                <w:tab w:val="left" w:pos="510"/>
              </w:tabs>
              <w:autoSpaceDE w:val="0"/>
              <w:autoSpaceDN w:val="0"/>
              <w:adjustRightInd w:val="0"/>
              <w:ind w:right="6"/>
            </w:pPr>
            <w:r>
              <w:rPr>
                <w:rFonts w:hint="eastAsia"/>
              </w:rPr>
              <w:t>高层确定已通过以下方式明确和沟通了职责和权限：</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pPr>
              <w:tabs>
                <w:tab w:val="left" w:pos="510"/>
              </w:tabs>
              <w:autoSpaceDE w:val="0"/>
              <w:autoSpaceDN w:val="0"/>
              <w:adjustRightInd w:val="0"/>
              <w:ind w:right="6"/>
            </w:pPr>
            <w:r>
              <w:rPr>
                <w:rFonts w:hint="eastAsia"/>
              </w:rPr>
              <w:t>•</w:t>
            </w:r>
            <w:r>
              <w:tab/>
            </w:r>
          </w:p>
          <w:p>
            <w:pPr>
              <w:tabs>
                <w:tab w:val="left" w:pos="510"/>
              </w:tabs>
              <w:autoSpaceDE w:val="0"/>
              <w:autoSpaceDN w:val="0"/>
              <w:adjustRightInd w:val="0"/>
              <w:ind w:right="6"/>
            </w:pPr>
            <w:r>
              <w:rPr>
                <w:rFonts w:hint="eastAsia"/>
              </w:rPr>
              <w:t>食品安全小组组长已公开任命。食品安全小组包括以下组员/职能：</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 (食品安全小组组长)</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p>
          <w:p>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pPr>
              <w:tabs>
                <w:tab w:val="left" w:pos="510"/>
              </w:tabs>
              <w:autoSpaceDE w:val="0"/>
              <w:autoSpaceDN w:val="0"/>
              <w:adjustRightInd w:val="0"/>
              <w:ind w:right="6"/>
              <w:rPr>
                <w:color w:val="0000FF"/>
              </w:rPr>
            </w:pPr>
            <w:r>
              <w:rPr>
                <w:rFonts w:hint="eastAsia"/>
              </w:rPr>
              <w:t>例如：</w:t>
            </w:r>
            <w:r>
              <w:rPr>
                <w:rFonts w:hint="eastAsia"/>
                <w:color w:val="0000FF"/>
              </w:rPr>
              <w:t>法规当局（仓山区市场监督管理局）的20</w:t>
            </w:r>
            <w:r>
              <w:rPr>
                <w:color w:val="0000FF"/>
              </w:rPr>
              <w:t>20</w:t>
            </w:r>
            <w:r>
              <w:rPr>
                <w:rFonts w:hint="eastAsia"/>
                <w:color w:val="0000FF"/>
              </w:rPr>
              <w:t>年</w:t>
            </w:r>
            <w:r>
              <w:rPr>
                <w:color w:val="0000FF"/>
              </w:rPr>
              <w:t>9</w:t>
            </w:r>
            <w:r>
              <w:rPr>
                <w:rFonts w:hint="eastAsia"/>
                <w:color w:val="0000FF"/>
              </w:rPr>
              <w:t>月来公司现场检查，进行了现场检查，</w:t>
            </w:r>
            <w:r>
              <w:rPr>
                <w:rFonts w:hint="eastAsia"/>
                <w:color w:val="0000FF"/>
                <w:highlight w:val="none"/>
              </w:rPr>
              <w:t>没有发现不合格。</w:t>
            </w:r>
          </w:p>
          <w:p>
            <w:pPr>
              <w:tabs>
                <w:tab w:val="left" w:pos="510"/>
              </w:tabs>
              <w:autoSpaceDE w:val="0"/>
              <w:autoSpaceDN w:val="0"/>
              <w:adjustRightInd w:val="0"/>
              <w:ind w:right="6"/>
            </w:pPr>
          </w:p>
          <w:p>
            <w:pPr>
              <w:tabs>
                <w:tab w:val="left" w:pos="510"/>
              </w:tabs>
              <w:autoSpaceDE w:val="0"/>
              <w:autoSpaceDN w:val="0"/>
              <w:adjustRightInd w:val="0"/>
              <w:ind w:right="6"/>
            </w:pPr>
            <w:r>
              <w:rPr>
                <w:rFonts w:hint="eastAsia"/>
              </w:rPr>
              <w:t>内部审核至少每年开展一次，或按公司要求进行。以下内部审核可从相关记录中查询：</w:t>
            </w:r>
          </w:p>
          <w:p>
            <w:pPr>
              <w:tabs>
                <w:tab w:val="left" w:pos="510"/>
              </w:tabs>
              <w:autoSpaceDE w:val="0"/>
              <w:autoSpaceDN w:val="0"/>
              <w:adjustRightInd w:val="0"/>
              <w:ind w:right="6"/>
            </w:pPr>
            <w:r>
              <w:rPr>
                <w:rFonts w:hint="eastAsia"/>
              </w:rPr>
              <w:t>•</w:t>
            </w:r>
            <w:r>
              <w:rPr>
                <w:rFonts w:hint="eastAsia"/>
              </w:rPr>
              <w:tab/>
            </w:r>
            <w:r>
              <w:rPr>
                <w:rFonts w:hint="eastAsia"/>
              </w:rPr>
              <w:t>实施内审的日期2019年</w:t>
            </w:r>
            <w:r>
              <w:t>12</w:t>
            </w:r>
            <w:r>
              <w:rPr>
                <w:rFonts w:hint="eastAsia"/>
              </w:rPr>
              <w:t>月</w:t>
            </w:r>
            <w:r>
              <w:t>13</w:t>
            </w:r>
            <w:r>
              <w:rPr>
                <w:rFonts w:hint="eastAsia"/>
              </w:rPr>
              <w:t>日，1个不符合项已经关闭</w:t>
            </w:r>
          </w:p>
          <w:p>
            <w:pPr>
              <w:tabs>
                <w:tab w:val="left" w:pos="510"/>
              </w:tabs>
              <w:autoSpaceDE w:val="0"/>
              <w:autoSpaceDN w:val="0"/>
              <w:adjustRightInd w:val="0"/>
              <w:ind w:right="6"/>
            </w:pPr>
          </w:p>
          <w:p>
            <w:pPr>
              <w:tabs>
                <w:tab w:val="left" w:pos="510"/>
              </w:tabs>
              <w:autoSpaceDE w:val="0"/>
              <w:autoSpaceDN w:val="0"/>
              <w:adjustRightInd w:val="0"/>
              <w:ind w:right="6"/>
            </w:pPr>
            <w:r>
              <w:rPr>
                <w:rFonts w:hint="eastAsia"/>
              </w:rPr>
              <w:t>公司高层在</w:t>
            </w:r>
            <w:r>
              <w:rPr>
                <w:rFonts w:hint="eastAsia"/>
                <w:color w:val="0000FF"/>
                <w:u w:val="single"/>
              </w:rPr>
              <w:t>20</w:t>
            </w:r>
            <w:r>
              <w:rPr>
                <w:color w:val="0000FF"/>
                <w:u w:val="single"/>
              </w:rPr>
              <w:t>20</w:t>
            </w:r>
            <w:r>
              <w:rPr>
                <w:rFonts w:hint="eastAsia"/>
                <w:color w:val="0000FF"/>
                <w:u w:val="single"/>
              </w:rPr>
              <w:t>年</w:t>
            </w:r>
            <w:r>
              <w:rPr>
                <w:color w:val="0000FF"/>
                <w:u w:val="single"/>
              </w:rPr>
              <w:t>1</w:t>
            </w:r>
            <w:r>
              <w:rPr>
                <w:rFonts w:hint="eastAsia"/>
                <w:color w:val="0000FF"/>
                <w:u w:val="single"/>
              </w:rPr>
              <w:t>月</w:t>
            </w:r>
            <w:r>
              <w:rPr>
                <w:color w:val="0000FF"/>
                <w:u w:val="single"/>
              </w:rPr>
              <w:t>8</w:t>
            </w:r>
            <w:r>
              <w:rPr>
                <w:rFonts w:hint="eastAsia"/>
                <w:color w:val="0000FF"/>
                <w:u w:val="single"/>
              </w:rPr>
              <w:t>日</w:t>
            </w:r>
            <w:r>
              <w:rPr>
                <w:rFonts w:hint="eastAsia"/>
              </w:rPr>
              <w:t>进行了管理审核，评价了食品安全管理体系。</w:t>
            </w:r>
          </w:p>
          <w:p>
            <w:pPr>
              <w:tabs>
                <w:tab w:val="left" w:pos="510"/>
              </w:tabs>
              <w:autoSpaceDE w:val="0"/>
              <w:autoSpaceDN w:val="0"/>
              <w:adjustRightInd w:val="0"/>
              <w:ind w:right="6"/>
            </w:pPr>
            <w:r>
              <w:rPr>
                <w:rFonts w:hint="eastAsia"/>
              </w:rPr>
              <w:t>以下改进措施已用书面形式确认， 例如：</w:t>
            </w:r>
          </w:p>
          <w:p>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pPr>
              <w:tabs>
                <w:tab w:val="left" w:pos="510"/>
              </w:tabs>
              <w:autoSpaceDE w:val="0"/>
              <w:autoSpaceDN w:val="0"/>
              <w:adjustRightInd w:val="0"/>
              <w:ind w:right="6"/>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vMerge w:val="restart"/>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pPr>
            <w:r>
              <w:rPr>
                <w:rFonts w:hint="eastAsia"/>
              </w:rPr>
              <w:t>前提计划</w:t>
            </w:r>
            <w:r>
              <w:rPr>
                <w:rFonts w:hint="eastAsia"/>
                <w:b/>
                <w:lang w:val="en-GB"/>
              </w:rPr>
              <w:t>的建立和实施</w:t>
            </w:r>
          </w:p>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r>
              <w:rPr>
                <w:rFonts w:hint="eastAsia"/>
              </w:rPr>
              <w:t>人力资源保障计划</w:t>
            </w:r>
          </w:p>
          <w:p>
            <w:r>
              <w:rPr>
                <w:rFonts w:ascii="Cambria Math" w:hAnsi="Cambria Math" w:cs="Cambria Math"/>
              </w:rPr>
              <w:t>◆</w:t>
            </w:r>
            <w:r>
              <w:rPr>
                <w:rFonts w:hint="eastAsia"/>
              </w:rPr>
              <w:t>制订了各关键岗位的任职要求，关注了下列岗位的人员的能力：</w:t>
            </w:r>
          </w:p>
          <w:p>
            <w:pPr>
              <w:pStyle w:val="34"/>
              <w:numPr>
                <w:ilvl w:val="0"/>
                <w:numId w:val="13"/>
              </w:numPr>
              <w:ind w:firstLineChars="0"/>
            </w:pPr>
            <w:r>
              <w:rPr>
                <w:rFonts w:hint="eastAsia"/>
              </w:rPr>
              <w:t>HACCP组长</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p>
            <w:r>
              <w:rPr>
                <w:rFonts w:ascii="Cambria Math" w:hAnsi="Cambria Math" w:cs="Cambria Math"/>
              </w:rPr>
              <w:t>◆</w:t>
            </w:r>
            <w:r>
              <w:rPr>
                <w:rFonts w:hint="eastAsia"/>
              </w:rPr>
              <w:t>公司的员工均符合任职要求，并受过良好的培训，技能和经验，具有相应的技能和经验，通过以下文件发现员工的能力：</w:t>
            </w:r>
          </w:p>
          <w:p>
            <w:pPr>
              <w:pStyle w:val="34"/>
              <w:numPr>
                <w:ilvl w:val="0"/>
                <w:numId w:val="14"/>
              </w:numPr>
              <w:ind w:firstLineChars="0"/>
            </w:pPr>
            <w:r>
              <w:rPr>
                <w:rFonts w:hint="eastAsia"/>
              </w:rPr>
              <w:t>学历证书</w:t>
            </w:r>
          </w:p>
          <w:p>
            <w:pPr>
              <w:pStyle w:val="34"/>
              <w:numPr>
                <w:ilvl w:val="0"/>
                <w:numId w:val="14"/>
              </w:numPr>
              <w:ind w:firstLineChars="0"/>
            </w:pPr>
            <w:r>
              <w:rPr>
                <w:rFonts w:hint="eastAsia"/>
              </w:rPr>
              <w:t>培训文件</w:t>
            </w:r>
          </w:p>
          <w:p>
            <w:pPr>
              <w:pStyle w:val="34"/>
              <w:numPr>
                <w:ilvl w:val="0"/>
                <w:numId w:val="14"/>
              </w:numPr>
              <w:ind w:firstLineChars="0"/>
            </w:pPr>
            <w:r>
              <w:rPr>
                <w:rFonts w:hint="eastAsia"/>
              </w:rPr>
              <w:t>资格证书</w:t>
            </w:r>
          </w:p>
          <w:p/>
          <w:p>
            <w:r>
              <w:rPr>
                <w:rFonts w:ascii="Cambria Math" w:hAnsi="Cambria Math" w:cs="Cambria Math"/>
              </w:rPr>
              <w:t>◆</w:t>
            </w:r>
            <w:r>
              <w:t>组织制定了</w:t>
            </w:r>
            <w:r>
              <w:rPr>
                <w:rFonts w:hint="eastAsia"/>
                <w:u w:val="single"/>
              </w:rPr>
              <w:t xml:space="preserve"> 2019  </w:t>
            </w:r>
            <w:r>
              <w:rPr>
                <w:rFonts w:hint="eastAsia"/>
              </w:rPr>
              <w:t>年度</w:t>
            </w:r>
            <w:r>
              <w:t>的</w:t>
            </w:r>
            <w:r>
              <w:rPr>
                <w:rFonts w:hint="eastAsia"/>
              </w:rPr>
              <w:t>HACCP知识方面的</w:t>
            </w:r>
            <w:r>
              <w:t>培训计划</w:t>
            </w:r>
            <w:r>
              <w:rPr>
                <w:rFonts w:hint="eastAsia"/>
              </w:rPr>
              <w:t>；包括了 GMP/SSOP/HACCP的内容。</w:t>
            </w:r>
          </w:p>
          <w:p/>
          <w:p>
            <w:r>
              <w:rPr>
                <w:rFonts w:hint="eastAsia"/>
              </w:rPr>
              <w:t>以下培训记录被抽查：</w:t>
            </w:r>
          </w:p>
          <w:p>
            <w:pPr>
              <w:pStyle w:val="34"/>
              <w:numPr>
                <w:ilvl w:val="0"/>
                <w:numId w:val="15"/>
              </w:numPr>
              <w:ind w:firstLineChars="0"/>
            </w:pPr>
            <w:r>
              <w:rPr>
                <w:rFonts w:hint="eastAsia"/>
                <w:color w:val="0000FF"/>
                <w:u w:val="single"/>
              </w:rPr>
              <w:t>2019年</w:t>
            </w:r>
            <w:r>
              <w:rPr>
                <w:color w:val="0000FF"/>
                <w:u w:val="single"/>
              </w:rPr>
              <w:t>9</w:t>
            </w:r>
            <w:r>
              <w:rPr>
                <w:rFonts w:hint="eastAsia"/>
                <w:color w:val="0000FF"/>
                <w:u w:val="single"/>
              </w:rPr>
              <w:t>月</w:t>
            </w:r>
            <w:r>
              <w:rPr>
                <w:color w:val="0000FF"/>
                <w:u w:val="single"/>
              </w:rPr>
              <w:t>3</w:t>
            </w:r>
            <w:r>
              <w:rPr>
                <w:rFonts w:hint="eastAsia"/>
                <w:color w:val="0000FF"/>
                <w:u w:val="single"/>
              </w:rPr>
              <w:t>日</w:t>
            </w:r>
            <w:r>
              <w:rPr>
                <w:rFonts w:hint="eastAsia"/>
              </w:rPr>
              <w:t>食品安全知识培训</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CCP点和消毒等培训。</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 xml:space="preserve">食品安全法规培训 </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人员健康卫生控制培训</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ISO22000标准内部培训</w:t>
            </w:r>
          </w:p>
          <w:p>
            <w:pPr>
              <w:rPr>
                <w:color w:val="000000"/>
              </w:rPr>
            </w:pPr>
            <w:r>
              <w:rPr>
                <w:color w:val="0000FF"/>
              </w:rPr>
              <w:t>□</w:t>
            </w:r>
            <w:r>
              <w:rPr>
                <w:rFonts w:hint="eastAsia"/>
              </w:rPr>
              <w:t>微生物基础知识</w:t>
            </w:r>
          </w:p>
          <w:p>
            <w:pPr>
              <w:rPr>
                <w:color w:val="000000"/>
              </w:rPr>
            </w:pPr>
            <w:r>
              <w:rPr>
                <w:color w:val="0000FF"/>
              </w:rPr>
              <w:t>□</w:t>
            </w:r>
            <w:r>
              <w:rPr>
                <w:rFonts w:hint="eastAsia"/>
              </w:rPr>
              <w:t>食品添加剂使用标准</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HACCP标准培训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jc w:val="left"/>
              <w:rPr>
                <w:b/>
                <w:szCs w:val="18"/>
                <w:lang w:val="en-GB"/>
              </w:rPr>
            </w:pPr>
            <w:r>
              <w:rPr>
                <w:rFonts w:hint="eastAsia"/>
                <w:b/>
                <w:szCs w:val="18"/>
                <w:lang w:val="en-GB"/>
              </w:rPr>
              <w:t>良好生产规范（GMP）</w:t>
            </w:r>
          </w:p>
          <w:p>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企业根据生产和过程的具体情况，按照下列法规制定了GMP的文件：</w:t>
            </w:r>
          </w:p>
          <w:p>
            <w:pPr>
              <w:pStyle w:val="34"/>
              <w:numPr>
                <w:ilvl w:val="0"/>
                <w:numId w:val="16"/>
              </w:numPr>
              <w:autoSpaceDE w:val="0"/>
              <w:autoSpaceDN w:val="0"/>
              <w:adjustRightInd w:val="0"/>
              <w:ind w:firstLineChars="0"/>
              <w:jc w:val="left"/>
              <w:rPr>
                <w:color w:val="0000FF"/>
              </w:rPr>
            </w:pPr>
            <w:r>
              <w:rPr>
                <w:rFonts w:hint="eastAsia"/>
                <w:color w:val="0000FF"/>
                <w:szCs w:val="21"/>
              </w:rPr>
              <w:t>GB/T 27306-2008《食品安全管理体系 餐饮业要求》</w:t>
            </w:r>
            <w:r>
              <w:rPr>
                <w:rFonts w:hint="eastAsia"/>
                <w:color w:val="0000FF"/>
              </w:rPr>
              <w:t>；</w:t>
            </w:r>
          </w:p>
          <w:p>
            <w:pPr>
              <w:pStyle w:val="34"/>
              <w:numPr>
                <w:ilvl w:val="0"/>
                <w:numId w:val="16"/>
              </w:numPr>
              <w:autoSpaceDE w:val="0"/>
              <w:autoSpaceDN w:val="0"/>
              <w:adjustRightInd w:val="0"/>
              <w:ind w:firstLineChars="0"/>
              <w:jc w:val="left"/>
              <w:rPr>
                <w:color w:val="0000FF"/>
              </w:rPr>
            </w:pPr>
            <w:r>
              <w:rPr>
                <w:rFonts w:hint="eastAsia" w:ascii="宋体" w:hAnsi="宋体"/>
                <w:color w:val="0000FF"/>
                <w:szCs w:val="21"/>
              </w:rPr>
              <w:t>G</w:t>
            </w:r>
            <w:r>
              <w:rPr>
                <w:rFonts w:ascii="宋体" w:hAnsi="宋体"/>
                <w:color w:val="0000FF"/>
                <w:szCs w:val="21"/>
              </w:rPr>
              <w:t>B/T33497-2017</w:t>
            </w:r>
            <w:r>
              <w:rPr>
                <w:rFonts w:hint="eastAsia"/>
                <w:color w:val="0000FF"/>
              </w:rPr>
              <w:t>《</w:t>
            </w:r>
            <w:r>
              <w:rPr>
                <w:rFonts w:hint="eastAsia" w:ascii="宋体" w:hAnsi="宋体"/>
                <w:color w:val="0000FF"/>
                <w:szCs w:val="21"/>
              </w:rPr>
              <w:t>餐饮企业质量管理规范</w:t>
            </w:r>
            <w:r>
              <w:rPr>
                <w:rFonts w:hint="eastAsia"/>
                <w:color w:val="0000FF"/>
              </w:rPr>
              <w:t>》；</w:t>
            </w:r>
          </w:p>
          <w:p>
            <w:pPr>
              <w:widowControl/>
              <w:numPr>
                <w:ilvl w:val="0"/>
                <w:numId w:val="0"/>
              </w:numPr>
              <w:spacing w:before="20" w:after="40" w:line="240" w:lineRule="atLeast"/>
              <w:ind w:leftChars="0" w:right="57" w:rightChars="0"/>
              <w:jc w:val="left"/>
              <w:rPr>
                <w:color w:val="0000FF"/>
                <w:szCs w:val="18"/>
                <w:lang w:val="en-GB"/>
              </w:rPr>
            </w:pPr>
          </w:p>
          <w:p>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szCs w:val="21"/>
              </w:rPr>
              <w:t>。</w:t>
            </w:r>
          </w:p>
          <w:p>
            <w:pPr>
              <w:tabs>
                <w:tab w:val="left" w:pos="461"/>
                <w:tab w:val="left" w:pos="2977"/>
              </w:tabs>
              <w:spacing w:before="20" w:line="240" w:lineRule="atLeast"/>
              <w:ind w:left="35" w:right="57"/>
              <w:jc w:val="left"/>
              <w:rPr>
                <w:b/>
                <w:szCs w:val="18"/>
                <w:lang w:val="en-GB"/>
              </w:rPr>
            </w:pP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GMP检查记录：——每月</w:t>
            </w:r>
            <w:r>
              <w:rPr>
                <w:color w:val="0000FF"/>
                <w:szCs w:val="18"/>
                <w:lang w:val="en-GB"/>
              </w:rPr>
              <w:t>1</w:t>
            </w:r>
            <w:r>
              <w:rPr>
                <w:rFonts w:hint="eastAsia"/>
                <w:color w:val="0000FF"/>
                <w:szCs w:val="18"/>
                <w:lang w:val="en-GB"/>
              </w:rPr>
              <w:t>次</w:t>
            </w:r>
          </w:p>
          <w:p>
            <w:pPr>
              <w:tabs>
                <w:tab w:val="left" w:pos="461"/>
                <w:tab w:val="left" w:pos="2977"/>
              </w:tabs>
              <w:spacing w:before="20" w:line="240" w:lineRule="atLeast"/>
              <w:ind w:left="35" w:right="57"/>
              <w:jc w:val="left"/>
              <w:rPr>
                <w:color w:val="0000FF"/>
                <w:szCs w:val="18"/>
                <w:lang w:val="en-GB"/>
              </w:rPr>
            </w:pP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现场查看GMP的实施情况——</w:t>
            </w:r>
            <w:r>
              <w:rPr>
                <w:color w:val="0000FF"/>
                <w:szCs w:val="18"/>
                <w:lang w:val="en-GB"/>
              </w:rPr>
              <w:t>□</w:t>
            </w:r>
            <w:r>
              <w:rPr>
                <w:rFonts w:hint="eastAsia"/>
                <w:color w:val="0000FF"/>
                <w:szCs w:val="18"/>
                <w:lang w:val="en-GB"/>
              </w:rPr>
              <w:t xml:space="preserve">良好  </w:t>
            </w:r>
            <w:r>
              <w:rPr>
                <w:color w:val="0000FF"/>
                <w:szCs w:val="18"/>
                <w:lang w:val="en-GB"/>
              </w:rPr>
              <w:t>□</w:t>
            </w:r>
            <w:r>
              <w:rPr>
                <w:rFonts w:hint="eastAsia"/>
                <w:color w:val="0000FF"/>
                <w:szCs w:val="18"/>
                <w:lang w:val="en-GB"/>
              </w:rPr>
              <w:t xml:space="preserve">不良  </w:t>
            </w:r>
            <w:r>
              <w:rPr>
                <w:rFonts w:hint="eastAsia" w:ascii="宋体" w:hAnsi="宋体"/>
                <w:color w:val="0000FF"/>
                <w:szCs w:val="18"/>
                <w:lang w:val="en-GB"/>
              </w:rPr>
              <w:t>■</w:t>
            </w:r>
            <w:r>
              <w:rPr>
                <w:color w:val="0000FF"/>
                <w:szCs w:val="18"/>
                <w:lang w:val="en-GB"/>
              </w:rPr>
              <w:t>基本符合</w:t>
            </w: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lang w:val="en-GB"/>
              </w:rPr>
              <w:t>。</w:t>
            </w: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right="57"/>
              <w:jc w:val="left"/>
              <w:rPr>
                <w:b/>
                <w:szCs w:val="18"/>
                <w:lang w:val="en-GB"/>
              </w:rPr>
            </w:pPr>
            <w:r>
              <w:rPr>
                <w:rFonts w:hint="eastAsia"/>
                <w:b/>
                <w:szCs w:val="18"/>
                <w:lang w:val="en-GB"/>
              </w:rPr>
              <w:t>卫生标准操作程序（SSOP）</w:t>
            </w:r>
            <w:r>
              <w:rPr>
                <w:rFonts w:hint="eastAsia"/>
                <w:b/>
                <w:szCs w:val="18"/>
                <w:lang w:val="en-GB"/>
              </w:rPr>
              <w:tab/>
            </w:r>
          </w:p>
          <w:p>
            <w:pPr>
              <w:snapToGrid w:val="0"/>
              <w:spacing w:line="264" w:lineRule="auto"/>
              <w:jc w:val="left"/>
              <w:rPr>
                <w:szCs w:val="21"/>
              </w:rPr>
            </w:pPr>
            <w:r>
              <w:rPr>
                <w:rFonts w:hAnsi="宋体"/>
                <w:sz w:val="18"/>
                <w:szCs w:val="18"/>
              </w:rPr>
              <w:t>◆</w:t>
            </w:r>
            <w:r>
              <w:rPr>
                <w:szCs w:val="21"/>
              </w:rPr>
              <w:t>前提方案包括</w:t>
            </w:r>
            <w:r>
              <w:rPr>
                <w:rFonts w:hint="eastAsia"/>
                <w:szCs w:val="21"/>
              </w:rPr>
              <w:t>了</w:t>
            </w:r>
            <w:r>
              <w:rPr>
                <w:szCs w:val="21"/>
              </w:rPr>
              <w:t>以下的内容：</w:t>
            </w:r>
          </w:p>
          <w:p>
            <w:pPr>
              <w:snapToGrid w:val="0"/>
              <w:spacing w:line="264" w:lineRule="auto"/>
              <w:jc w:val="left"/>
              <w:rPr>
                <w:szCs w:val="21"/>
              </w:rPr>
            </w:pPr>
            <w:r>
              <w:rPr>
                <w:szCs w:val="21"/>
              </w:rPr>
              <w:t>e)对食品造成的危害</w:t>
            </w:r>
          </w:p>
          <w:p>
            <w:pPr>
              <w:widowControl/>
              <w:numPr>
                <w:ilvl w:val="0"/>
                <w:numId w:val="17"/>
              </w:numPr>
              <w:spacing w:before="60" w:after="60"/>
              <w:jc w:val="left"/>
              <w:rPr>
                <w:rFonts w:ascii="宋体" w:hAnsi="宋体" w:cs="宋体"/>
                <w:color w:val="0000FF"/>
              </w:rPr>
            </w:pPr>
            <w:r>
              <w:rPr>
                <w:rFonts w:hint="eastAsia" w:ascii="宋体" w:hAnsi="宋体" w:cs="宋体"/>
                <w:color w:val="0000FF"/>
              </w:rPr>
              <w:t xml:space="preserve">a） 接触食品（包括原料、半成品、成品）或与食品有接触的物品的水和冰应当符合安全、卫生要求； </w:t>
            </w:r>
          </w:p>
          <w:p>
            <w:pPr>
              <w:widowControl/>
              <w:numPr>
                <w:ilvl w:val="0"/>
                <w:numId w:val="17"/>
              </w:numPr>
              <w:spacing w:before="60" w:after="60"/>
              <w:jc w:val="left"/>
              <w:rPr>
                <w:rFonts w:ascii="宋体" w:hAnsi="宋体" w:cs="宋体"/>
                <w:color w:val="0000FF"/>
              </w:rPr>
            </w:pPr>
            <w:r>
              <w:rPr>
                <w:rFonts w:hint="eastAsia" w:ascii="宋体" w:hAnsi="宋体" w:cs="宋体"/>
                <w:color w:val="0000FF"/>
              </w:rPr>
              <w:t xml:space="preserve">b） 接触食品的器具、手套和内外包装材料等应清洁、卫生和安全； </w:t>
            </w:r>
          </w:p>
          <w:p>
            <w:pPr>
              <w:widowControl/>
              <w:numPr>
                <w:ilvl w:val="0"/>
                <w:numId w:val="17"/>
              </w:numPr>
              <w:spacing w:before="60" w:after="60"/>
              <w:jc w:val="left"/>
              <w:rPr>
                <w:rFonts w:ascii="宋体" w:hAnsi="宋体" w:cs="宋体"/>
                <w:color w:val="0000FF"/>
              </w:rPr>
            </w:pPr>
            <w:r>
              <w:rPr>
                <w:rFonts w:hint="eastAsia" w:ascii="宋体" w:hAnsi="宋体" w:cs="宋体"/>
                <w:color w:val="0000FF"/>
              </w:rPr>
              <w:t xml:space="preserve">c） 确保食品免受交叉污染； </w:t>
            </w:r>
          </w:p>
          <w:p>
            <w:pPr>
              <w:widowControl/>
              <w:numPr>
                <w:ilvl w:val="0"/>
                <w:numId w:val="17"/>
              </w:numPr>
              <w:spacing w:before="60" w:after="60"/>
              <w:jc w:val="left"/>
              <w:rPr>
                <w:rFonts w:ascii="宋体" w:hAnsi="宋体" w:cs="宋体"/>
                <w:color w:val="0000FF"/>
              </w:rPr>
            </w:pPr>
            <w:r>
              <w:rPr>
                <w:rFonts w:hint="eastAsia" w:ascii="宋体" w:hAnsi="宋体" w:cs="宋体"/>
                <w:color w:val="0000FF"/>
              </w:rPr>
              <w:t xml:space="preserve">d） 保证操作人员手的清洗消毒，保持洗手间设施的清洁； </w:t>
            </w:r>
          </w:p>
          <w:p>
            <w:pPr>
              <w:widowControl/>
              <w:numPr>
                <w:ilvl w:val="0"/>
                <w:numId w:val="17"/>
              </w:numPr>
              <w:spacing w:before="60" w:after="60"/>
              <w:jc w:val="left"/>
              <w:rPr>
                <w:rFonts w:ascii="宋体" w:hAnsi="宋体" w:cs="宋体"/>
                <w:color w:val="0000FF"/>
              </w:rPr>
            </w:pPr>
            <w:r>
              <w:rPr>
                <w:rFonts w:hint="eastAsia" w:ascii="宋体" w:hAnsi="宋体" w:cs="宋体"/>
                <w:color w:val="0000FF"/>
              </w:rPr>
              <w:t xml:space="preserve">e） 防止润滑剂、燃料、清洗消毒用品、冷凝水及其他化学、物理和生物等污染物对食品造成安全危害； </w:t>
            </w:r>
          </w:p>
          <w:p>
            <w:pPr>
              <w:widowControl/>
              <w:numPr>
                <w:ilvl w:val="0"/>
                <w:numId w:val="17"/>
              </w:numPr>
              <w:spacing w:before="60" w:after="60"/>
              <w:jc w:val="left"/>
              <w:rPr>
                <w:rFonts w:ascii="宋体" w:hAnsi="宋体" w:cs="宋体"/>
                <w:color w:val="0000FF"/>
              </w:rPr>
            </w:pPr>
            <w:r>
              <w:rPr>
                <w:rFonts w:hint="eastAsia" w:ascii="宋体" w:hAnsi="宋体" w:cs="宋体"/>
                <w:color w:val="0000FF"/>
              </w:rPr>
              <w:t xml:space="preserve">f） 正确标注、存放和使用各类有毒化学物质； </w:t>
            </w:r>
          </w:p>
          <w:p>
            <w:pPr>
              <w:widowControl/>
              <w:numPr>
                <w:ilvl w:val="0"/>
                <w:numId w:val="17"/>
              </w:numPr>
              <w:spacing w:before="60" w:after="60"/>
              <w:jc w:val="left"/>
              <w:rPr>
                <w:rFonts w:ascii="宋体" w:hAnsi="宋体" w:cs="宋体"/>
                <w:color w:val="0000FF"/>
              </w:rPr>
            </w:pPr>
            <w:r>
              <w:rPr>
                <w:rFonts w:hint="eastAsia" w:ascii="宋体" w:hAnsi="宋体" w:cs="宋体"/>
                <w:color w:val="0000FF"/>
              </w:rPr>
              <w:t xml:space="preserve">g） 保证与食品接触的员工的身体健康和卫生； </w:t>
            </w:r>
          </w:p>
          <w:p>
            <w:pPr>
              <w:widowControl/>
              <w:numPr>
                <w:ilvl w:val="0"/>
                <w:numId w:val="17"/>
              </w:numPr>
              <w:snapToGrid w:val="0"/>
              <w:spacing w:before="40" w:after="40" w:line="264" w:lineRule="auto"/>
              <w:jc w:val="left"/>
              <w:rPr>
                <w:szCs w:val="21"/>
              </w:rPr>
            </w:pPr>
            <w:r>
              <w:rPr>
                <w:rFonts w:hint="eastAsia" w:ascii="宋体" w:hAnsi="宋体" w:cs="宋体"/>
                <w:color w:val="0000FF"/>
              </w:rPr>
              <w:t>h） 清除和预防鼠害、虫害。</w:t>
            </w:r>
          </w:p>
          <w:p>
            <w:pPr>
              <w:tabs>
                <w:tab w:val="left" w:pos="510"/>
              </w:tabs>
              <w:autoSpaceDE w:val="0"/>
              <w:autoSpaceDN w:val="0"/>
              <w:adjustRightInd w:val="0"/>
              <w:ind w:right="6"/>
              <w:jc w:val="left"/>
              <w:rPr>
                <w:szCs w:val="21"/>
                <w:lang w:val="en-GB"/>
              </w:rPr>
            </w:pPr>
          </w:p>
          <w:p>
            <w:pPr>
              <w:tabs>
                <w:tab w:val="left" w:pos="461"/>
                <w:tab w:val="left" w:pos="2977"/>
              </w:tabs>
              <w:spacing w:before="20" w:line="240" w:lineRule="atLeast"/>
              <w:ind w:left="35" w:right="57"/>
              <w:jc w:val="left"/>
              <w:rPr>
                <w:color w:val="0000FF"/>
                <w:szCs w:val="18"/>
                <w:lang w:val="en-GB"/>
              </w:rPr>
            </w:pPr>
            <w:r>
              <w:rPr>
                <w:szCs w:val="21"/>
              </w:rPr>
              <w:t>◆ SSOP</w:t>
            </w:r>
            <w:r>
              <w:rPr>
                <w:rFonts w:hint="eastAsia"/>
                <w:szCs w:val="21"/>
              </w:rPr>
              <w:t>的实施</w:t>
            </w:r>
            <w:r>
              <w:rPr>
                <w:szCs w:val="21"/>
              </w:rPr>
              <w:t>记录</w:t>
            </w:r>
            <w:r>
              <w:rPr>
                <w:rFonts w:hint="eastAsia"/>
                <w:szCs w:val="21"/>
              </w:rPr>
              <w:t>——</w:t>
            </w:r>
            <w:r>
              <w:rPr>
                <w:rFonts w:hint="eastAsia"/>
                <w:color w:val="0000FF"/>
                <w:szCs w:val="18"/>
                <w:lang w:val="en-GB"/>
              </w:rPr>
              <w:t>每月</w:t>
            </w:r>
            <w:r>
              <w:rPr>
                <w:color w:val="0000FF"/>
                <w:szCs w:val="18"/>
                <w:lang w:val="en-GB"/>
              </w:rPr>
              <w:t>1</w:t>
            </w:r>
            <w:r>
              <w:rPr>
                <w:rFonts w:hint="eastAsia"/>
                <w:color w:val="0000FF"/>
                <w:szCs w:val="18"/>
                <w:lang w:val="en-GB"/>
              </w:rPr>
              <w:t>次</w:t>
            </w:r>
          </w:p>
          <w:p>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水源水、接触产品的冰/蒸汽的水质检测报告（水质委托第三方检测）</w:t>
            </w:r>
          </w:p>
          <w:p>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 ——有病请假不上岗</w:t>
            </w:r>
          </w:p>
          <w:p>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 xml:space="preserve">外来人员健康管理记录 </w:t>
            </w:r>
          </w:p>
          <w:p>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 xml:space="preserve">消毒液配制记录 </w:t>
            </w:r>
          </w:p>
          <w:p>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 xml:space="preserve">灭鼠/灭蚊蝇/灭蟑螂记录——每天检查 </w:t>
            </w:r>
          </w:p>
          <w:p>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 xml:space="preserve">   有餐具消毒剂和洗洁精                         </w:t>
            </w:r>
          </w:p>
          <w:p>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pPr>
              <w:widowControl/>
              <w:numPr>
                <w:ilvl w:val="0"/>
                <w:numId w:val="18"/>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pPr>
              <w:tabs>
                <w:tab w:val="left" w:pos="510"/>
              </w:tabs>
              <w:autoSpaceDE w:val="0"/>
              <w:autoSpaceDN w:val="0"/>
              <w:adjustRightInd w:val="0"/>
              <w:ind w:right="6"/>
              <w:jc w:val="left"/>
              <w:rPr>
                <w:b/>
                <w:szCs w:val="18"/>
              </w:rPr>
            </w:pPr>
          </w:p>
          <w:p>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现场查看SSOP的实施情况</w:t>
            </w:r>
            <w:r>
              <w:rPr>
                <w:rFonts w:hint="eastAsia"/>
                <w:color w:val="0000FF"/>
                <w:szCs w:val="18"/>
                <w:lang w:val="en-GB"/>
              </w:rPr>
              <w:t>——</w:t>
            </w:r>
          </w:p>
          <w:p>
            <w:pPr>
              <w:tabs>
                <w:tab w:val="left" w:pos="461"/>
                <w:tab w:val="left" w:pos="2977"/>
              </w:tabs>
              <w:spacing w:before="20" w:line="240" w:lineRule="atLeast"/>
              <w:ind w:left="35" w:right="57"/>
              <w:jc w:val="left"/>
              <w:rPr>
                <w:color w:val="0000FF"/>
                <w:szCs w:val="18"/>
                <w:lang w:val="en-GB"/>
              </w:rPr>
            </w:pPr>
            <w:r>
              <w:rPr>
                <w:color w:val="0000FF"/>
                <w:szCs w:val="18"/>
                <w:lang w:val="en-GB"/>
              </w:rPr>
              <w:t>□</w:t>
            </w:r>
            <w:r>
              <w:rPr>
                <w:rFonts w:hint="eastAsia"/>
                <w:color w:val="0000FF"/>
                <w:szCs w:val="18"/>
                <w:lang w:val="en-GB"/>
              </w:rPr>
              <w:t xml:space="preserve">良好  </w:t>
            </w:r>
            <w:r>
              <w:rPr>
                <w:color w:val="0000FF"/>
                <w:szCs w:val="18"/>
                <w:lang w:val="en-GB"/>
              </w:rPr>
              <w:t>□</w:t>
            </w:r>
            <w:r>
              <w:rPr>
                <w:rFonts w:hint="eastAsia"/>
                <w:color w:val="0000FF"/>
                <w:szCs w:val="18"/>
                <w:lang w:val="en-GB"/>
              </w:rPr>
              <w:t xml:space="preserve">不良  </w:t>
            </w:r>
            <w:r>
              <w:rPr>
                <w:rFonts w:hint="eastAsia" w:ascii="宋体" w:hAnsi="宋体"/>
                <w:color w:val="0000FF"/>
                <w:szCs w:val="18"/>
                <w:lang w:val="en-GB"/>
              </w:rPr>
              <w:t>■</w:t>
            </w:r>
            <w:r>
              <w:rPr>
                <w:color w:val="0000FF"/>
                <w:szCs w:val="18"/>
                <w:lang w:val="en-GB"/>
              </w:rPr>
              <w:t>基本符合</w:t>
            </w:r>
            <w:r>
              <w:rPr>
                <w:rFonts w:hint="eastAsia"/>
                <w:color w:val="0000FF"/>
                <w:szCs w:val="18"/>
                <w:lang w:val="en-GB"/>
              </w:rPr>
              <w:t>，</w:t>
            </w:r>
          </w:p>
          <w:p>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 xml:space="preserve">不良的描述： </w:t>
            </w:r>
            <w:r>
              <w:rPr>
                <w:rFonts w:hint="eastAsia"/>
                <w:color w:val="0000FF"/>
                <w:szCs w:val="18"/>
                <w:u w:val="single"/>
                <w:lang w:val="en-GB"/>
              </w:rPr>
              <w:t xml:space="preserve">                                                      </w:t>
            </w:r>
            <w:r>
              <w:rPr>
                <w:rFonts w:hint="eastAsia"/>
                <w:color w:val="0000FF"/>
                <w:szCs w:val="18"/>
                <w:lang w:val="en-GB"/>
              </w:rPr>
              <w:t xml:space="preserve"> 。</w:t>
            </w:r>
          </w:p>
          <w:p>
            <w:pPr>
              <w:tabs>
                <w:tab w:val="left" w:pos="510"/>
              </w:tabs>
              <w:autoSpaceDE w:val="0"/>
              <w:autoSpaceDN w:val="0"/>
              <w:adjustRightInd w:val="0"/>
              <w:ind w:right="6"/>
              <w:jc w:val="left"/>
              <w:rPr>
                <w:b/>
                <w:szCs w:val="18"/>
                <w:lang w:val="en-GB"/>
              </w:rPr>
            </w:pPr>
          </w:p>
          <w:p>
            <w:pPr>
              <w:tabs>
                <w:tab w:val="left" w:pos="510"/>
              </w:tabs>
              <w:autoSpaceDE w:val="0"/>
              <w:autoSpaceDN w:val="0"/>
              <w:adjustRightInd w:val="0"/>
              <w:ind w:right="6"/>
              <w:jc w:val="left"/>
              <w:rPr>
                <w:szCs w:val="18"/>
                <w:lang w:val="en-GB"/>
              </w:rPr>
            </w:pPr>
            <w:r>
              <w:rPr>
                <w:rFonts w:hint="eastAsia"/>
                <w:szCs w:val="18"/>
                <w:lang w:val="en-GB"/>
              </w:rPr>
              <w:t>SSOP验证记录：</w:t>
            </w:r>
          </w:p>
          <w:p>
            <w:pPr>
              <w:widowControl/>
              <w:numPr>
                <w:ilvl w:val="0"/>
                <w:numId w:val="19"/>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pPr>
              <w:widowControl/>
              <w:numPr>
                <w:ilvl w:val="0"/>
                <w:numId w:val="19"/>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pPr>
              <w:widowControl/>
              <w:numPr>
                <w:ilvl w:val="0"/>
                <w:numId w:val="19"/>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pPr>
              <w:tabs>
                <w:tab w:val="left" w:pos="510"/>
              </w:tabs>
              <w:autoSpaceDE w:val="0"/>
              <w:autoSpaceDN w:val="0"/>
              <w:adjustRightInd w:val="0"/>
              <w:ind w:right="6"/>
              <w:jc w:val="left"/>
              <w:rPr>
                <w:b/>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pPr>
              <w:snapToGrid w:val="0"/>
              <w:spacing w:line="264" w:lineRule="auto"/>
              <w:rPr>
                <w:szCs w:val="21"/>
              </w:rPr>
            </w:pPr>
            <w:r>
              <w:rPr>
                <w:rFonts w:hint="eastAsia"/>
                <w:szCs w:val="21"/>
              </w:rPr>
              <w:t>建立和实施了</w:t>
            </w:r>
            <w:r>
              <w:rPr>
                <w:szCs w:val="21"/>
              </w:rPr>
              <w:t>供应商评价制度</w:t>
            </w:r>
            <w:r>
              <w:rPr>
                <w:rFonts w:hint="eastAsia"/>
                <w:szCs w:val="21"/>
              </w:rPr>
              <w:t>，</w:t>
            </w:r>
            <w:r>
              <w:rPr>
                <w:szCs w:val="21"/>
              </w:rPr>
              <w:t>包括不合格供方的淘汰制度</w:t>
            </w:r>
            <w:r>
              <w:rPr>
                <w:rFonts w:hint="eastAsia"/>
                <w:szCs w:val="21"/>
              </w:rPr>
              <w:t>；</w:t>
            </w:r>
          </w:p>
          <w:p>
            <w:pPr>
              <w:snapToGrid w:val="0"/>
              <w:spacing w:line="264" w:lineRule="auto"/>
              <w:rPr>
                <w:szCs w:val="21"/>
              </w:rPr>
            </w:pPr>
            <w:r>
              <w:rPr>
                <w:rFonts w:hint="eastAsia"/>
                <w:szCs w:val="21"/>
              </w:rPr>
              <w:t>通过资料评审、样品检测和试用、现场审核等方式，对供方的食品安全保证能力进行了评价，</w:t>
            </w:r>
            <w:r>
              <w:rPr>
                <w:rFonts w:hint="eastAsia"/>
                <w:szCs w:val="21"/>
                <w:highlight w:val="none"/>
              </w:rPr>
              <w:t>合格</w:t>
            </w:r>
            <w:r>
              <w:rPr>
                <w:szCs w:val="21"/>
                <w:highlight w:val="none"/>
              </w:rPr>
              <w:t>供方名单</w:t>
            </w:r>
            <w:r>
              <w:rPr>
                <w:rFonts w:hint="eastAsia"/>
                <w:szCs w:val="21"/>
                <w:highlight w:val="none"/>
              </w:rPr>
              <w:t>共</w:t>
            </w:r>
            <w:r>
              <w:rPr>
                <w:rFonts w:hint="eastAsia"/>
                <w:szCs w:val="21"/>
                <w:highlight w:val="none"/>
                <w:u w:val="single"/>
              </w:rPr>
              <w:t xml:space="preserve">       </w:t>
            </w:r>
            <w:r>
              <w:rPr>
                <w:szCs w:val="21"/>
                <w:highlight w:val="none"/>
                <w:u w:val="single"/>
              </w:rPr>
              <w:t>7</w:t>
            </w:r>
            <w:r>
              <w:rPr>
                <w:rFonts w:hint="eastAsia"/>
                <w:szCs w:val="21"/>
                <w:highlight w:val="none"/>
                <w:u w:val="single"/>
              </w:rPr>
              <w:t xml:space="preserve">    </w:t>
            </w:r>
            <w:r>
              <w:rPr>
                <w:rFonts w:hint="eastAsia"/>
                <w:szCs w:val="21"/>
                <w:highlight w:val="none"/>
              </w:rPr>
              <w:t>家</w:t>
            </w:r>
            <w:r>
              <w:rPr>
                <w:rFonts w:hint="eastAsia"/>
                <w:szCs w:val="21"/>
              </w:rPr>
              <w:t>：包括了下列供方：</w:t>
            </w:r>
          </w:p>
          <w:p>
            <w:pPr>
              <w:widowControl/>
              <w:numPr>
                <w:ilvl w:val="0"/>
                <w:numId w:val="8"/>
              </w:numPr>
              <w:snapToGrid w:val="0"/>
              <w:spacing w:before="40" w:after="40" w:line="264" w:lineRule="auto"/>
              <w:rPr>
                <w:color w:val="0000FF"/>
                <w:szCs w:val="21"/>
              </w:rPr>
            </w:pPr>
            <w:r>
              <w:rPr>
                <w:rFonts w:hint="eastAsia"/>
                <w:color w:val="0000FF"/>
                <w:szCs w:val="21"/>
              </w:rPr>
              <w:t>主要原材料——猪肉、虾、鱼、蔬菜、大米、大豆</w:t>
            </w:r>
          </w:p>
          <w:p>
            <w:pPr>
              <w:widowControl/>
              <w:numPr>
                <w:ilvl w:val="0"/>
                <w:numId w:val="8"/>
              </w:numPr>
              <w:snapToGrid w:val="0"/>
              <w:spacing w:before="40" w:after="40" w:line="264" w:lineRule="auto"/>
              <w:rPr>
                <w:color w:val="0000FF"/>
                <w:szCs w:val="21"/>
              </w:rPr>
            </w:pPr>
            <w:r>
              <w:rPr>
                <w:rFonts w:hint="eastAsia"/>
                <w:color w:val="0000FF"/>
                <w:szCs w:val="21"/>
              </w:rPr>
              <w:t>辅料——大豆油、酱油、调味料</w:t>
            </w:r>
          </w:p>
          <w:p>
            <w:pPr>
              <w:widowControl/>
              <w:numPr>
                <w:ilvl w:val="0"/>
                <w:numId w:val="8"/>
              </w:numPr>
              <w:snapToGrid w:val="0"/>
              <w:spacing w:before="40" w:after="40" w:line="264" w:lineRule="auto"/>
              <w:rPr>
                <w:color w:val="0000FF"/>
                <w:szCs w:val="21"/>
              </w:rPr>
            </w:pPr>
            <w:r>
              <w:rPr>
                <w:rFonts w:hint="eastAsia"/>
                <w:color w:val="0000FF"/>
                <w:szCs w:val="21"/>
              </w:rPr>
              <w:t>内包材——一次性餐盒、陶瓷或密胺酯餐具</w:t>
            </w:r>
          </w:p>
          <w:p>
            <w:pPr>
              <w:widowControl/>
              <w:numPr>
                <w:ilvl w:val="0"/>
                <w:numId w:val="8"/>
              </w:numPr>
              <w:snapToGrid w:val="0"/>
              <w:spacing w:before="40" w:after="40" w:line="264" w:lineRule="auto"/>
              <w:rPr>
                <w:szCs w:val="21"/>
              </w:rPr>
            </w:pPr>
          </w:p>
          <w:p>
            <w:pPr>
              <w:snapToGrid w:val="0"/>
              <w:spacing w:line="264" w:lineRule="auto"/>
              <w:rPr>
                <w:szCs w:val="21"/>
              </w:rPr>
            </w:pPr>
            <w:r>
              <w:rPr>
                <w:szCs w:val="21"/>
              </w:rPr>
              <w:t>原辅料、食品包装材料验收要求和程序，</w:t>
            </w:r>
            <w:r>
              <w:rPr>
                <w:rFonts w:hint="eastAsia"/>
                <w:szCs w:val="21"/>
              </w:rPr>
              <w:t>及索证</w:t>
            </w:r>
          </w:p>
          <w:p>
            <w:pPr>
              <w:widowControl/>
              <w:numPr>
                <w:ilvl w:val="0"/>
                <w:numId w:val="8"/>
              </w:numPr>
              <w:snapToGrid w:val="0"/>
              <w:spacing w:before="40" w:after="40" w:line="264" w:lineRule="auto"/>
              <w:rPr>
                <w:color w:val="0000FF"/>
                <w:szCs w:val="21"/>
              </w:rPr>
            </w:pPr>
            <w:r>
              <w:rPr>
                <w:rFonts w:hint="eastAsia"/>
                <w:color w:val="0000FF"/>
                <w:szCs w:val="21"/>
              </w:rPr>
              <w:t>主要原材料——猪肉，2</w:t>
            </w:r>
            <w:r>
              <w:rPr>
                <w:color w:val="0000FF"/>
                <w:szCs w:val="21"/>
              </w:rPr>
              <w:t>0200912</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widowControl/>
              <w:numPr>
                <w:ilvl w:val="0"/>
                <w:numId w:val="8"/>
              </w:numPr>
              <w:snapToGrid w:val="0"/>
              <w:spacing w:before="40" w:after="40" w:line="264" w:lineRule="auto"/>
              <w:rPr>
                <w:color w:val="0000FF"/>
                <w:szCs w:val="21"/>
              </w:rPr>
            </w:pPr>
            <w:r>
              <w:rPr>
                <w:rFonts w:hint="eastAsia"/>
                <w:color w:val="0000FF"/>
                <w:szCs w:val="21"/>
              </w:rPr>
              <w:t xml:space="preserve">          ——蔬菜，20</w:t>
            </w:r>
            <w:r>
              <w:rPr>
                <w:color w:val="0000FF"/>
                <w:szCs w:val="21"/>
              </w:rPr>
              <w:t>201018</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widowControl/>
              <w:numPr>
                <w:ilvl w:val="0"/>
                <w:numId w:val="8"/>
              </w:numPr>
              <w:snapToGrid w:val="0"/>
              <w:spacing w:before="40" w:after="40" w:line="264" w:lineRule="auto"/>
              <w:rPr>
                <w:color w:val="0000FF"/>
                <w:szCs w:val="21"/>
                <w:highlight w:val="none"/>
              </w:rPr>
            </w:pPr>
            <w:r>
              <w:rPr>
                <w:rFonts w:hint="eastAsia"/>
                <w:color w:val="0000FF"/>
                <w:szCs w:val="21"/>
                <w:highlight w:val="none"/>
              </w:rPr>
              <w:t>辅料——酱油，20</w:t>
            </w:r>
            <w:r>
              <w:rPr>
                <w:color w:val="0000FF"/>
                <w:szCs w:val="21"/>
                <w:highlight w:val="none"/>
              </w:rPr>
              <w:t>20</w:t>
            </w:r>
            <w:r>
              <w:rPr>
                <w:rFonts w:hint="eastAsia"/>
                <w:color w:val="0000FF"/>
                <w:szCs w:val="21"/>
                <w:highlight w:val="none"/>
                <w:lang w:val="en-US" w:eastAsia="zh-CN"/>
              </w:rPr>
              <w:t>0908</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widowControl/>
              <w:numPr>
                <w:ilvl w:val="0"/>
                <w:numId w:val="8"/>
              </w:numPr>
              <w:snapToGrid w:val="0"/>
              <w:spacing w:before="40" w:after="40" w:line="264" w:lineRule="auto"/>
              <w:rPr>
                <w:color w:val="0000FF"/>
                <w:szCs w:val="21"/>
              </w:rPr>
            </w:pPr>
            <w:r>
              <w:rPr>
                <w:rFonts w:hint="eastAsia"/>
                <w:color w:val="0000FF"/>
                <w:szCs w:val="21"/>
              </w:rPr>
              <w:t>内包材——餐具（汤勺），</w:t>
            </w: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020</w:t>
            </w:r>
            <w:r>
              <w:rPr>
                <w:rFonts w:hint="eastAsia"/>
                <w:color w:val="000000" w:themeColor="text1"/>
                <w:sz w:val="18"/>
                <w:szCs w:val="18"/>
                <w14:textFill>
                  <w14:solidFill>
                    <w14:schemeClr w14:val="tx1"/>
                  </w14:solidFill>
                </w14:textFill>
              </w:rPr>
              <w:t>0107</w:t>
            </w:r>
            <w:r>
              <w:rPr>
                <w:rFonts w:hint="eastAsia"/>
                <w:color w:val="0000FF"/>
                <w:szCs w:val="21"/>
              </w:rPr>
              <w:t>，企业自检/</w:t>
            </w:r>
            <w:r>
              <w:rPr>
                <w:rFonts w:hint="eastAsia" w:ascii="宋体" w:hAnsi="宋体"/>
                <w:color w:val="0000FF"/>
                <w:szCs w:val="21"/>
              </w:rPr>
              <w:t>■</w:t>
            </w:r>
            <w:r>
              <w:rPr>
                <w:rFonts w:hint="eastAsia"/>
                <w:color w:val="0000FF"/>
                <w:szCs w:val="21"/>
              </w:rPr>
              <w:t>委托检验/验证供方检测报告</w:t>
            </w:r>
          </w:p>
          <w:p>
            <w:pPr>
              <w:widowControl/>
              <w:numPr>
                <w:ilvl w:val="0"/>
                <w:numId w:val="8"/>
              </w:numPr>
              <w:snapToGrid w:val="0"/>
              <w:spacing w:before="40" w:after="40" w:line="264" w:lineRule="auto"/>
              <w:rPr>
                <w:color w:val="0000FF"/>
                <w:szCs w:val="21"/>
              </w:rPr>
            </w:pPr>
            <w:r>
              <w:rPr>
                <w:rFonts w:hint="eastAsia"/>
                <w:color w:val="0000FF"/>
                <w:szCs w:val="21"/>
              </w:rPr>
              <w:t>内包材——餐具（碗），</w:t>
            </w: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020</w:t>
            </w:r>
            <w:r>
              <w:rPr>
                <w:rFonts w:hint="eastAsia"/>
                <w:color w:val="000000" w:themeColor="text1"/>
                <w:sz w:val="18"/>
                <w:szCs w:val="18"/>
                <w14:textFill>
                  <w14:solidFill>
                    <w14:schemeClr w14:val="tx1"/>
                  </w14:solidFill>
                </w14:textFill>
              </w:rPr>
              <w:t>0107</w:t>
            </w:r>
            <w:r>
              <w:rPr>
                <w:rFonts w:hint="eastAsia"/>
                <w:color w:val="0000FF"/>
                <w:szCs w:val="21"/>
              </w:rPr>
              <w:t>，企业自检/</w:t>
            </w:r>
            <w:r>
              <w:rPr>
                <w:rFonts w:hint="eastAsia" w:ascii="宋体" w:hAnsi="宋体"/>
                <w:color w:val="0000FF"/>
                <w:szCs w:val="21"/>
              </w:rPr>
              <w:t>■</w:t>
            </w:r>
            <w:r>
              <w:rPr>
                <w:rFonts w:hint="eastAsia"/>
                <w:color w:val="0000FF"/>
                <w:szCs w:val="21"/>
              </w:rPr>
              <w:t>委托检验/验证供方检测报告</w:t>
            </w:r>
          </w:p>
          <w:p>
            <w:pPr>
              <w:widowControl/>
              <w:numPr>
                <w:ilvl w:val="0"/>
                <w:numId w:val="8"/>
              </w:numPr>
              <w:snapToGrid w:val="0"/>
              <w:spacing w:before="40" w:after="40" w:line="264" w:lineRule="auto"/>
              <w:rPr>
                <w:color w:val="0000FF"/>
                <w:szCs w:val="21"/>
              </w:rPr>
            </w:pPr>
          </w:p>
          <w:p>
            <w:pPr>
              <w:snapToGrid w:val="0"/>
              <w:spacing w:line="264" w:lineRule="auto"/>
              <w:rPr>
                <w:szCs w:val="21"/>
              </w:rPr>
            </w:pPr>
          </w:p>
          <w:p>
            <w:pPr>
              <w:snapToGrid w:val="0"/>
              <w:spacing w:line="264" w:lineRule="auto"/>
              <w:rPr>
                <w:szCs w:val="21"/>
              </w:rPr>
            </w:pPr>
            <w:r>
              <w:rPr>
                <w:szCs w:val="21"/>
              </w:rPr>
              <w:t>原辅料、食品包装材料的追溯标识</w:t>
            </w:r>
          </w:p>
          <w:p>
            <w:pPr>
              <w:widowControl/>
              <w:numPr>
                <w:ilvl w:val="0"/>
                <w:numId w:val="20"/>
              </w:numPr>
              <w:snapToGrid w:val="0"/>
              <w:spacing w:before="40" w:after="40" w:line="264" w:lineRule="auto"/>
              <w:rPr>
                <w:color w:val="0000FF"/>
                <w:szCs w:val="21"/>
              </w:rPr>
            </w:pPr>
            <w:r>
              <w:rPr>
                <w:rFonts w:hint="eastAsia"/>
                <w:color w:val="0000FF"/>
                <w:szCs w:val="21"/>
              </w:rPr>
              <w:t>进货记录</w:t>
            </w:r>
          </w:p>
          <w:p>
            <w:pPr>
              <w:widowControl/>
              <w:numPr>
                <w:ilvl w:val="0"/>
                <w:numId w:val="20"/>
              </w:numPr>
              <w:snapToGrid w:val="0"/>
              <w:spacing w:before="40" w:after="40" w:line="264" w:lineRule="auto"/>
              <w:rPr>
                <w:color w:val="0000FF"/>
                <w:szCs w:val="21"/>
              </w:rPr>
            </w:pPr>
            <w:r>
              <w:rPr>
                <w:rFonts w:hint="eastAsia"/>
                <w:color w:val="0000FF"/>
                <w:szCs w:val="21"/>
              </w:rPr>
              <w:t>厨师</w:t>
            </w:r>
          </w:p>
          <w:p>
            <w:pPr>
              <w:widowControl/>
              <w:numPr>
                <w:ilvl w:val="0"/>
                <w:numId w:val="20"/>
              </w:numPr>
              <w:snapToGrid w:val="0"/>
              <w:spacing w:before="40" w:after="40" w:line="264" w:lineRule="auto"/>
              <w:rPr>
                <w:color w:val="0000FF"/>
                <w:szCs w:val="21"/>
              </w:rPr>
            </w:pPr>
            <w:r>
              <w:rPr>
                <w:rFonts w:hint="eastAsia"/>
                <w:color w:val="0000FF"/>
                <w:szCs w:val="21"/>
              </w:rPr>
              <w:t>区域</w:t>
            </w:r>
          </w:p>
          <w:p>
            <w:pPr>
              <w:widowControl/>
              <w:numPr>
                <w:ilvl w:val="0"/>
                <w:numId w:val="20"/>
              </w:numPr>
              <w:snapToGrid w:val="0"/>
              <w:spacing w:before="40" w:after="40" w:line="264" w:lineRule="auto"/>
              <w:rPr>
                <w:color w:val="0000FF"/>
                <w:szCs w:val="21"/>
              </w:rPr>
            </w:pPr>
            <w:r>
              <w:rPr>
                <w:rFonts w:hint="eastAsia"/>
                <w:color w:val="0000FF"/>
                <w:szCs w:val="21"/>
              </w:rPr>
              <w:t>餐食留样</w:t>
            </w:r>
          </w:p>
          <w:p>
            <w:pPr>
              <w:widowControl/>
              <w:numPr>
                <w:ilvl w:val="0"/>
                <w:numId w:val="20"/>
              </w:numPr>
              <w:snapToGrid w:val="0"/>
              <w:spacing w:before="40" w:after="40" w:line="264" w:lineRule="auto"/>
              <w:rPr>
                <w:szCs w:val="21"/>
              </w:rPr>
            </w:pPr>
          </w:p>
          <w:p>
            <w:pPr>
              <w:snapToGrid w:val="0"/>
              <w:spacing w:line="264" w:lineRule="auto"/>
              <w:rPr>
                <w:szCs w:val="21"/>
              </w:rPr>
            </w:pPr>
            <w:r>
              <w:rPr>
                <w:rFonts w:hint="eastAsia"/>
                <w:szCs w:val="21"/>
              </w:rPr>
              <w:t>企业使用</w:t>
            </w:r>
            <w:r>
              <w:rPr>
                <w:szCs w:val="21"/>
              </w:rPr>
              <w:t>食品添加剂</w:t>
            </w:r>
            <w:r>
              <w:rPr>
                <w:rFonts w:hint="eastAsia"/>
                <w:szCs w:val="21"/>
              </w:rPr>
              <w:t>符合/不符合GB2760</w:t>
            </w:r>
            <w:r>
              <w:rPr>
                <w:szCs w:val="21"/>
              </w:rPr>
              <w:t>的</w:t>
            </w:r>
            <w:r>
              <w:rPr>
                <w:rFonts w:hint="eastAsia"/>
                <w:szCs w:val="21"/>
              </w:rPr>
              <w:t>要求，如</w:t>
            </w:r>
            <w:r>
              <w:rPr>
                <w:szCs w:val="21"/>
              </w:rPr>
              <w:t>；</w:t>
            </w:r>
          </w:p>
          <w:p>
            <w:pPr>
              <w:widowControl/>
              <w:numPr>
                <w:ilvl w:val="0"/>
                <w:numId w:val="8"/>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不适用                           </w:t>
            </w:r>
            <w:r>
              <w:rPr>
                <w:rFonts w:hint="eastAsia"/>
                <w:color w:val="0000FF"/>
                <w:szCs w:val="21"/>
              </w:rPr>
              <w:t>。</w:t>
            </w:r>
          </w:p>
          <w:p>
            <w:pPr>
              <w:widowControl/>
              <w:numPr>
                <w:ilvl w:val="0"/>
                <w:numId w:val="8"/>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不适用                           </w:t>
            </w:r>
            <w:r>
              <w:rPr>
                <w:rFonts w:hint="eastAsia"/>
                <w:color w:val="0000FF"/>
                <w:szCs w:val="21"/>
              </w:rPr>
              <w:t>。</w:t>
            </w:r>
          </w:p>
          <w:p>
            <w:pPr>
              <w:snapToGrid w:val="0"/>
              <w:spacing w:line="264" w:lineRule="auto"/>
              <w:rPr>
                <w:szCs w:val="21"/>
              </w:rPr>
            </w:pPr>
          </w:p>
          <w:p>
            <w:pPr>
              <w:tabs>
                <w:tab w:val="left" w:pos="510"/>
              </w:tabs>
              <w:autoSpaceDE w:val="0"/>
              <w:autoSpaceDN w:val="0"/>
              <w:adjustRightInd w:val="0"/>
              <w:ind w:right="6"/>
              <w:rPr>
                <w:szCs w:val="21"/>
              </w:rPr>
            </w:pPr>
            <w:r>
              <w:rPr>
                <w:rFonts w:hint="eastAsia"/>
                <w:szCs w:val="21"/>
              </w:rPr>
              <w:t>具体的实施情况——</w:t>
            </w:r>
          </w:p>
          <w:p>
            <w:pPr>
              <w:tabs>
                <w:tab w:val="left" w:pos="510"/>
              </w:tabs>
              <w:autoSpaceDE w:val="0"/>
              <w:autoSpaceDN w:val="0"/>
              <w:adjustRightInd w:val="0"/>
              <w:ind w:right="6"/>
              <w:rPr>
                <w:b/>
                <w:szCs w:val="18"/>
                <w:lang w:val="en-GB"/>
              </w:rPr>
            </w:pPr>
            <w:r>
              <w:rPr>
                <w:rFonts w:hint="eastAsia"/>
                <w:b/>
                <w:szCs w:val="18"/>
                <w:lang w:val="en-GB"/>
              </w:rPr>
              <w:t>食品的贮存和运输</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pP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pPr>
              <w:tabs>
                <w:tab w:val="left" w:pos="510"/>
              </w:tabs>
              <w:autoSpaceDE w:val="0"/>
              <w:autoSpaceDN w:val="0"/>
              <w:adjustRightInd w:val="0"/>
              <w:ind w:right="6"/>
              <w:rPr>
                <w:b/>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安全贮存和运输过程中是/否避免日光直射、雨淋、显著的温湿度变化和剧烈撞击等，防止食品受到不良影响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rPr>
                <w:b/>
                <w:szCs w:val="18"/>
                <w:lang w:val="en-GB"/>
              </w:rPr>
            </w:pPr>
            <w:r>
              <w:rPr>
                <w:rFonts w:hint="eastAsia"/>
                <w:b/>
                <w:szCs w:val="18"/>
                <w:lang w:val="en-GB"/>
              </w:rPr>
              <w:t>维护保养计划</w:t>
            </w:r>
          </w:p>
          <w:p>
            <w:pPr>
              <w:snapToGrid w:val="0"/>
              <w:spacing w:line="264" w:lineRule="auto"/>
              <w:rPr>
                <w:szCs w:val="21"/>
              </w:rPr>
            </w:pPr>
            <w:r>
              <w:rPr>
                <w:rFonts w:hint="eastAsia"/>
                <w:szCs w:val="21"/>
              </w:rPr>
              <w:t>企业制订了</w:t>
            </w:r>
            <w:r>
              <w:rPr>
                <w:rFonts w:hint="eastAsia"/>
                <w:szCs w:val="21"/>
                <w:u w:val="single"/>
              </w:rPr>
              <w:t xml:space="preserve">   2019</w:t>
            </w:r>
            <w:r>
              <w:rPr>
                <w:szCs w:val="21"/>
                <w:u w:val="single"/>
              </w:rPr>
              <w:t xml:space="preserve">/2020 </w:t>
            </w:r>
            <w:r>
              <w:rPr>
                <w:rFonts w:hint="eastAsia"/>
                <w:szCs w:val="21"/>
                <w:u w:val="single"/>
              </w:rPr>
              <w:t xml:space="preserve"> </w:t>
            </w:r>
            <w:r>
              <w:rPr>
                <w:rFonts w:hint="eastAsia"/>
                <w:szCs w:val="21"/>
              </w:rPr>
              <w:t>年度的大堂</w:t>
            </w:r>
            <w:r>
              <w:rPr>
                <w:szCs w:val="21"/>
              </w:rPr>
              <w:t>、</w:t>
            </w:r>
            <w:r>
              <w:rPr>
                <w:rFonts w:hint="eastAsia"/>
                <w:szCs w:val="21"/>
              </w:rPr>
              <w:t>后厨</w:t>
            </w:r>
            <w:r>
              <w:rPr>
                <w:szCs w:val="21"/>
              </w:rPr>
              <w:t>、设施、设备等的维护保养计划</w:t>
            </w:r>
          </w:p>
          <w:p>
            <w:pPr>
              <w:snapToGrid w:val="0"/>
              <w:spacing w:line="264" w:lineRule="auto"/>
              <w:rPr>
                <w:szCs w:val="21"/>
              </w:rPr>
            </w:pPr>
            <w:r>
              <w:rPr>
                <w:rFonts w:hint="eastAsia"/>
                <w:szCs w:val="21"/>
              </w:rPr>
              <w:t>检查</w:t>
            </w:r>
            <w:r>
              <w:rPr>
                <w:szCs w:val="21"/>
              </w:rPr>
              <w:t>维护保养计划</w:t>
            </w:r>
            <w:r>
              <w:rPr>
                <w:rFonts w:hint="eastAsia"/>
                <w:szCs w:val="21"/>
              </w:rPr>
              <w:t>的具体实施记录</w:t>
            </w:r>
          </w:p>
          <w:p>
            <w:pPr>
              <w:widowControl/>
              <w:numPr>
                <w:ilvl w:val="0"/>
                <w:numId w:val="8"/>
              </w:numPr>
              <w:snapToGrid w:val="0"/>
              <w:spacing w:before="40" w:after="40" w:line="264" w:lineRule="auto"/>
              <w:rPr>
                <w:color w:val="0000FF"/>
                <w:szCs w:val="21"/>
              </w:rPr>
            </w:pPr>
            <w:r>
              <w:rPr>
                <w:rFonts w:hint="eastAsia"/>
                <w:color w:val="0000FF"/>
                <w:szCs w:val="21"/>
              </w:rPr>
              <w:t>餐厅设施</w:t>
            </w:r>
          </w:p>
          <w:p>
            <w:pPr>
              <w:widowControl/>
              <w:numPr>
                <w:ilvl w:val="0"/>
                <w:numId w:val="8"/>
              </w:numPr>
              <w:snapToGrid w:val="0"/>
              <w:spacing w:before="40" w:after="40" w:line="264" w:lineRule="auto"/>
              <w:rPr>
                <w:color w:val="0000FF"/>
                <w:szCs w:val="21"/>
              </w:rPr>
            </w:pPr>
            <w:r>
              <w:rPr>
                <w:rFonts w:hint="eastAsia"/>
                <w:color w:val="0000FF"/>
                <w:szCs w:val="21"/>
              </w:rPr>
              <w:t>区域设施</w:t>
            </w:r>
          </w:p>
          <w:p>
            <w:pPr>
              <w:widowControl/>
              <w:numPr>
                <w:ilvl w:val="0"/>
                <w:numId w:val="8"/>
              </w:numPr>
              <w:snapToGrid w:val="0"/>
              <w:spacing w:before="40" w:after="40" w:line="264" w:lineRule="auto"/>
              <w:rPr>
                <w:color w:val="0000FF"/>
                <w:szCs w:val="21"/>
              </w:rPr>
            </w:pPr>
            <w:r>
              <w:rPr>
                <w:rFonts w:hint="eastAsia"/>
                <w:color w:val="0000FF"/>
                <w:szCs w:val="21"/>
              </w:rPr>
              <w:t>大堂设施</w:t>
            </w:r>
          </w:p>
          <w:p>
            <w:pPr>
              <w:widowControl/>
              <w:numPr>
                <w:ilvl w:val="0"/>
                <w:numId w:val="8"/>
              </w:numPr>
              <w:snapToGrid w:val="0"/>
              <w:spacing w:before="40" w:after="40" w:line="264" w:lineRule="auto"/>
              <w:rPr>
                <w:szCs w:val="21"/>
              </w:rPr>
            </w:pPr>
            <w:r>
              <w:rPr>
                <w:rFonts w:hint="eastAsia"/>
                <w:color w:val="0000FF"/>
                <w:szCs w:val="21"/>
              </w:rPr>
              <w:t>后厨加工设备</w:t>
            </w:r>
          </w:p>
          <w:p>
            <w:pPr>
              <w:snapToGrid w:val="0"/>
              <w:spacing w:line="264" w:lineRule="auto"/>
              <w:rPr>
                <w:szCs w:val="21"/>
              </w:rPr>
            </w:pPr>
            <w:r>
              <w:rPr>
                <w:szCs w:val="21"/>
              </w:rPr>
              <w:t>现场</w:t>
            </w:r>
            <w:r>
              <w:rPr>
                <w:rFonts w:hint="eastAsia"/>
                <w:szCs w:val="21"/>
              </w:rPr>
              <w:t>观察大堂</w:t>
            </w:r>
            <w:r>
              <w:rPr>
                <w:szCs w:val="21"/>
              </w:rPr>
              <w:t>、</w:t>
            </w:r>
            <w:r>
              <w:rPr>
                <w:rFonts w:hint="eastAsia"/>
                <w:szCs w:val="21"/>
              </w:rPr>
              <w:t>后厨</w:t>
            </w:r>
            <w:r>
              <w:rPr>
                <w:szCs w:val="21"/>
              </w:rPr>
              <w:t>、设施、设备等</w:t>
            </w:r>
            <w:r>
              <w:rPr>
                <w:rFonts w:hint="eastAsia"/>
                <w:szCs w:val="21"/>
              </w:rPr>
              <w:t>具体状况</w:t>
            </w:r>
            <w:r>
              <w:rPr>
                <w:rFonts w:hint="eastAsia" w:ascii="宋体" w:hAnsi="宋体"/>
                <w:color w:val="0000FF"/>
                <w:szCs w:val="18"/>
                <w:lang w:val="en-GB"/>
              </w:rPr>
              <w:t>□</w:t>
            </w:r>
            <w:r>
              <w:rPr>
                <w:rFonts w:hint="eastAsia"/>
                <w:szCs w:val="21"/>
              </w:rPr>
              <w:t>良好/</w:t>
            </w:r>
            <w:r>
              <w:rPr>
                <w:rFonts w:hint="eastAsia" w:ascii="宋体" w:hAnsi="宋体"/>
                <w:color w:val="0000FF"/>
                <w:szCs w:val="18"/>
                <w:lang w:val="en-GB"/>
              </w:rPr>
              <w:t>■/基本符合□</w:t>
            </w:r>
            <w:r>
              <w:rPr>
                <w:rFonts w:hint="eastAsia"/>
                <w:szCs w:val="21"/>
              </w:rPr>
              <w:t>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8"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right="57"/>
              <w:rPr>
                <w:szCs w:val="21"/>
              </w:rPr>
            </w:pPr>
            <w:r>
              <w:rPr>
                <w:rFonts w:hint="eastAsia"/>
                <w:b/>
                <w:szCs w:val="18"/>
                <w:lang w:val="en-GB"/>
              </w:rPr>
              <w:t xml:space="preserve"> </w:t>
            </w:r>
            <w:r>
              <w:rPr>
                <w:b/>
                <w:szCs w:val="21"/>
              </w:rPr>
              <w:t>产品标识和可追溯性计划</w:t>
            </w:r>
          </w:p>
          <w:p>
            <w:pPr>
              <w:snapToGrid w:val="0"/>
              <w:spacing w:line="264" w:lineRule="auto"/>
              <w:rPr>
                <w:szCs w:val="21"/>
              </w:rPr>
            </w:pPr>
            <w:r>
              <w:rPr>
                <w:szCs w:val="21"/>
              </w:rPr>
              <w:t>在食品生产全过程中，使用适宜的方法识别产品并具有可追溯性；</w:t>
            </w:r>
          </w:p>
          <w:p>
            <w:pPr>
              <w:snapToGrid w:val="0"/>
              <w:spacing w:line="264" w:lineRule="auto"/>
              <w:rPr>
                <w:szCs w:val="21"/>
              </w:rPr>
            </w:pPr>
            <w:r>
              <w:rPr>
                <w:szCs w:val="21"/>
              </w:rPr>
              <w:t>对监控和验证要求标识产品的状态</w:t>
            </w:r>
          </w:p>
          <w:p>
            <w:pPr>
              <w:snapToGrid w:val="0"/>
              <w:spacing w:line="264" w:lineRule="auto"/>
              <w:rPr>
                <w:szCs w:val="21"/>
              </w:rPr>
            </w:pPr>
            <w:r>
              <w:rPr>
                <w:szCs w:val="21"/>
              </w:rPr>
              <w:t>产品发运记录，记录内容包括所有分销方、零售商、顾客或消费者</w:t>
            </w:r>
          </w:p>
          <w:p>
            <w:pPr>
              <w:jc w:val="left"/>
              <w:rPr>
                <w:lang w:val="en-GB"/>
              </w:rPr>
            </w:pPr>
            <w:r>
              <w:rPr>
                <w:rFonts w:hint="eastAsia"/>
                <w:lang w:val="en-GB"/>
              </w:rPr>
              <w:t>在本审核时，通过抽查保留的样品</w:t>
            </w:r>
            <w:r>
              <w:rPr>
                <w:lang w:val="en-GB"/>
              </w:rPr>
              <w:t>/</w:t>
            </w:r>
            <w:r>
              <w:rPr>
                <w:rFonts w:hint="eastAsia"/>
                <w:lang w:val="en-GB"/>
              </w:rPr>
              <w:t>产品</w:t>
            </w:r>
            <w:r>
              <w:rPr>
                <w:lang w:val="en-GB"/>
              </w:rPr>
              <w:t>_</w:t>
            </w:r>
            <w:r>
              <w:rPr>
                <w:rFonts w:hint="eastAsia"/>
                <w:b/>
                <w:color w:val="0000FF"/>
                <w:u w:val="single"/>
              </w:rPr>
              <w:t>产品名称</w:t>
            </w:r>
            <w:r>
              <w:rPr>
                <w:rFonts w:hint="eastAsia"/>
                <w:u w:val="single"/>
                <w:lang w:val="en-GB"/>
              </w:rPr>
              <w:t>：</w:t>
            </w:r>
            <w:r>
              <w:rPr>
                <w:rFonts w:hint="eastAsia"/>
                <w:b/>
                <w:color w:val="0000FF"/>
                <w:u w:val="single"/>
              </w:rPr>
              <w:t>糖醋里脊；批号： 20</w:t>
            </w:r>
            <w:r>
              <w:rPr>
                <w:b/>
                <w:color w:val="0000FF"/>
                <w:u w:val="single"/>
              </w:rPr>
              <w:t>20</w:t>
            </w:r>
            <w:r>
              <w:rPr>
                <w:rFonts w:hint="eastAsia"/>
                <w:b/>
                <w:color w:val="0000FF"/>
                <w:u w:val="single"/>
              </w:rPr>
              <w:t>-</w:t>
            </w:r>
            <w:r>
              <w:rPr>
                <w:b/>
                <w:color w:val="0000FF"/>
                <w:u w:val="single"/>
              </w:rPr>
              <w:t>10</w:t>
            </w:r>
            <w:r>
              <w:rPr>
                <w:rFonts w:hint="eastAsia"/>
                <w:b/>
                <w:color w:val="0000FF"/>
                <w:u w:val="single"/>
              </w:rPr>
              <w:t>-</w:t>
            </w:r>
            <w:r>
              <w:rPr>
                <w:b/>
                <w:color w:val="0000FF"/>
                <w:u w:val="single"/>
              </w:rPr>
              <w:t>18</w:t>
            </w:r>
            <w:r>
              <w:rPr>
                <w:color w:val="0000FF"/>
                <w:u w:val="single"/>
              </w:rPr>
              <w:t>_.</w:t>
            </w:r>
            <w:r>
              <w:rPr>
                <w:u w:val="single"/>
              </w:rPr>
              <w:t>_</w:t>
            </w:r>
            <w:r>
              <w:rPr>
                <w:rFonts w:hint="eastAsia"/>
                <w:lang w:val="en-GB"/>
              </w:rPr>
              <w:t>进行了标识和可追溯检查，结果有效。</w:t>
            </w:r>
          </w:p>
          <w:p>
            <w:pPr>
              <w:rPr>
                <w:b/>
              </w:rPr>
            </w:pPr>
            <w:r>
              <w:rPr>
                <w:b/>
              </w:rPr>
              <w:t>产品召回计划</w:t>
            </w:r>
          </w:p>
          <w:p>
            <w:pPr>
              <w:rPr>
                <w:szCs w:val="21"/>
              </w:rPr>
            </w:pPr>
            <w:r>
              <w:rPr>
                <w:szCs w:val="21"/>
              </w:rPr>
              <w:t>产品召回计划</w:t>
            </w:r>
            <w:r>
              <w:rPr>
                <w:rFonts w:hint="eastAsia"/>
                <w:szCs w:val="21"/>
              </w:rPr>
              <w:t>包括了下列内容：</w:t>
            </w:r>
          </w:p>
          <w:p>
            <w:pPr>
              <w:widowControl/>
              <w:numPr>
                <w:ilvl w:val="0"/>
                <w:numId w:val="11"/>
              </w:numPr>
              <w:spacing w:before="40" w:after="40"/>
              <w:rPr>
                <w:szCs w:val="21"/>
              </w:rPr>
            </w:pPr>
            <w:r>
              <w:rPr>
                <w:szCs w:val="21"/>
              </w:rPr>
              <w:t>启动和实施产品召回计划人员的职责和权限</w:t>
            </w:r>
          </w:p>
          <w:p>
            <w:pPr>
              <w:widowControl/>
              <w:numPr>
                <w:ilvl w:val="0"/>
                <w:numId w:val="11"/>
              </w:numPr>
              <w:spacing w:before="40" w:after="40"/>
              <w:rPr>
                <w:szCs w:val="21"/>
              </w:rPr>
            </w:pPr>
            <w:r>
              <w:rPr>
                <w:szCs w:val="21"/>
              </w:rPr>
              <w:t>产品召回行动需符合的相关法律、法规和其他相关要求</w:t>
            </w:r>
          </w:p>
          <w:p>
            <w:pPr>
              <w:widowControl/>
              <w:numPr>
                <w:ilvl w:val="0"/>
                <w:numId w:val="11"/>
              </w:numPr>
              <w:spacing w:before="40" w:after="40"/>
              <w:rPr>
                <w:szCs w:val="21"/>
              </w:rPr>
            </w:pPr>
            <w:r>
              <w:rPr>
                <w:szCs w:val="21"/>
              </w:rPr>
              <w:t>制定并实施受安全危害影响产品的召回措施</w:t>
            </w:r>
          </w:p>
          <w:p>
            <w:pPr>
              <w:widowControl/>
              <w:numPr>
                <w:ilvl w:val="0"/>
                <w:numId w:val="11"/>
              </w:numPr>
              <w:spacing w:before="40" w:after="40"/>
              <w:rPr>
                <w:szCs w:val="21"/>
              </w:rPr>
            </w:pPr>
            <w:r>
              <w:rPr>
                <w:szCs w:val="21"/>
              </w:rPr>
              <w:t>制定对召回的产品进行分析和处置的措施；</w:t>
            </w:r>
          </w:p>
          <w:p>
            <w:pPr>
              <w:tabs>
                <w:tab w:val="left" w:pos="510"/>
              </w:tabs>
              <w:autoSpaceDE w:val="0"/>
              <w:autoSpaceDN w:val="0"/>
              <w:adjustRightInd w:val="0"/>
              <w:ind w:right="6"/>
              <w:rPr>
                <w:szCs w:val="21"/>
              </w:rPr>
            </w:pPr>
            <w:r>
              <w:rPr>
                <w:rFonts w:hint="eastAsia"/>
                <w:color w:val="0000FF"/>
                <w:szCs w:val="21"/>
                <w:u w:val="single"/>
              </w:rPr>
              <w:t xml:space="preserve">2019  </w:t>
            </w:r>
            <w:r>
              <w:rPr>
                <w:rFonts w:hint="eastAsia"/>
                <w:color w:val="0000FF"/>
                <w:szCs w:val="21"/>
              </w:rPr>
              <w:t>年</w:t>
            </w:r>
            <w:r>
              <w:rPr>
                <w:rFonts w:hint="eastAsia"/>
                <w:color w:val="0000FF"/>
                <w:szCs w:val="21"/>
                <w:u w:val="single"/>
              </w:rPr>
              <w:t xml:space="preserve"> </w:t>
            </w:r>
            <w:r>
              <w:rPr>
                <w:color w:val="0000FF"/>
                <w:szCs w:val="21"/>
                <w:u w:val="single"/>
              </w:rPr>
              <w:t>11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 xml:space="preserve">18 </w:t>
            </w:r>
            <w:r>
              <w:rPr>
                <w:rFonts w:hint="eastAsia"/>
                <w:color w:val="0000FF"/>
                <w:szCs w:val="21"/>
              </w:rPr>
              <w:t>日</w:t>
            </w:r>
            <w:r>
              <w:rPr>
                <w:rFonts w:hint="eastAsia"/>
                <w:szCs w:val="21"/>
              </w:rPr>
              <w:t>进行了召回演练，产品</w:t>
            </w:r>
            <w:r>
              <w:rPr>
                <w:rFonts w:hint="eastAsia"/>
                <w:szCs w:val="21"/>
                <w:u w:val="single"/>
              </w:rPr>
              <w:t xml:space="preserve">  炒洋葱添加的调味料过期   </w:t>
            </w:r>
            <w:r>
              <w:rPr>
                <w:rFonts w:hint="eastAsia"/>
                <w:szCs w:val="21"/>
              </w:rPr>
              <w:t>，批号</w:t>
            </w:r>
            <w:r>
              <w:rPr>
                <w:rFonts w:hint="eastAsia"/>
                <w:szCs w:val="21"/>
                <w:u w:val="single"/>
              </w:rPr>
              <w:t xml:space="preserve">  2019-</w:t>
            </w:r>
            <w:r>
              <w:rPr>
                <w:szCs w:val="21"/>
                <w:u w:val="single"/>
              </w:rPr>
              <w:t>11</w:t>
            </w:r>
            <w:r>
              <w:rPr>
                <w:rFonts w:hint="eastAsia"/>
                <w:szCs w:val="21"/>
                <w:u w:val="single"/>
              </w:rPr>
              <w:t>-</w:t>
            </w:r>
            <w:r>
              <w:rPr>
                <w:szCs w:val="21"/>
                <w:u w:val="single"/>
              </w:rPr>
              <w:t>1</w:t>
            </w:r>
            <w:r>
              <w:rPr>
                <w:rFonts w:hint="eastAsia"/>
                <w:szCs w:val="21"/>
                <w:u w:val="single"/>
              </w:rPr>
              <w:t xml:space="preserve">8 </w:t>
            </w:r>
            <w:r>
              <w:rPr>
                <w:rFonts w:hint="eastAsia"/>
                <w:szCs w:val="21"/>
              </w:rPr>
              <w:t>，处置有效性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 xml:space="preserve">欠佳             </w:t>
            </w:r>
          </w:p>
          <w:p>
            <w:pPr>
              <w:tabs>
                <w:tab w:val="left" w:pos="510"/>
              </w:tabs>
              <w:autoSpaceDE w:val="0"/>
              <w:autoSpaceDN w:val="0"/>
              <w:adjustRightInd w:val="0"/>
              <w:ind w:right="6"/>
            </w:pPr>
          </w:p>
          <w:p>
            <w:pPr>
              <w:rPr>
                <w:szCs w:val="21"/>
              </w:rPr>
            </w:pPr>
            <w:r>
              <w:rPr>
                <w:rFonts w:hint="eastAsia"/>
                <w:szCs w:val="21"/>
              </w:rPr>
              <w:t>实际发生的产品</w:t>
            </w:r>
            <w:r>
              <w:rPr>
                <w:szCs w:val="21"/>
              </w:rPr>
              <w:t>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rPr>
                <w:color w:val="0000FF"/>
              </w:rPr>
            </w:pPr>
            <w:r>
              <w:rPr>
                <w:rFonts w:hint="eastAsia"/>
              </w:rPr>
              <w:t>•</w:t>
            </w:r>
            <w:r>
              <w:rPr>
                <w:rFonts w:hint="eastAsia"/>
              </w:rPr>
              <w:tab/>
            </w:r>
            <w:r>
              <w:rPr>
                <w:rFonts w:hint="eastAsia" w:ascii="宋体" w:hAnsi="宋体"/>
                <w:color w:val="0000FF"/>
                <w:szCs w:val="18"/>
                <w:lang w:val="en-GB"/>
              </w:rPr>
              <w:t>■</w:t>
            </w:r>
            <w:r>
              <w:rPr>
                <w:rFonts w:hint="eastAsia"/>
                <w:color w:val="0000FF"/>
              </w:rPr>
              <w:t>该公司没有发生实际的产品召回</w:t>
            </w:r>
          </w:p>
          <w:p>
            <w:pPr>
              <w:tabs>
                <w:tab w:val="left" w:pos="510"/>
              </w:tabs>
              <w:autoSpaceDE w:val="0"/>
              <w:autoSpaceDN w:val="0"/>
              <w:adjustRightInd w:val="0"/>
              <w:ind w:right="6"/>
              <w:rPr>
                <w:color w:val="0000FF"/>
                <w:szCs w:val="21"/>
              </w:rPr>
            </w:pPr>
            <w:r>
              <w:rPr>
                <w:rFonts w:hint="eastAsia"/>
              </w:rPr>
              <w:t>•</w:t>
            </w:r>
            <w:r>
              <w:tab/>
            </w:r>
            <w:r>
              <w:rPr>
                <w:rFonts w:hint="eastAsia" w:ascii="宋体" w:hAnsi="宋体"/>
                <w:color w:val="0000FF"/>
                <w:szCs w:val="18"/>
                <w:lang w:val="en-GB"/>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 xml:space="preserve">良好/欠佳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rPr>
                <w:b/>
                <w:szCs w:val="18"/>
                <w:lang w:val="en-GB"/>
              </w:rPr>
            </w:pPr>
            <w:r>
              <w:rPr>
                <w:rFonts w:hint="eastAsia"/>
                <w:b/>
                <w:szCs w:val="18"/>
                <w:lang w:val="en-GB"/>
              </w:rPr>
              <w:t>应急预案</w:t>
            </w:r>
          </w:p>
          <w:p>
            <w:pPr>
              <w:rPr>
                <w:szCs w:val="21"/>
              </w:rPr>
            </w:pPr>
            <w:r>
              <w:rPr>
                <w:szCs w:val="21"/>
              </w:rPr>
              <w:t>已识别的潜在事件或紧急情况</w:t>
            </w:r>
            <w:r>
              <w:rPr>
                <w:rFonts w:hint="eastAsia"/>
                <w:szCs w:val="21"/>
              </w:rPr>
              <w:t>、制订了</w:t>
            </w:r>
            <w:r>
              <w:rPr>
                <w:szCs w:val="21"/>
              </w:rPr>
              <w:t>应急准备与响应</w:t>
            </w:r>
            <w:r>
              <w:rPr>
                <w:rFonts w:hint="eastAsia"/>
                <w:szCs w:val="21"/>
              </w:rPr>
              <w:t>预案，能够</w:t>
            </w:r>
            <w:r>
              <w:rPr>
                <w:szCs w:val="21"/>
              </w:rPr>
              <w:t>防止或减少食品安全危害</w:t>
            </w:r>
            <w:r>
              <w:rPr>
                <w:rFonts w:hint="eastAsia"/>
                <w:szCs w:val="21"/>
              </w:rPr>
              <w:t>。</w:t>
            </w:r>
          </w:p>
          <w:p>
            <w:pPr>
              <w:tabs>
                <w:tab w:val="left" w:pos="510"/>
              </w:tabs>
              <w:autoSpaceDE w:val="0"/>
              <w:autoSpaceDN w:val="0"/>
              <w:adjustRightInd w:val="0"/>
              <w:ind w:right="6"/>
              <w:rPr>
                <w:szCs w:val="21"/>
              </w:rPr>
            </w:pPr>
            <w:r>
              <w:rPr>
                <w:szCs w:val="21"/>
              </w:rPr>
              <w:t>对程序进行定期演练</w:t>
            </w:r>
            <w:r>
              <w:rPr>
                <w:rFonts w:hint="eastAsia"/>
                <w:szCs w:val="21"/>
              </w:rPr>
              <w:t>，</w:t>
            </w:r>
            <w:r>
              <w:rPr>
                <w:szCs w:val="21"/>
              </w:rPr>
              <w:t>对程序进行评审、修订的规定</w:t>
            </w:r>
            <w:r>
              <w:rPr>
                <w:rFonts w:hint="eastAsia"/>
                <w:szCs w:val="21"/>
              </w:rPr>
              <w:t>：</w:t>
            </w:r>
          </w:p>
          <w:p>
            <w:pPr>
              <w:tabs>
                <w:tab w:val="left" w:pos="510"/>
              </w:tabs>
              <w:autoSpaceDE w:val="0"/>
              <w:autoSpaceDN w:val="0"/>
              <w:adjustRightInd w:val="0"/>
              <w:ind w:right="6"/>
              <w:rPr>
                <w:szCs w:val="21"/>
              </w:rPr>
            </w:pPr>
          </w:p>
          <w:p>
            <w:pPr>
              <w:tabs>
                <w:tab w:val="left" w:pos="510"/>
              </w:tabs>
              <w:autoSpaceDE w:val="0"/>
              <w:autoSpaceDN w:val="0"/>
              <w:adjustRightInd w:val="0"/>
              <w:ind w:right="6"/>
              <w:rPr>
                <w:szCs w:val="21"/>
              </w:rPr>
            </w:pPr>
            <w:r>
              <w:rPr>
                <w:rFonts w:hint="eastAsia"/>
                <w:color w:val="0000FF"/>
                <w:szCs w:val="21"/>
                <w:u w:val="single"/>
              </w:rPr>
              <w:t xml:space="preserve"> 2019 </w:t>
            </w:r>
            <w:r>
              <w:rPr>
                <w:rFonts w:hint="eastAsia"/>
                <w:color w:val="0000FF"/>
                <w:szCs w:val="21"/>
              </w:rPr>
              <w:t>年</w:t>
            </w:r>
            <w:r>
              <w:rPr>
                <w:rFonts w:hint="eastAsia"/>
                <w:color w:val="0000FF"/>
                <w:szCs w:val="21"/>
                <w:u w:val="single"/>
              </w:rPr>
              <w:t xml:space="preserve">  </w:t>
            </w:r>
            <w:r>
              <w:rPr>
                <w:color w:val="0000FF"/>
                <w:szCs w:val="21"/>
                <w:u w:val="single"/>
              </w:rPr>
              <w:t>12</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13</w:t>
            </w:r>
            <w:r>
              <w:rPr>
                <w:rFonts w:hint="eastAsia"/>
                <w:color w:val="0000FF"/>
                <w:szCs w:val="21"/>
                <w:u w:val="single"/>
              </w:rPr>
              <w:t xml:space="preserve">    </w:t>
            </w:r>
            <w:r>
              <w:rPr>
                <w:rFonts w:hint="eastAsia"/>
                <w:color w:val="0000FF"/>
                <w:szCs w:val="21"/>
              </w:rPr>
              <w:t>日</w:t>
            </w:r>
            <w:r>
              <w:rPr>
                <w:rFonts w:hint="eastAsia"/>
                <w:szCs w:val="21"/>
              </w:rPr>
              <w:t>进行了应急预案的演练，处置有效性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 xml:space="preserve">欠佳  </w:t>
            </w:r>
            <w:r>
              <w:rPr>
                <w:rFonts w:hint="eastAsia"/>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rPr>
                <w:b/>
                <w:lang w:val="en-GB"/>
              </w:rPr>
            </w:pPr>
            <w:r>
              <w:rPr>
                <w:rFonts w:hint="eastAsia"/>
                <w:b/>
                <w:lang w:val="en-GB"/>
              </w:rPr>
              <w:t>HACCP计划的建立和实施</w:t>
            </w:r>
          </w:p>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预备步骤</w:t>
            </w:r>
            <w:r>
              <w:rPr>
                <w:rFonts w:hint="eastAsia"/>
                <w:b/>
                <w:lang w:val="en-GB"/>
              </w:rPr>
              <w:tab/>
            </w:r>
          </w:p>
          <w:p>
            <w:pPr>
              <w:tabs>
                <w:tab w:val="right" w:pos="3119"/>
              </w:tabs>
              <w:rPr>
                <w:szCs w:val="21"/>
              </w:rPr>
            </w:pPr>
            <w:r>
              <w:rPr>
                <w:rFonts w:hint="eastAsia"/>
                <w:szCs w:val="21"/>
              </w:rPr>
              <w:t>查看了</w:t>
            </w:r>
            <w:r>
              <w:rPr>
                <w:szCs w:val="21"/>
              </w:rPr>
              <w:t>HACCP小组成员的学历、经历、培训、批准以及活动的记录。</w:t>
            </w:r>
          </w:p>
          <w:p>
            <w:pPr>
              <w:rPr>
                <w:rFonts w:ascii="宋体" w:hAnsi="宋体" w:cs="宋体"/>
              </w:rPr>
            </w:pPr>
          </w:p>
          <w:p>
            <w:r>
              <w:rPr>
                <w:rFonts w:hint="eastAsia" w:ascii="宋体" w:hAnsi="宋体" w:cs="宋体"/>
              </w:rPr>
              <w:t>食品安全小组组长已公开任命。食品安全小组包括以下组员</w:t>
            </w:r>
            <w:r>
              <w:t>/</w:t>
            </w:r>
            <w:r>
              <w:rPr>
                <w:rFonts w:hint="eastAsia" w:ascii="宋体" w:hAnsi="宋体" w:cs="宋体"/>
              </w:rPr>
              <w:t>职能：</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lang w:val="en-GB"/>
                    </w:rPr>
                  </w:pPr>
                  <w:r>
                    <w:rPr>
                      <w:rFonts w:hint="eastAsia"/>
                      <w:lang w:val="en-GB"/>
                    </w:rPr>
                    <w:t>职责</w:t>
                  </w:r>
                </w:p>
              </w:tc>
              <w:tc>
                <w:tcPr>
                  <w:tcW w:w="3361" w:type="dxa"/>
                  <w:shd w:val="clear" w:color="auto" w:fill="FFFFFF"/>
                </w:tcPr>
                <w:p>
                  <w:pPr>
                    <w:rPr>
                      <w:lang w:val="en-GB"/>
                    </w:rPr>
                  </w:pPr>
                  <w:r>
                    <w:rPr>
                      <w:rFonts w:hint="eastAsia"/>
                      <w:lang w:val="en-GB"/>
                    </w:rPr>
                    <w:t>岗位名称</w:t>
                  </w:r>
                </w:p>
              </w:tc>
              <w:tc>
                <w:tcPr>
                  <w:tcW w:w="2334" w:type="dxa"/>
                  <w:shd w:val="clear" w:color="auto" w:fill="FFFFFF"/>
                </w:tcPr>
                <w:p>
                  <w:pPr>
                    <w:rPr>
                      <w:lang w:val="en-GB"/>
                    </w:rPr>
                  </w:pPr>
                  <w:r>
                    <w:rPr>
                      <w:rFonts w:hint="eastAsia"/>
                      <w:lang w:val="en-GB"/>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p>
              </w:tc>
              <w:tc>
                <w:tcPr>
                  <w:tcW w:w="3361" w:type="dxa"/>
                  <w:shd w:val="clear" w:color="auto" w:fill="FFFFFF"/>
                </w:tcPr>
                <w:p>
                  <w:pPr>
                    <w:rPr>
                      <w:color w:val="0000FF"/>
                      <w:lang w:val="en-GB"/>
                    </w:rPr>
                  </w:pPr>
                  <w:r>
                    <w:rPr>
                      <w:rFonts w:hint="eastAsia"/>
                      <w:color w:val="0000FF"/>
                      <w:lang w:val="en-GB"/>
                    </w:rPr>
                    <w:t>管理者代表 (食品安全小组组长)</w:t>
                  </w:r>
                </w:p>
              </w:tc>
              <w:tc>
                <w:tcPr>
                  <w:tcW w:w="2334" w:type="dxa"/>
                  <w:shd w:val="clear" w:color="auto" w:fill="FFFFFF"/>
                </w:tcPr>
                <w:p>
                  <w:pPr>
                    <w:rPr>
                      <w:color w:val="0000FF"/>
                      <w:lang w:val="en-GB"/>
                    </w:rPr>
                  </w:pPr>
                  <w:r>
                    <w:rPr>
                      <w:rFonts w:hint="eastAsia"/>
                      <w:color w:val="0000FF"/>
                      <w:lang w:val="en-GB"/>
                    </w:rPr>
                    <w:t>胡泽慧</w:t>
                  </w:r>
                  <w:r>
                    <w:rPr>
                      <w:color w:val="0000FF"/>
                      <w:lang w:val="en-GB"/>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人员管理</w:t>
                  </w:r>
                </w:p>
              </w:tc>
              <w:tc>
                <w:tcPr>
                  <w:tcW w:w="3361" w:type="dxa"/>
                  <w:shd w:val="clear" w:color="auto" w:fill="FFFFFF"/>
                </w:tcPr>
                <w:p>
                  <w:pPr>
                    <w:rPr>
                      <w:color w:val="0000FF"/>
                      <w:lang w:val="en-GB"/>
                    </w:rPr>
                  </w:pPr>
                  <w:r>
                    <w:rPr>
                      <w:rFonts w:hint="eastAsia"/>
                      <w:color w:val="0000FF"/>
                      <w:lang w:val="en-GB"/>
                    </w:rPr>
                    <w:t>综合部经理</w:t>
                  </w:r>
                </w:p>
              </w:tc>
              <w:tc>
                <w:tcPr>
                  <w:tcW w:w="2334" w:type="dxa"/>
                  <w:shd w:val="clear" w:color="auto" w:fill="FFFFFF"/>
                </w:tcPr>
                <w:p>
                  <w:pPr>
                    <w:rPr>
                      <w:color w:val="0000FF"/>
                      <w:lang w:val="en-GB"/>
                    </w:rPr>
                  </w:pPr>
                  <w:r>
                    <w:rPr>
                      <w:rFonts w:hint="eastAsia"/>
                      <w:color w:val="0000FF"/>
                      <w:lang w:val="en-GB"/>
                    </w:rPr>
                    <w:t>胡晓登</w:t>
                  </w:r>
                  <w:r>
                    <w:rPr>
                      <w:color w:val="0000FF"/>
                      <w:lang w:val="en-GB"/>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卫生质量控制</w:t>
                  </w:r>
                </w:p>
              </w:tc>
              <w:tc>
                <w:tcPr>
                  <w:tcW w:w="3361" w:type="dxa"/>
                  <w:shd w:val="clear" w:color="auto" w:fill="FFFFFF"/>
                </w:tcPr>
                <w:p>
                  <w:pPr>
                    <w:rPr>
                      <w:color w:val="0000FF"/>
                      <w:lang w:val="en-GB"/>
                    </w:rPr>
                  </w:pPr>
                  <w:r>
                    <w:rPr>
                      <w:rFonts w:hint="eastAsia"/>
                      <w:color w:val="0000FF"/>
                      <w:lang w:val="en-GB"/>
                    </w:rPr>
                    <w:t>餐饮管理部经理</w:t>
                  </w:r>
                  <w:r>
                    <w:rPr>
                      <w:rFonts w:hint="eastAsia"/>
                      <w:color w:val="0000FF"/>
                      <w:lang w:val="en-GB"/>
                    </w:rPr>
                    <w:tab/>
                  </w:r>
                </w:p>
              </w:tc>
              <w:tc>
                <w:tcPr>
                  <w:tcW w:w="2334" w:type="dxa"/>
                  <w:shd w:val="clear" w:color="auto" w:fill="FFFFFF"/>
                </w:tcPr>
                <w:p>
                  <w:pPr>
                    <w:rPr>
                      <w:color w:val="0000FF"/>
                      <w:lang w:val="en-GB"/>
                    </w:rPr>
                  </w:pPr>
                  <w:r>
                    <w:rPr>
                      <w:rFonts w:hint="eastAsia"/>
                      <w:color w:val="0000FF"/>
                      <w:lang w:val="en-GB"/>
                    </w:rPr>
                    <w:t>陈辉先生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食品加工</w:t>
                  </w:r>
                </w:p>
              </w:tc>
              <w:tc>
                <w:tcPr>
                  <w:tcW w:w="3361" w:type="dxa"/>
                  <w:shd w:val="clear" w:color="auto" w:fill="FFFFFF"/>
                </w:tcPr>
                <w:p>
                  <w:pPr>
                    <w:rPr>
                      <w:color w:val="0000FF"/>
                      <w:lang w:val="en-GB"/>
                    </w:rPr>
                  </w:pPr>
                  <w:r>
                    <w:rPr>
                      <w:rFonts w:hint="eastAsia"/>
                      <w:color w:val="0000FF"/>
                      <w:lang w:val="en-GB"/>
                    </w:rPr>
                    <w:t>餐饮管理部经理</w:t>
                  </w:r>
                  <w:r>
                    <w:rPr>
                      <w:rFonts w:hint="eastAsia"/>
                      <w:color w:val="0000FF"/>
                      <w:lang w:val="en-GB"/>
                    </w:rPr>
                    <w:tab/>
                  </w:r>
                </w:p>
              </w:tc>
              <w:tc>
                <w:tcPr>
                  <w:tcW w:w="2334" w:type="dxa"/>
                  <w:shd w:val="clear" w:color="auto" w:fill="FFFFFF"/>
                </w:tcPr>
                <w:p>
                  <w:pPr>
                    <w:rPr>
                      <w:color w:val="0000FF"/>
                      <w:lang w:val="en-GB"/>
                    </w:rPr>
                  </w:pPr>
                  <w:r>
                    <w:rPr>
                      <w:rFonts w:hint="eastAsia"/>
                      <w:color w:val="0000FF"/>
                      <w:lang w:val="en-GB"/>
                    </w:rPr>
                    <w:t>陈辉先生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原辅料采购</w:t>
                  </w:r>
                </w:p>
              </w:tc>
              <w:tc>
                <w:tcPr>
                  <w:tcW w:w="3361" w:type="dxa"/>
                  <w:shd w:val="clear" w:color="auto" w:fill="FFFFFF"/>
                </w:tcPr>
                <w:p>
                  <w:pPr>
                    <w:rPr>
                      <w:color w:val="0000FF"/>
                      <w:lang w:val="en-GB"/>
                    </w:rPr>
                  </w:pPr>
                  <w:r>
                    <w:rPr>
                      <w:rFonts w:hint="eastAsia"/>
                      <w:color w:val="0000FF"/>
                      <w:lang w:val="en-GB"/>
                    </w:rPr>
                    <w:t>运营部经理</w:t>
                  </w:r>
                </w:p>
              </w:tc>
              <w:tc>
                <w:tcPr>
                  <w:tcW w:w="2334" w:type="dxa"/>
                  <w:shd w:val="clear" w:color="auto" w:fill="FFFFFF"/>
                </w:tcPr>
                <w:p>
                  <w:pPr>
                    <w:rPr>
                      <w:color w:val="0000FF"/>
                      <w:lang w:val="en-GB"/>
                    </w:rPr>
                  </w:pPr>
                  <w:r>
                    <w:rPr>
                      <w:rFonts w:hint="eastAsia"/>
                      <w:color w:val="0000FF"/>
                      <w:lang w:val="en-GB"/>
                    </w:rPr>
                    <w:t>刘敏先生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仓储</w:t>
                  </w:r>
                </w:p>
              </w:tc>
              <w:tc>
                <w:tcPr>
                  <w:tcW w:w="3361" w:type="dxa"/>
                  <w:shd w:val="clear" w:color="auto" w:fill="FFFFFF"/>
                </w:tcPr>
                <w:p>
                  <w:pPr>
                    <w:rPr>
                      <w:color w:val="0000FF"/>
                      <w:lang w:val="en-GB"/>
                    </w:rPr>
                  </w:pPr>
                  <w:r>
                    <w:rPr>
                      <w:rFonts w:hint="eastAsia"/>
                      <w:color w:val="0000FF"/>
                      <w:lang w:val="en-GB"/>
                    </w:rPr>
                    <w:t>餐饮管理部经理</w:t>
                  </w:r>
                  <w:r>
                    <w:rPr>
                      <w:rFonts w:hint="eastAsia"/>
                      <w:color w:val="0000FF"/>
                      <w:lang w:val="en-GB"/>
                    </w:rPr>
                    <w:tab/>
                  </w:r>
                </w:p>
              </w:tc>
              <w:tc>
                <w:tcPr>
                  <w:tcW w:w="2334" w:type="dxa"/>
                  <w:shd w:val="clear" w:color="auto" w:fill="FFFFFF"/>
                </w:tcPr>
                <w:p>
                  <w:pPr>
                    <w:rPr>
                      <w:color w:val="0000FF"/>
                      <w:lang w:val="en-GB"/>
                    </w:rPr>
                  </w:pPr>
                  <w:r>
                    <w:rPr>
                      <w:rFonts w:hint="eastAsia"/>
                      <w:color w:val="0000FF"/>
                      <w:lang w:val="en-GB"/>
                    </w:rPr>
                    <w:t>陈辉先生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auto"/>
                </w:tcPr>
                <w:p>
                  <w:pPr>
                    <w:rPr>
                      <w:color w:val="0000FF"/>
                      <w:lang w:val="en-GB"/>
                    </w:rPr>
                  </w:pPr>
                </w:p>
              </w:tc>
              <w:tc>
                <w:tcPr>
                  <w:tcW w:w="3361" w:type="dxa"/>
                  <w:shd w:val="clear" w:color="auto" w:fill="auto"/>
                </w:tcPr>
                <w:p>
                  <w:pPr>
                    <w:rPr>
                      <w:color w:val="0000FF"/>
                      <w:lang w:val="en-GB"/>
                    </w:rPr>
                  </w:pPr>
                  <w:r>
                    <w:rPr>
                      <w:rFonts w:hint="eastAsia"/>
                      <w:color w:val="0000FF"/>
                      <w:lang w:val="en-GB"/>
                    </w:rPr>
                    <w:t>外部专家（无）</w:t>
                  </w:r>
                </w:p>
              </w:tc>
              <w:tc>
                <w:tcPr>
                  <w:tcW w:w="2334" w:type="dxa"/>
                  <w:shd w:val="clear" w:color="auto" w:fill="auto"/>
                </w:tcPr>
                <w:p>
                  <w:pPr>
                    <w:rPr>
                      <w:color w:val="0000FF"/>
                      <w:lang w:val="en-GB"/>
                    </w:rPr>
                  </w:pPr>
                </w:p>
              </w:tc>
            </w:tr>
          </w:tbl>
          <w:p>
            <w:pPr>
              <w:rPr>
                <w:szCs w:val="21"/>
              </w:rPr>
            </w:pPr>
          </w:p>
          <w:p>
            <w:pPr>
              <w:rPr>
                <w:szCs w:val="21"/>
              </w:rPr>
            </w:pPr>
            <w:r>
              <w:rPr>
                <w:szCs w:val="21"/>
              </w:rPr>
              <w:t>小组成员具有与企业的产品、过程、所涉及危害相关的专业技术知识和经验；</w:t>
            </w:r>
            <w:r>
              <w:rPr>
                <w:rFonts w:hint="eastAsia"/>
                <w:szCs w:val="21"/>
              </w:rPr>
              <w:t>不满足时采取的措施（如：培训、外聘等）</w:t>
            </w:r>
            <w:r>
              <w:rPr>
                <w:rFonts w:hint="eastAsia"/>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rFonts w:hint="eastAsia"/>
                <w:b/>
              </w:rPr>
              <w:t>产品描述</w:t>
            </w:r>
          </w:p>
          <w:p>
            <w:r>
              <w:rPr>
                <w:rFonts w:hint="eastAsia"/>
                <w:sz w:val="18"/>
                <w:szCs w:val="18"/>
              </w:rPr>
              <w:t xml:space="preserve"> </w:t>
            </w:r>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widowControl/>
              <w:numPr>
                <w:ilvl w:val="0"/>
                <w:numId w:val="11"/>
              </w:numPr>
              <w:spacing w:before="40" w:after="40"/>
              <w:rPr>
                <w:color w:val="0000FF"/>
                <w:szCs w:val="21"/>
              </w:rPr>
            </w:pPr>
            <w:r>
              <w:rPr>
                <w:rFonts w:hint="eastAsia"/>
                <w:color w:val="0000FF"/>
                <w:szCs w:val="21"/>
              </w:rPr>
              <w:t>肉类</w:t>
            </w:r>
          </w:p>
          <w:p>
            <w:pPr>
              <w:widowControl/>
              <w:numPr>
                <w:ilvl w:val="0"/>
                <w:numId w:val="11"/>
              </w:numPr>
              <w:spacing w:before="40" w:after="40"/>
              <w:rPr>
                <w:color w:val="0000FF"/>
                <w:szCs w:val="21"/>
              </w:rPr>
            </w:pPr>
            <w:r>
              <w:rPr>
                <w:rFonts w:hint="eastAsia"/>
                <w:color w:val="0000FF"/>
                <w:szCs w:val="21"/>
              </w:rPr>
              <w:t>水</w:t>
            </w:r>
          </w:p>
          <w:p>
            <w:pPr>
              <w:widowControl/>
              <w:numPr>
                <w:ilvl w:val="0"/>
                <w:numId w:val="11"/>
              </w:numPr>
              <w:spacing w:before="40" w:after="40"/>
              <w:rPr>
                <w:color w:val="0000FF"/>
                <w:szCs w:val="21"/>
              </w:rPr>
            </w:pPr>
            <w:r>
              <w:rPr>
                <w:rFonts w:hint="eastAsia"/>
                <w:color w:val="0000FF"/>
                <w:szCs w:val="21"/>
              </w:rPr>
              <w:t>食用油</w:t>
            </w:r>
          </w:p>
          <w:p>
            <w:pPr>
              <w:widowControl/>
              <w:numPr>
                <w:ilvl w:val="0"/>
                <w:numId w:val="11"/>
              </w:numPr>
              <w:spacing w:before="40" w:after="40"/>
              <w:rPr>
                <w:color w:val="0000FF"/>
                <w:szCs w:val="21"/>
              </w:rPr>
            </w:pPr>
            <w:r>
              <w:rPr>
                <w:rFonts w:hint="eastAsia"/>
                <w:color w:val="0000FF"/>
                <w:szCs w:val="21"/>
              </w:rPr>
              <w:t>大米</w:t>
            </w:r>
          </w:p>
          <w:p>
            <w:pPr>
              <w:widowControl/>
              <w:numPr>
                <w:ilvl w:val="0"/>
                <w:numId w:val="11"/>
              </w:numPr>
              <w:spacing w:before="40" w:after="40"/>
              <w:rPr>
                <w:color w:val="0000FF"/>
                <w:szCs w:val="21"/>
              </w:rPr>
            </w:pPr>
            <w:r>
              <w:rPr>
                <w:rFonts w:hint="eastAsia"/>
                <w:color w:val="0000FF"/>
                <w:szCs w:val="21"/>
              </w:rPr>
              <w:t>酱油</w:t>
            </w:r>
          </w:p>
          <w:p>
            <w:pPr>
              <w:widowControl/>
              <w:numPr>
                <w:ilvl w:val="0"/>
                <w:numId w:val="11"/>
              </w:numPr>
              <w:spacing w:before="40" w:after="40"/>
              <w:rPr>
                <w:color w:val="0000FF"/>
                <w:szCs w:val="21"/>
              </w:rPr>
            </w:pPr>
            <w:r>
              <w:rPr>
                <w:rFonts w:hint="eastAsia"/>
                <w:color w:val="0000FF"/>
                <w:szCs w:val="21"/>
              </w:rPr>
              <w:t>大豆油</w:t>
            </w:r>
          </w:p>
          <w:p>
            <w:pPr>
              <w:widowControl/>
              <w:numPr>
                <w:ilvl w:val="0"/>
                <w:numId w:val="11"/>
              </w:numPr>
              <w:spacing w:before="40" w:after="40"/>
              <w:rPr>
                <w:color w:val="0000FF"/>
                <w:szCs w:val="21"/>
              </w:rPr>
            </w:pPr>
            <w:r>
              <w:rPr>
                <w:rFonts w:hint="eastAsia"/>
                <w:color w:val="0000FF"/>
                <w:szCs w:val="21"/>
              </w:rPr>
              <w:t>洗洁精</w:t>
            </w:r>
          </w:p>
          <w:p>
            <w:pPr>
              <w:widowControl/>
              <w:numPr>
                <w:ilvl w:val="0"/>
                <w:numId w:val="11"/>
              </w:numPr>
              <w:spacing w:before="40" w:after="40"/>
              <w:rPr>
                <w:color w:val="0000FF"/>
                <w:szCs w:val="21"/>
              </w:rPr>
            </w:pPr>
            <w:r>
              <w:rPr>
                <w:rFonts w:hint="eastAsia"/>
                <w:color w:val="0000FF"/>
                <w:szCs w:val="21"/>
              </w:rPr>
              <w:t>餐盒</w:t>
            </w:r>
          </w:p>
          <w:p>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widowControl/>
              <w:numPr>
                <w:ilvl w:val="0"/>
                <w:numId w:val="11"/>
              </w:numPr>
              <w:spacing w:before="40" w:after="40"/>
              <w:rPr>
                <w:color w:val="0000FF"/>
                <w:szCs w:val="21"/>
              </w:rPr>
            </w:pPr>
            <w:r>
              <w:rPr>
                <w:rFonts w:hint="eastAsia"/>
                <w:color w:val="0000FF"/>
                <w:szCs w:val="21"/>
              </w:rPr>
              <w:t>菜肴</w:t>
            </w:r>
          </w:p>
          <w:p>
            <w:pPr>
              <w:widowControl/>
              <w:numPr>
                <w:ilvl w:val="0"/>
                <w:numId w:val="11"/>
              </w:numPr>
              <w:spacing w:before="40" w:after="40"/>
              <w:rPr>
                <w:color w:val="0000FF"/>
                <w:szCs w:val="21"/>
              </w:rPr>
            </w:pPr>
            <w:r>
              <w:rPr>
                <w:rFonts w:hint="eastAsia"/>
                <w:color w:val="0000FF"/>
                <w:szCs w:val="21"/>
              </w:rPr>
              <w:t>米饭</w:t>
            </w:r>
            <w:r>
              <w:rPr>
                <w:color w:val="0000FF"/>
                <w:szCs w:val="21"/>
              </w:rPr>
              <w:t>等</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b/>
              </w:rPr>
              <w:t>预期用途的确定</w:t>
            </w:r>
          </w:p>
          <w:p>
            <w:r>
              <w:t>HACCP小组在产品描述的基础上，识别并确定进行危害分析所需的下列适用信息：</w:t>
            </w:r>
          </w:p>
          <w:p>
            <w:r>
              <w:t>a) 顾客对产品的消费或使用期望；</w:t>
            </w:r>
          </w:p>
          <w:p>
            <w:r>
              <w:t>b)产品的预期用途和储藏条件，以及保质期；</w:t>
            </w:r>
          </w:p>
          <w:p>
            <w:r>
              <w:t>c)产品预期的食用或使用方式；</w:t>
            </w:r>
          </w:p>
          <w:p>
            <w:r>
              <w:t>d）产品预期的顾客对象；</w:t>
            </w:r>
          </w:p>
          <w:p>
            <w:r>
              <w:t>e）直接消费产品对易受伤害群体的适用性；</w:t>
            </w:r>
          </w:p>
          <w:p>
            <w:r>
              <w:t>f）产品非预期（但极可能出现）的食用或使用方式；</w:t>
            </w:r>
          </w:p>
          <w:p>
            <w:r>
              <w:t>g）其他必要的信息。</w:t>
            </w:r>
          </w:p>
          <w:p>
            <w:pPr>
              <w:autoSpaceDE w:val="0"/>
              <w:autoSpaceDN w:val="0"/>
              <w:adjustRightInd w:val="0"/>
            </w:pPr>
          </w:p>
          <w:p>
            <w:pPr>
              <w:autoSpaceDE w:val="0"/>
              <w:autoSpaceDN w:val="0"/>
              <w:adjustRightInd w:val="0"/>
              <w:rPr>
                <w:color w:val="0000FF"/>
              </w:rPr>
            </w:pPr>
            <w:r>
              <w:rPr>
                <w:rFonts w:hint="eastAsia"/>
              </w:rPr>
              <w:t>本企业</w:t>
            </w:r>
            <w:r>
              <w:t>产品预期用途</w:t>
            </w:r>
            <w:r>
              <w:rPr>
                <w:rFonts w:hint="eastAsia"/>
              </w:rPr>
              <w:t xml:space="preserve">为 </w:t>
            </w:r>
            <w:r>
              <w:rPr>
                <w:rFonts w:hint="eastAsia"/>
                <w:color w:val="0000FF"/>
                <w:u w:val="single"/>
              </w:rPr>
              <w:t xml:space="preserve">  直接食用（堂食或外卖）          </w:t>
            </w:r>
            <w:r>
              <w:rPr>
                <w:rFonts w:hint="eastAsia"/>
                <w:color w:val="0000FF"/>
              </w:rPr>
              <w:t xml:space="preserve"> 。</w:t>
            </w:r>
          </w:p>
          <w:p>
            <w:pPr>
              <w:autoSpaceDE w:val="0"/>
              <w:autoSpaceDN w:val="0"/>
              <w:adjustRightInd w:val="0"/>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rFonts w:hint="eastAsia"/>
                <w:b/>
              </w:rPr>
              <w:t>流程图的制定</w:t>
            </w:r>
          </w:p>
          <w:p>
            <w:pPr>
              <w:widowControl/>
              <w:numPr>
                <w:ilvl w:val="0"/>
                <w:numId w:val="10"/>
              </w:numPr>
              <w:spacing w:before="40" w:after="40"/>
            </w:pPr>
            <w:r>
              <w:t>工艺流程图包括</w:t>
            </w:r>
            <w:r>
              <w:rPr>
                <w:rFonts w:hint="eastAsia"/>
              </w:rPr>
              <w:t>了</w:t>
            </w:r>
            <w:r>
              <w:t>：</w:t>
            </w:r>
          </w:p>
          <w:p>
            <w:r>
              <w:t>1)每个步骤及其相应操作；</w:t>
            </w:r>
          </w:p>
          <w:p>
            <w:r>
              <w:t>2)这些步骤之间的顺序和相互关系；</w:t>
            </w:r>
          </w:p>
          <w:p>
            <w:r>
              <w:t>3)返工点和循环点（适宜时）；</w:t>
            </w:r>
          </w:p>
          <w:p>
            <w:r>
              <w:t>4)外部的过程和外包的内容；</w:t>
            </w:r>
          </w:p>
          <w:p>
            <w:r>
              <w:t>5)原料、辅料和中间产品的投入点；</w:t>
            </w:r>
          </w:p>
          <w:p>
            <w:r>
              <w:t>6)废弃物的排放点。</w:t>
            </w:r>
          </w:p>
          <w:p>
            <w:pPr>
              <w:widowControl/>
              <w:numPr>
                <w:ilvl w:val="0"/>
                <w:numId w:val="10"/>
              </w:numPr>
              <w:autoSpaceDE w:val="0"/>
              <w:autoSpaceDN w:val="0"/>
              <w:adjustRightInd w:val="0"/>
              <w:rPr>
                <w:b/>
                <w:color w:val="0000FF"/>
              </w:rPr>
            </w:pPr>
            <w:r>
              <w:rPr>
                <w:rFonts w:hint="eastAsia"/>
                <w:color w:val="0000FF"/>
              </w:rPr>
              <w:t>食堂</w:t>
            </w:r>
            <w:r>
              <w:rPr>
                <w:color w:val="0000FF"/>
              </w:rPr>
              <w:t>位置图</w:t>
            </w:r>
          </w:p>
          <w:p>
            <w:pPr>
              <w:widowControl/>
              <w:numPr>
                <w:ilvl w:val="0"/>
                <w:numId w:val="10"/>
              </w:numPr>
              <w:autoSpaceDE w:val="0"/>
              <w:autoSpaceDN w:val="0"/>
              <w:adjustRightInd w:val="0"/>
              <w:rPr>
                <w:b/>
                <w:color w:val="0000FF"/>
                <w:highlight w:val="none"/>
              </w:rPr>
            </w:pPr>
            <w:r>
              <w:rPr>
                <w:rFonts w:hint="eastAsia"/>
                <w:color w:val="0000FF"/>
                <w:highlight w:val="none"/>
              </w:rPr>
              <w:t>区域</w:t>
            </w:r>
            <w:r>
              <w:rPr>
                <w:color w:val="0000FF"/>
                <w:highlight w:val="none"/>
              </w:rPr>
              <w:t>平面图</w:t>
            </w:r>
          </w:p>
          <w:p>
            <w:pPr>
              <w:widowControl/>
              <w:numPr>
                <w:ilvl w:val="0"/>
                <w:numId w:val="10"/>
              </w:numPr>
              <w:autoSpaceDE w:val="0"/>
              <w:autoSpaceDN w:val="0"/>
              <w:adjustRightInd w:val="0"/>
              <w:rPr>
                <w:b/>
                <w:color w:val="0000FF"/>
                <w:highlight w:val="none"/>
              </w:rPr>
            </w:pPr>
            <w:bookmarkStart w:id="5" w:name="_Hlk54027225"/>
            <w:r>
              <w:rPr>
                <w:color w:val="0000FF"/>
                <w:highlight w:val="none"/>
              </w:rPr>
              <w:t>车间平面图</w:t>
            </w:r>
          </w:p>
          <w:p>
            <w:pPr>
              <w:widowControl/>
              <w:numPr>
                <w:ilvl w:val="0"/>
                <w:numId w:val="10"/>
              </w:numPr>
              <w:autoSpaceDE w:val="0"/>
              <w:autoSpaceDN w:val="0"/>
              <w:adjustRightInd w:val="0"/>
              <w:rPr>
                <w:b/>
                <w:color w:val="0000FF"/>
                <w:highlight w:val="none"/>
              </w:rPr>
            </w:pPr>
            <w:r>
              <w:rPr>
                <w:color w:val="0000FF"/>
                <w:highlight w:val="none"/>
              </w:rPr>
              <w:t>人流物流图</w:t>
            </w:r>
          </w:p>
          <w:p>
            <w:pPr>
              <w:widowControl/>
              <w:numPr>
                <w:ilvl w:val="0"/>
                <w:numId w:val="10"/>
              </w:numPr>
              <w:autoSpaceDE w:val="0"/>
              <w:autoSpaceDN w:val="0"/>
              <w:adjustRightInd w:val="0"/>
              <w:rPr>
                <w:b/>
                <w:color w:val="0000FF"/>
                <w:highlight w:val="none"/>
              </w:rPr>
            </w:pPr>
            <w:r>
              <w:rPr>
                <w:color w:val="0000FF"/>
                <w:highlight w:val="none"/>
              </w:rPr>
              <w:t>供排水网络图</w:t>
            </w:r>
          </w:p>
          <w:p>
            <w:pPr>
              <w:widowControl/>
              <w:numPr>
                <w:ilvl w:val="0"/>
                <w:numId w:val="10"/>
              </w:numPr>
              <w:autoSpaceDE w:val="0"/>
              <w:autoSpaceDN w:val="0"/>
              <w:adjustRightInd w:val="0"/>
              <w:rPr>
                <w:b/>
                <w:color w:val="0000FF"/>
                <w:highlight w:val="none"/>
              </w:rPr>
            </w:pPr>
            <w:r>
              <w:rPr>
                <w:color w:val="0000FF"/>
                <w:highlight w:val="none"/>
              </w:rPr>
              <w:t>防虫害分布图</w:t>
            </w:r>
          </w:p>
          <w:bookmarkEnd w:id="5"/>
          <w:p>
            <w:pPr>
              <w:widowControl/>
              <w:numPr>
                <w:ilvl w:val="0"/>
                <w:numId w:val="10"/>
              </w:numPr>
              <w:autoSpaceDE w:val="0"/>
              <w:autoSpaceDN w:val="0"/>
              <w:adjustRightInd w:val="0"/>
              <w:rPr>
                <w:b/>
                <w:highlight w:val="none"/>
              </w:rPr>
            </w:pPr>
            <w:r>
              <w:rPr>
                <w:highlight w:val="none"/>
              </w:rPr>
              <w:t>等</w:t>
            </w:r>
          </w:p>
          <w:p>
            <w:r>
              <w:rPr>
                <w:rFonts w:hint="eastAsia"/>
              </w:rPr>
              <w:t>各种</w:t>
            </w:r>
            <w:r>
              <w:t>流程图</w:t>
            </w:r>
            <w:r>
              <w:rPr>
                <w:rFonts w:hint="eastAsia"/>
              </w:rPr>
              <w:t>和平面图</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完整、准确、清晰。</w:t>
            </w:r>
          </w:p>
          <w:p>
            <w:pPr>
              <w:autoSpaceDE w:val="0"/>
              <w:autoSpaceDN w:val="0"/>
              <w:adjustRightInd w:val="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b/>
              </w:rPr>
              <w:t>流程图的确认</w:t>
            </w:r>
          </w:p>
          <w:p>
            <w:pPr>
              <w:autoSpaceDE w:val="0"/>
              <w:autoSpaceDN w:val="0"/>
              <w:adjustRightInd w:val="0"/>
            </w:pPr>
            <w:r>
              <w:rPr>
                <w:rFonts w:hint="eastAsia"/>
              </w:rPr>
              <w:t>于</w:t>
            </w:r>
            <w:r>
              <w:rPr>
                <w:rFonts w:hint="eastAsia"/>
                <w:color w:val="0000FF"/>
                <w:szCs w:val="21"/>
                <w:u w:val="single"/>
              </w:rPr>
              <w:t xml:space="preserve">   2019   </w:t>
            </w:r>
            <w:r>
              <w:rPr>
                <w:rFonts w:hint="eastAsia"/>
                <w:color w:val="0000FF"/>
                <w:szCs w:val="21"/>
              </w:rPr>
              <w:t>年</w:t>
            </w:r>
            <w:r>
              <w:rPr>
                <w:rFonts w:hint="eastAsia"/>
                <w:color w:val="0000FF"/>
                <w:szCs w:val="21"/>
                <w:u w:val="single"/>
              </w:rPr>
              <w:t xml:space="preserve"> </w:t>
            </w:r>
            <w:r>
              <w:rPr>
                <w:color w:val="0000FF"/>
                <w:szCs w:val="21"/>
                <w:u w:val="single"/>
              </w:rPr>
              <w:t>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1</w:t>
            </w:r>
            <w:r>
              <w:rPr>
                <w:rFonts w:hint="eastAsia"/>
                <w:color w:val="0000FF"/>
                <w:szCs w:val="21"/>
                <w:u w:val="single"/>
              </w:rPr>
              <w:t xml:space="preserve"> </w:t>
            </w:r>
            <w:r>
              <w:rPr>
                <w:rFonts w:hint="eastAsia"/>
                <w:color w:val="0000FF"/>
                <w:szCs w:val="21"/>
              </w:rPr>
              <w:t>日</w:t>
            </w:r>
            <w:r>
              <w:t>由熟悉操作工艺的HACCP小组人员对所有操作步骤在操作状态下进行现场核查，确认并证实与所制定流程图</w:t>
            </w:r>
            <w:r>
              <w:rPr>
                <w:rFonts w:hint="eastAsia"/>
              </w:rPr>
              <w:t>的</w:t>
            </w:r>
            <w:r>
              <w:t>一致</w:t>
            </w:r>
            <w:r>
              <w:rPr>
                <w:rFonts w:hint="eastAsia"/>
              </w:rPr>
              <w:t>性</w:t>
            </w:r>
            <w:r>
              <w:t>，</w:t>
            </w:r>
            <w:r>
              <w:rPr>
                <w:rFonts w:hint="eastAsia"/>
                <w:color w:val="0000FF"/>
              </w:rPr>
              <w:t>是/否</w:t>
            </w:r>
            <w:r>
              <w:t>在必要时进行修改。</w:t>
            </w:r>
          </w:p>
          <w:p>
            <w:pPr>
              <w:autoSpaceDE w:val="0"/>
              <w:autoSpaceDN w:val="0"/>
              <w:adjustRightInd w:val="0"/>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危害分析和制定控制措施</w:t>
            </w:r>
          </w:p>
          <w:p>
            <w:pPr>
              <w:autoSpaceDE w:val="0"/>
              <w:autoSpaceDN w:val="0"/>
              <w:adjustRightInd w:val="0"/>
              <w:rPr>
                <w:b/>
              </w:rPr>
            </w:pPr>
            <w:r>
              <w:rPr>
                <w:b/>
              </w:rPr>
              <w:t>危害识别</w:t>
            </w:r>
          </w:p>
          <w:p>
            <w:r>
              <w:t>HACCP小组</w:t>
            </w:r>
            <w:r>
              <w:rPr>
                <w:rFonts w:hint="eastAsia"/>
              </w:rPr>
              <w:t>是否</w:t>
            </w:r>
            <w:r>
              <w:t>根据以下方面的因素，在</w:t>
            </w:r>
            <w:r>
              <w:rPr>
                <w:rFonts w:hint="eastAsia"/>
              </w:rPr>
              <w:t>分析了</w:t>
            </w:r>
            <w:r>
              <w:t>加工步骤中</w:t>
            </w:r>
            <w:r>
              <w:rPr>
                <w:rFonts w:hint="eastAsia"/>
              </w:rPr>
              <w:t>存在的</w:t>
            </w:r>
            <w:r>
              <w:t>生物、化学、物理危害，</w:t>
            </w:r>
          </w:p>
          <w:p>
            <w:r>
              <w:rPr>
                <w:rFonts w:hint="eastAsia"/>
              </w:rPr>
              <w:t>1）</w:t>
            </w:r>
            <w:r>
              <w:t>产品、操作和环境；</w:t>
            </w:r>
          </w:p>
          <w:p>
            <w:r>
              <w:rPr>
                <w:rFonts w:hint="eastAsia"/>
              </w:rPr>
              <w:t>2）</w:t>
            </w:r>
            <w:r>
              <w:t>消费者或顾客和法律法规对产品及原辅料、食品包装材料的安全卫生要求；</w:t>
            </w:r>
          </w:p>
          <w:p>
            <w:r>
              <w:rPr>
                <w:rFonts w:hint="eastAsia"/>
              </w:rPr>
              <w:t>3）</w:t>
            </w:r>
            <w:r>
              <w:t>产品食用、使用安全的监控和评价结果；</w:t>
            </w:r>
          </w:p>
          <w:p>
            <w:r>
              <w:rPr>
                <w:rFonts w:hint="eastAsia"/>
              </w:rPr>
              <w:t>4）</w:t>
            </w:r>
            <w:r>
              <w:t>不安全产品处置、纠偏、召回和应急预案的状况；</w:t>
            </w:r>
          </w:p>
          <w:p>
            <w:r>
              <w:rPr>
                <w:rFonts w:hint="eastAsia"/>
              </w:rPr>
              <w:t>5）</w:t>
            </w:r>
            <w:r>
              <w:t>历史上和当前的流行病学、动植物疫情或疾病统计数据和食品安全事故案例；</w:t>
            </w:r>
          </w:p>
          <w:p>
            <w:r>
              <w:rPr>
                <w:rFonts w:hint="eastAsia"/>
              </w:rPr>
              <w:t>6）</w:t>
            </w:r>
            <w:r>
              <w:t>科技文献，包括相关类别产品的危害控制指南；</w:t>
            </w:r>
          </w:p>
          <w:p>
            <w:r>
              <w:rPr>
                <w:rFonts w:hint="eastAsia"/>
              </w:rPr>
              <w:t>7）</w:t>
            </w:r>
            <w:r>
              <w:t>危害识别范围内的其他步骤对产品产生的影响；</w:t>
            </w:r>
          </w:p>
          <w:p>
            <w:r>
              <w:rPr>
                <w:rFonts w:hint="eastAsia"/>
              </w:rPr>
              <w:t>8)</w:t>
            </w:r>
            <w:r>
              <w:t>人为的破坏和蓄意污染等情况；</w:t>
            </w:r>
          </w:p>
          <w:p>
            <w:r>
              <w:rPr>
                <w:rFonts w:hint="eastAsia"/>
              </w:rPr>
              <w:t xml:space="preserve">9) </w:t>
            </w:r>
            <w:r>
              <w:t>经验。</w:t>
            </w:r>
          </w:p>
          <w:p>
            <w:r>
              <w:t>在从原料生产直到最终消费的范围内</w:t>
            </w:r>
            <w:r>
              <w:rPr>
                <w:rFonts w:hint="eastAsia"/>
              </w:rPr>
              <w:t>，是否</w:t>
            </w:r>
            <w:r>
              <w:t>针对需考虑的所有危害，识别其在每个操作步骤中根据预期被引入、产生或增长的所有潜在危害及其原因。</w:t>
            </w:r>
          </w:p>
          <w:p>
            <w:r>
              <w:t>当影响危害识别结果的任何因素发生变化时，HACCP小组</w:t>
            </w:r>
            <w:r>
              <w:rPr>
                <w:rFonts w:hint="eastAsia"/>
              </w:rPr>
              <w:t>是否</w:t>
            </w:r>
            <w:r>
              <w:t>重新进行危害识别。</w:t>
            </w:r>
          </w:p>
          <w:p>
            <w:pPr>
              <w:tabs>
                <w:tab w:val="right" w:pos="3119"/>
              </w:tabs>
            </w:pPr>
            <w:r>
              <w:rPr>
                <w:rFonts w:hint="eastAsia"/>
              </w:rPr>
              <w:t>是否</w:t>
            </w:r>
            <w:r>
              <w:t>保持危害识别依据和结果的记录。</w:t>
            </w:r>
          </w:p>
          <w:p>
            <w:pPr>
              <w:tabs>
                <w:tab w:val="right" w:pos="3119"/>
              </w:tabs>
              <w:rPr>
                <w:b/>
              </w:rPr>
            </w:pPr>
            <w:r>
              <w:rPr>
                <w:rFonts w:hint="eastAsia"/>
                <w:b/>
              </w:rPr>
              <w:t>最终产品：</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991" w:type="dxa"/>
                  <w:shd w:val="clear" w:color="auto" w:fill="auto"/>
                  <w:vAlign w:val="center"/>
                </w:tcPr>
                <w:p>
                  <w:pPr>
                    <w:jc w:val="center"/>
                    <w:rPr>
                      <w:b/>
                      <w:color w:val="0000FF"/>
                      <w:lang w:val="en-GB"/>
                    </w:rPr>
                  </w:pPr>
                  <w:r>
                    <w:rPr>
                      <w:rFonts w:hint="eastAsia"/>
                      <w:b/>
                      <w:color w:val="0000FF"/>
                      <w:lang w:val="en-GB"/>
                    </w:rPr>
                    <w:t>产品</w:t>
                  </w:r>
                </w:p>
              </w:tc>
              <w:tc>
                <w:tcPr>
                  <w:tcW w:w="6344" w:type="dxa"/>
                  <w:shd w:val="clear" w:color="auto" w:fill="auto"/>
                  <w:vAlign w:val="bottom"/>
                </w:tcPr>
                <w:p>
                  <w:pPr>
                    <w:jc w:val="center"/>
                    <w:rPr>
                      <w:b/>
                      <w:color w:val="0000FF"/>
                      <w:lang w:val="en-GB"/>
                    </w:rPr>
                  </w:pPr>
                  <w:r>
                    <w:rPr>
                      <w:rFonts w:hint="eastAsia"/>
                      <w:b/>
                      <w:color w:val="0000FF"/>
                      <w:lang w:val="en-GB"/>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91" w:type="dxa"/>
                  <w:shd w:val="clear" w:color="auto" w:fill="auto"/>
                  <w:vAlign w:val="center"/>
                </w:tcPr>
                <w:p>
                  <w:pPr>
                    <w:jc w:val="left"/>
                    <w:rPr>
                      <w:b/>
                      <w:color w:val="0000FF"/>
                      <w:lang w:val="en-GB"/>
                    </w:rPr>
                  </w:pPr>
                  <w:r>
                    <w:rPr>
                      <w:rFonts w:hint="eastAsia"/>
                      <w:b/>
                      <w:color w:val="0000FF"/>
                      <w:lang w:val="en-GB"/>
                    </w:rPr>
                    <w:t>米饭</w:t>
                  </w:r>
                </w:p>
              </w:tc>
              <w:tc>
                <w:tcPr>
                  <w:tcW w:w="6344" w:type="dxa"/>
                  <w:shd w:val="clear" w:color="auto" w:fill="auto"/>
                  <w:vAlign w:val="bottom"/>
                </w:tcPr>
                <w:p>
                  <w:pPr>
                    <w:rPr>
                      <w:b/>
                      <w:color w:val="0000FF"/>
                      <w:lang w:val="en-GB"/>
                    </w:rPr>
                  </w:pPr>
                  <w:r>
                    <w:rPr>
                      <w:rFonts w:hint="eastAsia"/>
                      <w:b/>
                      <w:color w:val="0000FF"/>
                      <w:lang w:val="en-GB"/>
                    </w:rPr>
                    <w:t>有害微生物、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91" w:type="dxa"/>
                  <w:shd w:val="clear" w:color="auto" w:fill="auto"/>
                  <w:vAlign w:val="center"/>
                </w:tcPr>
                <w:p>
                  <w:pPr>
                    <w:jc w:val="left"/>
                    <w:rPr>
                      <w:b/>
                      <w:color w:val="0000FF"/>
                      <w:lang w:val="en-GB"/>
                    </w:rPr>
                  </w:pPr>
                  <w:r>
                    <w:rPr>
                      <w:b/>
                      <w:color w:val="0000FF"/>
                      <w:lang w:val="en-GB"/>
                    </w:rPr>
                    <w:t>菜肴</w:t>
                  </w:r>
                </w:p>
              </w:tc>
              <w:tc>
                <w:tcPr>
                  <w:tcW w:w="6344" w:type="dxa"/>
                  <w:shd w:val="clear" w:color="auto" w:fill="auto"/>
                  <w:vAlign w:val="bottom"/>
                </w:tcPr>
                <w:p>
                  <w:pPr>
                    <w:rPr>
                      <w:b/>
                      <w:color w:val="0000FF"/>
                      <w:lang w:val="en-GB"/>
                    </w:rPr>
                  </w:pPr>
                  <w:r>
                    <w:rPr>
                      <w:rFonts w:hint="eastAsia"/>
                      <w:b/>
                      <w:color w:val="0000FF"/>
                      <w:lang w:val="en-GB"/>
                    </w:rPr>
                    <w:t>有害微生物、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91" w:type="dxa"/>
                  <w:shd w:val="clear" w:color="auto" w:fill="auto"/>
                  <w:vAlign w:val="center"/>
                </w:tcPr>
                <w:p>
                  <w:pPr>
                    <w:jc w:val="left"/>
                    <w:rPr>
                      <w:b/>
                      <w:color w:val="0000FF"/>
                      <w:lang w:val="en-GB"/>
                    </w:rPr>
                  </w:pPr>
                </w:p>
              </w:tc>
              <w:tc>
                <w:tcPr>
                  <w:tcW w:w="6344" w:type="dxa"/>
                  <w:shd w:val="clear" w:color="auto" w:fill="auto"/>
                  <w:vAlign w:val="bottom"/>
                </w:tcPr>
                <w:p>
                  <w:pPr>
                    <w:rPr>
                      <w:b/>
                      <w:color w:val="0000FF"/>
                      <w:lang w:val="en-GB"/>
                    </w:rPr>
                  </w:pPr>
                </w:p>
              </w:tc>
            </w:tr>
          </w:tbl>
          <w:p>
            <w:pPr>
              <w:tabs>
                <w:tab w:val="right" w:pos="3119"/>
              </w:tabs>
              <w:rPr>
                <w:b/>
                <w:lang w:val="en-GB"/>
              </w:rPr>
            </w:pPr>
          </w:p>
          <w:p>
            <w:pPr>
              <w:tabs>
                <w:tab w:val="right" w:pos="3119"/>
              </w:tabs>
              <w:rPr>
                <w:b/>
                <w:lang w:val="en-GB"/>
              </w:rPr>
            </w:pPr>
            <w:r>
              <w:rPr>
                <w:rFonts w:hint="eastAsia"/>
                <w:b/>
                <w:lang w:val="en-GB"/>
              </w:rPr>
              <w:t>原辅材料：</w:t>
            </w:r>
          </w:p>
          <w:tbl>
            <w:tblPr>
              <w:tblStyle w:val="29"/>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3497"/>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jc w:val="center"/>
                    <w:rPr>
                      <w:b/>
                    </w:rPr>
                  </w:pPr>
                  <w:r>
                    <w:rPr>
                      <w:rFonts w:hint="eastAsia"/>
                      <w:b/>
                    </w:rPr>
                    <w:t>主要原料</w:t>
                  </w:r>
                </w:p>
              </w:tc>
              <w:tc>
                <w:tcPr>
                  <w:tcW w:w="3497"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r>
                    <w:rPr>
                      <w:rFonts w:ascii="Arial-BoldMT" w:hAnsi="Arial-BoldMT" w:cs="Arial-BoldMT"/>
                      <w:bCs/>
                      <w:vanish/>
                      <w:color w:val="0000FF"/>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widowControl/>
                    <w:spacing w:before="40" w:after="40"/>
                    <w:rPr>
                      <w:b/>
                      <w:color w:val="0000FF"/>
                      <w:lang w:val="en-GB"/>
                    </w:rPr>
                  </w:pPr>
                  <w:r>
                    <w:rPr>
                      <w:rFonts w:hint="eastAsia"/>
                      <w:b/>
                      <w:color w:val="0000FF"/>
                      <w:lang w:val="en-GB"/>
                    </w:rPr>
                    <w:t>肉类</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shd w:val="clear" w:color="auto" w:fill="auto"/>
                </w:tcPr>
                <w:p>
                  <w:pPr>
                    <w:widowControl/>
                    <w:spacing w:before="40" w:after="40"/>
                    <w:rPr>
                      <w:b/>
                      <w:color w:val="0000FF"/>
                      <w:lang w:val="en-GB"/>
                    </w:rPr>
                  </w:pPr>
                  <w:r>
                    <w:rPr>
                      <w:rFonts w:hint="eastAsia"/>
                      <w:b/>
                      <w:color w:val="0000FF"/>
                      <w:lang w:val="en-GB"/>
                    </w:rPr>
                    <w:t>洗洁精</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1" w:type="dxa"/>
                  <w:shd w:val="clear" w:color="auto" w:fill="auto"/>
                </w:tcPr>
                <w:p>
                  <w:pPr>
                    <w:autoSpaceDE w:val="0"/>
                    <w:autoSpaceDN w:val="0"/>
                    <w:adjustRightInd w:val="0"/>
                    <w:jc w:val="left"/>
                    <w:rPr>
                      <w:b/>
                      <w:color w:val="0000FF"/>
                      <w:lang w:val="en-GB"/>
                    </w:rPr>
                  </w:pPr>
                  <w:r>
                    <w:rPr>
                      <w:b/>
                      <w:color w:val="0000FF"/>
                      <w:lang w:val="en-GB"/>
                    </w:rPr>
                    <w:t>内包材</w:t>
                  </w:r>
                  <w:r>
                    <w:rPr>
                      <w:rFonts w:hint="eastAsia"/>
                      <w:b/>
                      <w:color w:val="0000FF"/>
                      <w:lang w:val="en-GB"/>
                    </w:rPr>
                    <w:t>（餐盒）</w:t>
                  </w:r>
                </w:p>
              </w:tc>
              <w:tc>
                <w:tcPr>
                  <w:tcW w:w="3497" w:type="dxa"/>
                  <w:shd w:val="clear" w:color="auto" w:fill="auto"/>
                </w:tcPr>
                <w:p>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pPr>
                    <w:autoSpaceDE w:val="0"/>
                    <w:autoSpaceDN w:val="0"/>
                    <w:adjustRightInd w:val="0"/>
                    <w:jc w:val="left"/>
                    <w:rPr>
                      <w:b/>
                      <w:color w:val="0000FF"/>
                      <w:lang w:val="en-GB"/>
                    </w:rPr>
                  </w:pPr>
                  <w:r>
                    <w:rPr>
                      <w:rFonts w:hint="eastAsia"/>
                      <w:b/>
                      <w:color w:val="0000FF"/>
                      <w:lang w:val="en-GB"/>
                    </w:rPr>
                    <w:t>向供方索取检测报告或合格证</w:t>
                  </w:r>
                </w:p>
              </w:tc>
            </w:tr>
          </w:tbl>
          <w:p>
            <w:pPr>
              <w:tabs>
                <w:tab w:val="right" w:pos="3119"/>
              </w:tabs>
              <w:rPr>
                <w:b/>
                <w:lang w:val="en-GB"/>
              </w:rPr>
            </w:pPr>
          </w:p>
          <w:p>
            <w:pPr>
              <w:tabs>
                <w:tab w:val="right" w:pos="3119"/>
              </w:tabs>
              <w:rPr>
                <w:lang w:val="en-GB"/>
              </w:rPr>
            </w:pPr>
            <w:r>
              <w:rPr>
                <w:rFonts w:hint="eastAsia"/>
                <w:lang w:val="en-GB"/>
              </w:rPr>
              <w:t>食品安全小组已及时获知了变更信息（如：新产品/原材料/生产系统/清洗）。这可追溯至示例__</w:t>
            </w:r>
            <w:r>
              <w:rPr>
                <w:rFonts w:hint="eastAsia"/>
                <w:color w:val="0000FF"/>
                <w:u w:val="single"/>
                <w:lang w:val="en-GB"/>
              </w:rPr>
              <w:t>未发生                 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b/>
              </w:rPr>
              <w:t>危害</w:t>
            </w:r>
            <w:r>
              <w:rPr>
                <w:rFonts w:hint="eastAsia"/>
                <w:b/>
              </w:rPr>
              <w:t>评估</w:t>
            </w:r>
          </w:p>
          <w:p>
            <w:pPr>
              <w:rPr>
                <w:lang w:val="en-GB"/>
              </w:rPr>
            </w:pPr>
            <w:r>
              <w:rPr>
                <w:lang w:val="en-GB"/>
              </w:rPr>
              <w:t>HACCP小组</w:t>
            </w:r>
            <w:r>
              <w:rPr>
                <w:rFonts w:hint="eastAsia"/>
              </w:rPr>
              <w:t>于</w:t>
            </w:r>
            <w:r>
              <w:rPr>
                <w:rFonts w:hint="eastAsia"/>
                <w:color w:val="0000FF"/>
                <w:szCs w:val="21"/>
                <w:u w:val="single"/>
              </w:rPr>
              <w:t xml:space="preserve">   2019   </w:t>
            </w:r>
            <w:r>
              <w:rPr>
                <w:rFonts w:hint="eastAsia"/>
                <w:color w:val="0000FF"/>
                <w:szCs w:val="21"/>
              </w:rPr>
              <w:t>年</w:t>
            </w:r>
            <w:r>
              <w:rPr>
                <w:rFonts w:hint="eastAsia"/>
                <w:color w:val="0000FF"/>
                <w:szCs w:val="21"/>
                <w:u w:val="single"/>
              </w:rPr>
              <w:t xml:space="preserve"> </w:t>
            </w:r>
            <w:r>
              <w:rPr>
                <w:color w:val="0000FF"/>
                <w:szCs w:val="21"/>
                <w:u w:val="single"/>
              </w:rPr>
              <w:t>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1</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lang w:val="en-GB"/>
              </w:rPr>
              <w:t>被</w:t>
            </w:r>
            <w:r>
              <w:rPr>
                <w:lang w:val="en-GB"/>
              </w:rPr>
              <w:t>确定为显著危害。</w:t>
            </w:r>
          </w:p>
          <w:p>
            <w:pPr>
              <w:tabs>
                <w:tab w:val="right" w:pos="3119"/>
              </w:tabs>
              <w:rPr>
                <w:lang w:val="en-GB"/>
              </w:rPr>
            </w:pPr>
            <w:r>
              <w:rPr>
                <w:lang w:val="en-GB"/>
              </w:rPr>
              <w:t>保持</w:t>
            </w:r>
            <w:r>
              <w:rPr>
                <w:rFonts w:hint="eastAsia"/>
                <w:lang w:val="en-GB"/>
              </w:rPr>
              <w:t>了</w:t>
            </w:r>
            <w:r>
              <w:rPr>
                <w:lang w:val="en-GB"/>
              </w:rPr>
              <w:t>危害评估依据和结果的记录。</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控制措施的制定</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针对每种显著危害，制定相应的控制措施，并提供证实其有效性的证据；</w:t>
            </w:r>
          </w:p>
          <w:p>
            <w:pPr>
              <w:rPr>
                <w:lang w:val="en-GB"/>
              </w:rPr>
            </w:pPr>
            <w:r>
              <w:rPr>
                <w:rFonts w:hint="eastAsia"/>
                <w:lang w:val="en-GB"/>
              </w:rPr>
              <w:t>当</w:t>
            </w:r>
            <w:r>
              <w:rPr>
                <w:lang w:val="en-GB"/>
              </w:rPr>
              <w:t>一项控制措施控制多种显著危害或多项控制措施控制一种显著危害的情况</w:t>
            </w:r>
            <w:r>
              <w:rPr>
                <w:rFonts w:hint="eastAsia"/>
                <w:color w:val="0000FF"/>
                <w:lang w:val="en-GB"/>
              </w:rPr>
              <w:t>是/否</w:t>
            </w:r>
            <w:r>
              <w:rPr>
                <w:lang w:val="en-GB"/>
              </w:rPr>
              <w:t>明确显著危害与控制措施之间的对应关系</w:t>
            </w:r>
            <w:r>
              <w:rPr>
                <w:rFonts w:hint="eastAsia"/>
                <w:lang w:val="en-GB"/>
              </w:rPr>
              <w:t>；</w:t>
            </w:r>
          </w:p>
          <w:p>
            <w:pPr>
              <w:rPr>
                <w:lang w:val="en-GB"/>
              </w:rPr>
            </w:pPr>
            <w:r>
              <w:rPr>
                <w:lang w:val="en-GB"/>
              </w:rPr>
              <w:t>当这些措施涉及操作的改变时，</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做出相应的变更，并修改流程图。</w:t>
            </w:r>
          </w:p>
          <w:p>
            <w:pPr>
              <w:rPr>
                <w:lang w:val="en-GB"/>
              </w:rPr>
            </w:pPr>
            <w:r>
              <w:rPr>
                <w:lang w:val="en-GB"/>
              </w:rPr>
              <w:t>在现有技术条件下，某种显著危害不能制定有效控制措施时，</w:t>
            </w:r>
            <w:r>
              <w:rPr>
                <w:rFonts w:hint="eastAsia"/>
                <w:lang w:val="en-GB"/>
              </w:rPr>
              <w:t>组织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策划和实施必要的技术改造，必要时，应变更加工工艺、产品（包括原辅料）或预期用途，直至建立有效的控制措施。</w:t>
            </w:r>
          </w:p>
          <w:p>
            <w:pPr>
              <w:rPr>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对所制定的控制措施予以确认。</w:t>
            </w:r>
          </w:p>
          <w:p>
            <w:pPr>
              <w:rPr>
                <w:lang w:val="en-GB"/>
              </w:rPr>
            </w:pPr>
            <w:r>
              <w:rPr>
                <w:lang w:val="en-GB"/>
              </w:rPr>
              <w:t>当控制措施有效性受到影响时，</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评价、更新或改进控制措施，并再确认。</w:t>
            </w:r>
          </w:p>
          <w:p>
            <w:pPr>
              <w:tabs>
                <w:tab w:val="right" w:pos="3119"/>
              </w:tabs>
              <w:rPr>
                <w:lang w:val="en-GB"/>
              </w:rPr>
            </w:pPr>
            <w:r>
              <w:rPr>
                <w:rFonts w:hint="eastAsia"/>
                <w:lang w:val="en-GB"/>
              </w:rPr>
              <w:t>是否</w:t>
            </w:r>
            <w:r>
              <w:rPr>
                <w:lang w:val="en-GB"/>
              </w:rPr>
              <w:t>保持控制措施的制定依据和控制措施文件。</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rPr>
                <w:rFonts w:hAnsi="宋体"/>
                <w:b/>
                <w:szCs w:val="21"/>
              </w:rPr>
            </w:pPr>
            <w:r>
              <w:rPr>
                <w:rFonts w:hAnsi="宋体"/>
                <w:b/>
                <w:szCs w:val="21"/>
              </w:rPr>
              <w:t>危害分析工作单</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根据工艺流程、危害识别、危害评估、控制措施等结果形成文件</w:t>
            </w:r>
            <w:r>
              <w:rPr>
                <w:rFonts w:hint="eastAsia"/>
                <w:lang w:val="en-GB"/>
              </w:rPr>
              <w:t>化</w:t>
            </w:r>
            <w:r>
              <w:rPr>
                <w:lang w:val="en-GB"/>
              </w:rPr>
              <w:t>的危害分析工作单，</w:t>
            </w:r>
            <w:r>
              <w:rPr>
                <w:rFonts w:hint="eastAsia"/>
                <w:lang w:val="en-GB"/>
              </w:rPr>
              <w:t>其内容</w:t>
            </w:r>
            <w:r>
              <w:rPr>
                <w:lang w:val="en-GB"/>
              </w:rPr>
              <w:t>包括</w:t>
            </w:r>
            <w:r>
              <w:rPr>
                <w:rFonts w:hint="eastAsia"/>
                <w:lang w:val="en-GB"/>
              </w:rPr>
              <w:t>了</w:t>
            </w:r>
            <w:r>
              <w:rPr>
                <w:lang w:val="en-GB"/>
              </w:rPr>
              <w:t>加工步骤、考虑的潜在危害、显著危害判断的依据、控制措施，并明确各因素之间的相互关系。</w:t>
            </w:r>
          </w:p>
          <w:p>
            <w:pPr>
              <w:rPr>
                <w:lang w:val="en-GB"/>
              </w:rPr>
            </w:pPr>
            <w:r>
              <w:rPr>
                <w:lang w:val="en-GB"/>
              </w:rPr>
              <w:t>在危害分析工作单中，</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描述控制措施与相应显著危害的关系，为确定关键控制点提供依据。</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lang w:val="en-GB"/>
              </w:rPr>
              <w:t>考虑了当</w:t>
            </w:r>
            <w:r>
              <w:rPr>
                <w:lang w:val="en-GB"/>
              </w:rPr>
              <w:t>危害分析结果受到任何因素影响时，对危害分析工作单</w:t>
            </w:r>
            <w:r>
              <w:rPr>
                <w:rFonts w:hint="eastAsia"/>
                <w:lang w:val="en-GB"/>
              </w:rPr>
              <w:t>进行</w:t>
            </w:r>
            <w:r>
              <w:rPr>
                <w:lang w:val="en-GB"/>
              </w:rPr>
              <w:t>必要的更新或修订</w:t>
            </w:r>
            <w:r>
              <w:rPr>
                <w:rFonts w:hint="eastAsia"/>
                <w:lang w:val="en-GB"/>
              </w:rPr>
              <w:t>的要求</w:t>
            </w:r>
            <w:r>
              <w:rPr>
                <w:lang w:val="en-GB"/>
              </w:rPr>
              <w:t>。</w:t>
            </w:r>
          </w:p>
          <w:p>
            <w:pPr>
              <w:autoSpaceDE w:val="0"/>
              <w:autoSpaceDN w:val="0"/>
              <w:adjustRightInd w:val="0"/>
              <w:rPr>
                <w: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关键控制点（CCP）的确定</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根据危害分析所提供的显著危害与控制措施之间的关系，识别针对每种显著危害控制的适当步骤</w:t>
            </w:r>
            <w:r>
              <w:rPr>
                <w:rFonts w:hint="eastAsia"/>
                <w:lang w:val="en-GB"/>
              </w:rPr>
              <w:t>来</w:t>
            </w:r>
            <w:r>
              <w:rPr>
                <w:lang w:val="en-GB"/>
              </w:rPr>
              <w:t>确定CCP</w:t>
            </w:r>
          </w:p>
          <w:p>
            <w:pPr>
              <w:rPr>
                <w:lang w:val="en-GB"/>
              </w:rPr>
            </w:pPr>
            <w:r>
              <w:rPr>
                <w:lang w:val="en-GB"/>
              </w:rPr>
              <w:t>企业</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使用适宜方法来确定CCP</w:t>
            </w:r>
          </w:p>
          <w:p>
            <w:pPr>
              <w:rPr>
                <w:lang w:val="en-GB"/>
              </w:rPr>
            </w:pPr>
            <w:r>
              <w:rPr>
                <w:lang w:val="en-GB"/>
              </w:rPr>
              <w:t>当显著危害或控制措施发生变化时，HACCP小组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重新进行</w:t>
            </w:r>
            <w:r>
              <w:rPr>
                <w:rFonts w:hint="eastAsia"/>
                <w:lang w:val="en-GB"/>
              </w:rPr>
              <w:t>了</w:t>
            </w:r>
            <w:r>
              <w:rPr>
                <w:lang w:val="en-GB"/>
              </w:rPr>
              <w:t>危害分析，</w:t>
            </w:r>
            <w:r>
              <w:rPr>
                <w:rFonts w:hint="eastAsia"/>
                <w:lang w:val="en-GB"/>
              </w:rPr>
              <w:t>重新判定</w:t>
            </w:r>
            <w:r>
              <w:rPr>
                <w:lang w:val="en-GB"/>
              </w:rPr>
              <w:t>CCP</w:t>
            </w:r>
          </w:p>
          <w:p>
            <w:pPr>
              <w:autoSpaceDE w:val="0"/>
              <w:autoSpaceDN w:val="0"/>
              <w:adjustRightInd w:val="0"/>
              <w:rPr>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保持CCP确定的依据和文件</w:t>
            </w:r>
          </w:p>
          <w:p>
            <w:pPr>
              <w:autoSpaceDE w:val="0"/>
              <w:autoSpaceDN w:val="0"/>
              <w:adjustRightInd w:val="0"/>
              <w:rPr>
                <w:b/>
              </w:rPr>
            </w:pPr>
          </w:p>
          <w:p>
            <w:pPr>
              <w:autoSpaceDE w:val="0"/>
              <w:autoSpaceDN w:val="0"/>
              <w:adjustRightInd w:val="0"/>
              <w:rPr>
                <w: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关键限值（critical limit）的确定</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为每个CCP建立关键限值</w:t>
            </w:r>
          </w:p>
          <w:p>
            <w:pPr>
              <w:rPr>
                <w:lang w:val="en-GB"/>
              </w:rPr>
            </w:pPr>
            <w:r>
              <w:rPr>
                <w:lang w:val="en-GB"/>
              </w:rPr>
              <w:t>关键限值</w:t>
            </w:r>
            <w:r>
              <w:rPr>
                <w:rFonts w:hint="eastAsia"/>
                <w:lang w:val="en-GB"/>
              </w:rPr>
              <w:t>的</w:t>
            </w:r>
            <w:r>
              <w:rPr>
                <w:lang w:val="en-GB"/>
              </w:rPr>
              <w:t>设立</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科学、直观、易于监测</w:t>
            </w:r>
            <w:r>
              <w:rPr>
                <w:rFonts w:hint="eastAsia"/>
                <w:lang w:val="en-GB"/>
              </w:rPr>
              <w:t>，能</w:t>
            </w:r>
            <w:r>
              <w:rPr>
                <w:lang w:val="en-GB"/>
              </w:rPr>
              <w:t>确保产品的安全危害得到有效控制，而不超过可接受水平</w:t>
            </w:r>
          </w:p>
          <w:p>
            <w:pPr>
              <w:rPr>
                <w:lang w:val="en-GB"/>
              </w:rPr>
            </w:pPr>
            <w:r>
              <w:rPr>
                <w:lang w:val="en-GB"/>
              </w:rPr>
              <w:t xml:space="preserve"> </w:t>
            </w:r>
            <w:r>
              <w:rPr>
                <w:rFonts w:hint="eastAsia"/>
                <w:lang w:val="en-GB"/>
              </w:rPr>
              <w:t>对于</w:t>
            </w:r>
            <w:r>
              <w:rPr>
                <w:lang w:val="en-GB"/>
              </w:rPr>
              <w:t>基于感知的关键限值，</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由经</w:t>
            </w:r>
            <w:r>
              <w:rPr>
                <w:rFonts w:hint="eastAsia"/>
                <w:lang w:val="en-GB"/>
              </w:rPr>
              <w:t>过</w:t>
            </w:r>
            <w:r>
              <w:rPr>
                <w:lang w:val="en-GB"/>
              </w:rPr>
              <w:t>能够胜任的人员进行监控、判定。</w:t>
            </w:r>
          </w:p>
          <w:p>
            <w:pPr>
              <w:rPr>
                <w:lang w:val="en-GB"/>
              </w:rPr>
            </w:pPr>
            <w:r>
              <w:rPr>
                <w:lang w:val="en-GB"/>
              </w:rPr>
              <w:t>HACCP小组</w:t>
            </w:r>
            <w:r>
              <w:rPr>
                <w:rFonts w:hint="eastAsia"/>
                <w:color w:val="0000FF"/>
                <w:lang w:val="en-GB"/>
              </w:rPr>
              <w:t>是/否</w:t>
            </w:r>
            <w:r>
              <w:rPr>
                <w:lang w:val="en-GB"/>
              </w:rPr>
              <w:t>建立CCP的操作限值</w:t>
            </w:r>
            <w:r>
              <w:rPr>
                <w:rFonts w:hint="eastAsia"/>
                <w:lang w:val="en-GB"/>
              </w:rPr>
              <w:t>以</w:t>
            </w:r>
            <w:r>
              <w:rPr>
                <w:lang w:val="en-GB"/>
              </w:rPr>
              <w:t>防止或减少偏离关键限值</w:t>
            </w:r>
          </w:p>
          <w:p>
            <w:pPr>
              <w:tabs>
                <w:tab w:val="right" w:pos="3119"/>
              </w:tabs>
              <w:rPr>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保持</w:t>
            </w:r>
            <w:r>
              <w:rPr>
                <w:rFonts w:hint="eastAsia"/>
                <w:lang w:val="en-GB"/>
              </w:rPr>
              <w:t>了</w:t>
            </w:r>
            <w:r>
              <w:rPr>
                <w:lang w:val="en-GB"/>
              </w:rPr>
              <w:t>关键限值确定依据和结果的记录。</w:t>
            </w:r>
          </w:p>
          <w:p>
            <w:pPr>
              <w:tabs>
                <w:tab w:val="right" w:pos="3119"/>
              </w:tabs>
              <w:rPr>
                <w:b/>
              </w:rPr>
            </w:pPr>
          </w:p>
          <w:p>
            <w:pPr>
              <w:tabs>
                <w:tab w:val="right" w:pos="3119"/>
              </w:tabs>
              <w:rPr>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 xml:space="preserve"> CCP的监控</w:t>
            </w:r>
          </w:p>
          <w:p>
            <w:pPr>
              <w:rPr>
                <w:rFonts w:hAnsi="宋体"/>
              </w:rPr>
            </w:pPr>
            <w:r>
              <w:rPr>
                <w:rFonts w:hint="eastAsia" w:hAnsi="宋体"/>
              </w:rPr>
              <w:t>组织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Ansi="宋体"/>
              </w:rPr>
              <w:t>针对每个CCP制定包括监控对象、监控方法、监控频率、监控人员</w:t>
            </w:r>
            <w:r>
              <w:rPr>
                <w:rFonts w:hint="eastAsia" w:hAnsi="宋体"/>
              </w:rPr>
              <w:t>的监控</w:t>
            </w:r>
            <w:r>
              <w:rPr>
                <w:rFonts w:hAnsi="宋体"/>
              </w:rPr>
              <w:t>措施</w:t>
            </w:r>
            <w:r>
              <w:rPr>
                <w:rFonts w:hint="eastAsia" w:hAnsi="宋体"/>
              </w:rPr>
              <w:t>，</w:t>
            </w:r>
            <w:r>
              <w:rPr>
                <w:rFonts w:hAnsi="宋体"/>
              </w:rPr>
              <w:t>并</w:t>
            </w:r>
            <w:r>
              <w:rPr>
                <w:rFonts w:hint="eastAsia" w:hAnsi="宋体"/>
              </w:rPr>
              <w:t>有效的进行了</w:t>
            </w:r>
            <w:r>
              <w:rPr>
                <w:rFonts w:hAnsi="宋体"/>
              </w:rPr>
              <w:t>实施</w:t>
            </w:r>
          </w:p>
          <w:p>
            <w:pPr>
              <w:rPr>
                <w:rFonts w:hAnsi="宋体"/>
              </w:rPr>
            </w:pPr>
            <w:r>
              <w:rPr>
                <w:rFonts w:hAnsi="宋体"/>
              </w:rPr>
              <w:t>监控对象</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hAnsi="宋体"/>
              </w:rPr>
              <w:t>包括了</w:t>
            </w:r>
            <w:r>
              <w:rPr>
                <w:rFonts w:hAnsi="宋体"/>
              </w:rPr>
              <w:t>每个CCP所涉及的关键限值；</w:t>
            </w:r>
          </w:p>
          <w:p>
            <w:pPr>
              <w:rPr>
                <w:rFonts w:hAnsi="宋体"/>
              </w:rPr>
            </w:pPr>
            <w:r>
              <w:rPr>
                <w:rFonts w:hint="eastAsia" w:hAnsi="宋体"/>
              </w:rPr>
              <w:t xml:space="preserve"> </w:t>
            </w:r>
            <w:r>
              <w:rPr>
                <w:rFonts w:hAnsi="宋体"/>
              </w:rPr>
              <w:t>监控方法</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Ansi="宋体"/>
              </w:rPr>
              <w:t>准确、及时；</w:t>
            </w:r>
          </w:p>
          <w:p>
            <w:pPr>
              <w:rPr>
                <w:rFonts w:hAnsi="宋体"/>
              </w:rPr>
            </w:pPr>
            <w:r>
              <w:rPr>
                <w:rFonts w:hAnsi="宋体"/>
              </w:rPr>
              <w:t>监控频率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hAnsi="宋体"/>
              </w:rPr>
              <w:t>适宜， 当</w:t>
            </w:r>
            <w:r>
              <w:rPr>
                <w:rFonts w:hAnsi="宋体"/>
              </w:rPr>
              <w:t>采用非连续监控时，其频次应能保证CCP受控的需要；</w:t>
            </w:r>
          </w:p>
          <w:p>
            <w:pPr>
              <w:rPr>
                <w:rFonts w:hAnsi="宋体"/>
              </w:rPr>
            </w:pPr>
            <w:r>
              <w:rPr>
                <w:rFonts w:hAnsi="宋体"/>
              </w:rPr>
              <w:t>监控人员</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Ansi="宋体"/>
              </w:rPr>
              <w:t>接受</w:t>
            </w:r>
            <w:r>
              <w:rPr>
                <w:rFonts w:hint="eastAsia" w:hAnsi="宋体"/>
              </w:rPr>
              <w:t>过</w:t>
            </w:r>
            <w:r>
              <w:rPr>
                <w:rFonts w:hAnsi="宋体"/>
              </w:rPr>
              <w:t>适当的培训</w:t>
            </w:r>
            <w:r>
              <w:rPr>
                <w:rFonts w:hint="eastAsia" w:hAnsi="宋体"/>
              </w:rPr>
              <w:t>，是否能</w:t>
            </w:r>
            <w:r>
              <w:rPr>
                <w:rFonts w:hAnsi="宋体"/>
              </w:rPr>
              <w:t>及时准确地记录和报告监控结果</w:t>
            </w:r>
          </w:p>
          <w:p>
            <w:pPr>
              <w:rPr>
                <w:rFonts w:hAnsi="宋体"/>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hAnsi="宋体"/>
              </w:rPr>
              <w:t>对发生</w:t>
            </w:r>
            <w:r>
              <w:rPr>
                <w:rFonts w:hAnsi="宋体"/>
              </w:rPr>
              <w:t>偏离操作限值，及时采取纠偏</w:t>
            </w:r>
            <w:r>
              <w:rPr>
                <w:rFonts w:hint="eastAsia" w:hAnsi="宋体"/>
              </w:rPr>
              <w:t>以防止再发生</w:t>
            </w:r>
          </w:p>
          <w:p>
            <w:pPr>
              <w:tabs>
                <w:tab w:val="right" w:pos="3119"/>
              </w:tabs>
              <w:rPr>
                <w:rFonts w:hAnsi="宋体"/>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Ansi="宋体"/>
              </w:rPr>
              <w:t>保持监控记录。</w:t>
            </w:r>
          </w:p>
          <w:p>
            <w:pPr>
              <w:tabs>
                <w:tab w:val="right" w:pos="3119"/>
              </w:tabs>
              <w:rPr>
                <w:b/>
              </w:rPr>
            </w:pPr>
          </w:p>
          <w:p>
            <w:pPr>
              <w:tabs>
                <w:tab w:val="right" w:pos="3119"/>
              </w:tabs>
              <w:rPr>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建立关键限值偏离时的纠偏措施</w:t>
            </w:r>
          </w:p>
          <w:p>
            <w:r>
              <w:rPr>
                <w:rFonts w:hint="eastAsia"/>
              </w:rPr>
              <w:t>组织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针对CCP的每个关键限值的偏离预先制定纠偏措施</w:t>
            </w:r>
          </w:p>
          <w:p>
            <w:r>
              <w:t>纠偏措施</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包括实施纠偏措施和负责受影响产品放行的人员；偏离原因的识别和消除；受影响产品的隔离、评估和处理。</w:t>
            </w:r>
          </w:p>
          <w:p>
            <w:r>
              <w:t>在</w:t>
            </w:r>
            <w:r>
              <w:rPr>
                <w:rFonts w:hint="eastAsia"/>
              </w:rPr>
              <w:t>对偏离时的产品</w:t>
            </w:r>
            <w:r>
              <w:t>，</w:t>
            </w:r>
            <w:r>
              <w:rPr>
                <w:rFonts w:hint="eastAsia"/>
              </w:rPr>
              <w:t>如何处理</w:t>
            </w:r>
          </w:p>
          <w:p>
            <w:r>
              <w:t>纠偏人员</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熟悉产品、HACCP计划，</w:t>
            </w:r>
            <w:r>
              <w:rPr>
                <w:rFonts w:hint="eastAsia"/>
              </w:rPr>
              <w:t>是否</w:t>
            </w:r>
            <w:r>
              <w:t>经过适当培训并经授权。</w:t>
            </w:r>
          </w:p>
          <w:p>
            <w:pPr>
              <w:tabs>
                <w:tab w:val="right" w:pos="3119"/>
              </w:tabs>
            </w:pPr>
            <w:r>
              <w:t>当某个关键限值的监视结果反复发生偏离或偏离原因涉及相应控制措施的控制能力时，HACCP小组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重新评估相关控制措施的有效性和适宜性，必要时对其予以改进并更新。</w:t>
            </w:r>
          </w:p>
          <w:p>
            <w:pPr>
              <w:tabs>
                <w:tab w:val="right" w:pos="3119"/>
              </w:tabs>
            </w:pPr>
            <w:r>
              <w:rPr>
                <w:rFonts w:hint="eastAsia" w:ascii="宋体" w:hAnsi="宋体"/>
              </w:rPr>
              <w:t>■</w:t>
            </w:r>
            <w:r>
              <w:rPr>
                <w:rFonts w:hint="eastAsia"/>
                <w:color w:val="0000FF"/>
              </w:rPr>
              <w:t>未发生</w:t>
            </w:r>
            <w:r>
              <w:rPr>
                <w:rFonts w:hint="eastAsia"/>
              </w:rPr>
              <w:t>纠偏</w:t>
            </w:r>
          </w:p>
          <w:p>
            <w:pPr>
              <w:tabs>
                <w:tab w:val="right" w:pos="3119"/>
              </w:tabs>
              <w:rPr>
                <w:color w:val="0000FF"/>
              </w:rPr>
            </w:pPr>
            <w:r>
              <w:rPr>
                <w:rFonts w:hint="eastAsia" w:ascii="宋体" w:hAnsi="宋体"/>
                <w:color w:val="0000FF"/>
              </w:rPr>
              <w:t>□</w:t>
            </w:r>
            <w:r>
              <w:rPr>
                <w:rFonts w:hint="eastAsia"/>
              </w:rPr>
              <w:t>发生纠偏的示例</w:t>
            </w:r>
            <w:r>
              <w:rPr>
                <w:rFonts w:hint="eastAsia"/>
                <w:color w:val="0000FF"/>
              </w:rPr>
              <w:t>：</w:t>
            </w:r>
            <w:r>
              <w:rPr>
                <w:color w:val="0000FF"/>
              </w:rPr>
              <w:t xml:space="preserve"> </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7.8HACCP计划的确认和验证</w:t>
            </w:r>
          </w:p>
          <w:p>
            <w:r>
              <w:rPr>
                <w:rFonts w:hint="eastAsia"/>
              </w:rPr>
              <w:t>组织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建立HACCP计划的确认和验证程序</w:t>
            </w:r>
          </w:p>
          <w:p>
            <w:r>
              <w:t>验证程序</w:t>
            </w:r>
            <w:r>
              <w:rPr>
                <w:rFonts w:hint="eastAsia"/>
              </w:rPr>
              <w:t>内容</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包括：验证的依据和方法、验证的频次、验证的人员、验证的内容、验证结果及采取的措施、验证记录等。</w:t>
            </w:r>
          </w:p>
          <w:p>
            <w:pPr>
              <w:tabs>
                <w:tab w:val="right" w:pos="3119"/>
              </w:tabs>
              <w:rPr>
                <w:color w:val="0000FF"/>
                <w:szCs w:val="21"/>
              </w:rPr>
            </w:pPr>
            <w:r>
              <w:rPr>
                <w:rFonts w:hint="eastAsia"/>
              </w:rPr>
              <w:t>于</w:t>
            </w:r>
            <w:r>
              <w:rPr>
                <w:rFonts w:hint="eastAsia"/>
                <w:color w:val="0000FF"/>
                <w:szCs w:val="21"/>
                <w:u w:val="single"/>
              </w:rPr>
              <w:t xml:space="preserve">  2019   </w:t>
            </w:r>
            <w:r>
              <w:rPr>
                <w:rFonts w:hint="eastAsia"/>
                <w:color w:val="0000FF"/>
                <w:szCs w:val="21"/>
              </w:rPr>
              <w:t>年</w:t>
            </w:r>
            <w:r>
              <w:rPr>
                <w:rFonts w:hint="eastAsia"/>
                <w:color w:val="0000FF"/>
                <w:szCs w:val="21"/>
                <w:u w:val="single"/>
              </w:rPr>
              <w:t xml:space="preserve"> </w:t>
            </w:r>
            <w:r>
              <w:rPr>
                <w:color w:val="0000FF"/>
                <w:szCs w:val="21"/>
                <w:u w:val="single"/>
              </w:rPr>
              <w:t>12</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 xml:space="preserve">4 </w:t>
            </w:r>
            <w:r>
              <w:rPr>
                <w:rFonts w:hint="eastAsia"/>
                <w:color w:val="0000FF"/>
                <w:szCs w:val="21"/>
              </w:rPr>
              <w:t>日，进行确认了HACCP计划。</w:t>
            </w:r>
          </w:p>
          <w:p>
            <w:pPr>
              <w:tabs>
                <w:tab w:val="right" w:pos="3119"/>
              </w:tabs>
              <w:rPr>
                <w:color w:val="0000FF"/>
                <w:szCs w:val="21"/>
              </w:rPr>
            </w:pPr>
            <w:r>
              <w:rPr>
                <w:rFonts w:hint="eastAsia"/>
              </w:rPr>
              <w:t>于</w:t>
            </w:r>
            <w:r>
              <w:rPr>
                <w:rFonts w:hint="eastAsia"/>
                <w:color w:val="0000FF"/>
                <w:szCs w:val="21"/>
                <w:u w:val="single"/>
              </w:rPr>
              <w:t xml:space="preserve">  2019   </w:t>
            </w:r>
            <w:r>
              <w:rPr>
                <w:rFonts w:hint="eastAsia"/>
                <w:color w:val="0000FF"/>
                <w:szCs w:val="21"/>
              </w:rPr>
              <w:t>年</w:t>
            </w:r>
            <w:r>
              <w:rPr>
                <w:rFonts w:hint="eastAsia"/>
                <w:color w:val="0000FF"/>
                <w:szCs w:val="21"/>
                <w:u w:val="single"/>
              </w:rPr>
              <w:t xml:space="preserve"> </w:t>
            </w:r>
            <w:r>
              <w:rPr>
                <w:color w:val="0000FF"/>
                <w:szCs w:val="21"/>
                <w:u w:val="single"/>
              </w:rPr>
              <w:t>12</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4</w:t>
            </w:r>
            <w:r>
              <w:rPr>
                <w:rFonts w:hint="eastAsia"/>
                <w:color w:val="0000FF"/>
                <w:szCs w:val="21"/>
                <w:u w:val="single"/>
              </w:rPr>
              <w:t xml:space="preserve"> </w:t>
            </w:r>
            <w:r>
              <w:rPr>
                <w:rFonts w:hint="eastAsia"/>
                <w:color w:val="0000FF"/>
                <w:szCs w:val="21"/>
              </w:rPr>
              <w:t>日，进行验证了HACCP计划。</w:t>
            </w:r>
          </w:p>
          <w:p/>
          <w:p>
            <w:r>
              <w:t>监控设备</w:t>
            </w:r>
            <w:r>
              <w:rPr>
                <w:rFonts w:hint="eastAsia"/>
                <w:color w:val="0000FF"/>
              </w:rPr>
              <w:t>是/否</w:t>
            </w:r>
            <w:r>
              <w:rPr>
                <w:rFonts w:hint="eastAsia"/>
              </w:rPr>
              <w:t>经</w:t>
            </w:r>
            <w:r>
              <w:t>有资格的检验机构</w:t>
            </w:r>
            <w:r>
              <w:rPr>
                <w:rFonts w:hint="eastAsia"/>
              </w:rPr>
              <w:t>进行了</w:t>
            </w:r>
            <w:r>
              <w:t>校准</w:t>
            </w:r>
            <w:r>
              <w:rPr>
                <w:rFonts w:hint="eastAsia"/>
              </w:rPr>
              <w:t>，</w:t>
            </w:r>
            <w:r>
              <w:t>并</w:t>
            </w:r>
            <w:r>
              <w:rPr>
                <w:rFonts w:hint="eastAsia"/>
              </w:rPr>
              <w:t>保留了</w:t>
            </w:r>
            <w:r>
              <w:t>形成文件的技术验证报告。</w:t>
            </w:r>
          </w:p>
          <w:p>
            <w:r>
              <w:rPr>
                <w:rFonts w:hint="eastAsia"/>
              </w:rPr>
              <w:t>本审核证实该公司规定的监视和测量方法适合监视和测量程序。具体参见下例：</w:t>
            </w:r>
          </w:p>
          <w:p>
            <w:pPr>
              <w:widowControl/>
              <w:numPr>
                <w:ilvl w:val="0"/>
                <w:numId w:val="21"/>
              </w:numPr>
              <w:spacing w:before="60" w:after="60"/>
              <w:rPr>
                <w:rFonts w:eastAsia="Times New Roman"/>
                <w:color w:val="0000FF"/>
                <w:lang w:val="de-DE"/>
              </w:rPr>
            </w:pPr>
            <w:r>
              <w:rPr>
                <w:rFonts w:hint="eastAsia"/>
                <w:color w:val="0000FF"/>
              </w:rPr>
              <w:t xml:space="preserve">笔式温度计   检定证书  </w:t>
            </w:r>
            <w:r>
              <w:rPr>
                <w:rFonts w:hint="eastAsia"/>
              </w:rPr>
              <w:t>ZS2000186D002</w:t>
            </w:r>
            <w:r>
              <w:rPr>
                <w:rFonts w:hint="eastAsia"/>
                <w:color w:val="0000FF"/>
              </w:rPr>
              <w:t xml:space="preserve">    有效期至</w:t>
            </w:r>
            <w:r>
              <w:rPr>
                <w:rFonts w:hint="eastAsia"/>
              </w:rPr>
              <w:t>2021-01-15</w:t>
            </w:r>
          </w:p>
          <w:p>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将</w:t>
            </w:r>
            <w:r>
              <w:t>验证的结果需要输入到管理评审中</w:t>
            </w:r>
          </w:p>
          <w:p>
            <w:r>
              <w:t>当验证结果不符合要求时，</w:t>
            </w:r>
            <w:r>
              <w:rPr>
                <w:rFonts w:hint="eastAsia" w:ascii="宋体" w:hAnsi="宋体"/>
                <w:color w:val="0000FF"/>
              </w:rPr>
              <w:t>□</w:t>
            </w:r>
            <w:r>
              <w:rPr>
                <w:color w:val="0000FF"/>
              </w:rPr>
              <w:t>是</w:t>
            </w:r>
            <w:r>
              <w:rPr>
                <w:rFonts w:hint="eastAsia"/>
                <w:color w:val="0000FF"/>
              </w:rPr>
              <w:t>/</w:t>
            </w:r>
            <w:r>
              <w:rPr>
                <w:rFonts w:hint="eastAsia" w:ascii="宋体" w:hAnsi="宋体"/>
                <w:color w:val="0000FF"/>
              </w:rPr>
              <w:t>□</w:t>
            </w:r>
            <w:r>
              <w:rPr>
                <w:color w:val="0000FF"/>
              </w:rPr>
              <w:t>否</w:t>
            </w:r>
            <w:r>
              <w:t>采取纠正措施并进行再验证</w:t>
            </w:r>
            <w:r>
              <w:rPr>
                <w:rFonts w:hint="eastAsia"/>
              </w:rPr>
              <w:t>——</w:t>
            </w:r>
            <w:r>
              <w:t>未发生</w:t>
            </w:r>
          </w:p>
          <w:p>
            <w:pPr>
              <w:tabs>
                <w:tab w:val="right" w:pos="3119"/>
              </w:tabs>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rPr>
              <w:t>再验证</w:t>
            </w:r>
            <w:r>
              <w:rPr>
                <w:rFonts w:hint="eastAsia"/>
                <w:color w:val="0000FF"/>
                <w:szCs w:val="21"/>
                <w:u w:val="single"/>
              </w:rPr>
              <w:t xml:space="preserve">                         </w:t>
            </w:r>
            <w:r>
              <w:rPr>
                <w:rFonts w:hint="eastAsia"/>
                <w:color w:val="0000FF"/>
                <w:szCs w:val="21"/>
              </w:rPr>
              <w:t>。</w:t>
            </w:r>
          </w:p>
          <w:p>
            <w:pPr>
              <w:rPr>
                <w:b/>
              </w:rPr>
            </w:pPr>
          </w:p>
          <w:p>
            <w:pPr>
              <w:rPr>
                <w:b/>
              </w:rPr>
            </w:pPr>
            <w:r>
              <w:rPr>
                <w:rFonts w:hint="eastAsia"/>
                <w:b/>
              </w:rPr>
              <w:t>其他方面的的验证</w:t>
            </w:r>
          </w:p>
          <w:p>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按照策划的要求进行了验证</w:t>
            </w:r>
          </w:p>
          <w:p>
            <w:r>
              <w:rPr>
                <w:rFonts w:hint="eastAsia"/>
              </w:rPr>
              <w:t>验证结果</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符合要求</w:t>
            </w:r>
          </w:p>
          <w:p>
            <w:pPr>
              <w:tabs>
                <w:tab w:val="right" w:pos="3119"/>
              </w:tabs>
              <w:rPr>
                <w:b/>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HACCP计划记录的保持</w:t>
            </w:r>
          </w:p>
          <w:p>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保持HACCP计划制定、运行、验证等记录。</w:t>
            </w:r>
          </w:p>
          <w:p>
            <w:r>
              <w:t>HACCP计划记录的控制</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与体系记录的控制一致。</w:t>
            </w:r>
          </w:p>
          <w:p>
            <w:pPr>
              <w:tabs>
                <w:tab w:val="right" w:pos="3119"/>
              </w:tabs>
              <w:rPr>
                <w:b/>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保持了</w:t>
            </w:r>
            <w:r>
              <w:t>HACCP计划</w:t>
            </w:r>
            <w:r>
              <w:rPr>
                <w:rFonts w:hint="eastAsia"/>
              </w:rPr>
              <w:t>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autoSpaceDE w:val="0"/>
              <w:autoSpaceDN w:val="0"/>
              <w:adjustRightInd w:val="0"/>
              <w:rPr>
                <w:b/>
              </w:rPr>
            </w:pPr>
            <w:r>
              <w:rPr>
                <w:rFonts w:hint="eastAsia"/>
                <w:b/>
              </w:rPr>
              <w:t>食品</w:t>
            </w:r>
            <w:r>
              <w:rPr>
                <w:b/>
              </w:rPr>
              <w:t>防护计划</w:t>
            </w:r>
          </w:p>
          <w:p>
            <w:pPr>
              <w:tabs>
                <w:tab w:val="left" w:pos="510"/>
              </w:tabs>
              <w:autoSpaceDE w:val="0"/>
              <w:autoSpaceDN w:val="0"/>
              <w:adjustRightInd w:val="0"/>
              <w:ind w:right="6"/>
              <w:rPr>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针对</w:t>
            </w:r>
            <w:r>
              <w:rPr>
                <w:rFonts w:hint="eastAsia"/>
              </w:rPr>
              <w:t>人为</w:t>
            </w:r>
            <w:r>
              <w:t>破坏或蓄意污染等造成的显著危害</w:t>
            </w:r>
            <w:r>
              <w:rPr>
                <w:rFonts w:hint="eastAsia"/>
              </w:rPr>
              <w:t>建立</w:t>
            </w:r>
            <w:r>
              <w:t>了食品防护计划</w:t>
            </w:r>
            <w:r>
              <w:rPr>
                <w:rFonts w:hint="eastAsia"/>
              </w:rPr>
              <w:t>，最大限度地减少或消除致敏物质交叉污染。</w:t>
            </w:r>
          </w:p>
          <w:p>
            <w:pPr>
              <w:autoSpaceDE w:val="0"/>
              <w:autoSpaceDN w:val="0"/>
              <w:adjustRightInd w:val="0"/>
              <w:rPr>
                <w:highlight w:val="none"/>
              </w:rPr>
            </w:pPr>
            <w:r>
              <w:rPr>
                <w:highlight w:val="none"/>
              </w:rPr>
              <w:t>并</w:t>
            </w:r>
            <w:r>
              <w:rPr>
                <w:rFonts w:hint="eastAsia"/>
                <w:highlight w:val="none"/>
                <w:lang w:val="en-GB"/>
              </w:rPr>
              <w:t>由</w:t>
            </w:r>
            <w:r>
              <w:rPr>
                <w:rFonts w:hint="eastAsia"/>
                <w:color w:val="0000FF"/>
                <w:szCs w:val="21"/>
                <w:highlight w:val="none"/>
                <w:u w:val="single"/>
              </w:rPr>
              <w:t xml:space="preserve">   HACCP小组  </w:t>
            </w:r>
            <w:r>
              <w:rPr>
                <w:rFonts w:hint="eastAsia"/>
                <w:highlight w:val="none"/>
              </w:rPr>
              <w:t>于</w:t>
            </w:r>
            <w:r>
              <w:rPr>
                <w:rFonts w:hint="eastAsia"/>
                <w:color w:val="0000FF"/>
                <w:szCs w:val="21"/>
                <w:highlight w:val="none"/>
                <w:u w:val="single"/>
              </w:rPr>
              <w:t xml:space="preserve">   2019  </w:t>
            </w:r>
            <w:r>
              <w:rPr>
                <w:rFonts w:hint="eastAsia"/>
                <w:color w:val="0000FF"/>
                <w:szCs w:val="21"/>
                <w:highlight w:val="none"/>
              </w:rPr>
              <w:t>年</w:t>
            </w:r>
            <w:r>
              <w:rPr>
                <w:rFonts w:hint="eastAsia"/>
                <w:color w:val="0000FF"/>
                <w:szCs w:val="21"/>
                <w:highlight w:val="none"/>
                <w:u w:val="single"/>
              </w:rPr>
              <w:t xml:space="preserve">  </w:t>
            </w:r>
            <w:r>
              <w:rPr>
                <w:color w:val="0000FF"/>
                <w:szCs w:val="21"/>
                <w:highlight w:val="none"/>
                <w:u w:val="single"/>
              </w:rPr>
              <w:t>12</w:t>
            </w:r>
            <w:r>
              <w:rPr>
                <w:rFonts w:hint="eastAsia"/>
                <w:color w:val="0000FF"/>
                <w:szCs w:val="21"/>
                <w:highlight w:val="none"/>
                <w:u w:val="single"/>
              </w:rPr>
              <w:t xml:space="preserve">  </w:t>
            </w:r>
            <w:r>
              <w:rPr>
                <w:rFonts w:hint="eastAsia"/>
                <w:color w:val="0000FF"/>
                <w:szCs w:val="21"/>
                <w:highlight w:val="none"/>
              </w:rPr>
              <w:t>月</w:t>
            </w:r>
            <w:r>
              <w:rPr>
                <w:color w:val="0000FF"/>
                <w:szCs w:val="21"/>
                <w:highlight w:val="none"/>
                <w:u w:val="single"/>
              </w:rPr>
              <w:t xml:space="preserve"> </w:t>
            </w:r>
            <w:r>
              <w:rPr>
                <w:rFonts w:hint="eastAsia"/>
                <w:color w:val="0000FF"/>
                <w:szCs w:val="21"/>
                <w:highlight w:val="none"/>
                <w:u w:val="single"/>
                <w:lang w:val="en-US" w:eastAsia="zh-CN"/>
              </w:rPr>
              <w:t>1</w:t>
            </w:r>
            <w:r>
              <w:rPr>
                <w:color w:val="0000FF"/>
                <w:szCs w:val="21"/>
                <w:highlight w:val="none"/>
                <w:u w:val="single"/>
              </w:rPr>
              <w:t xml:space="preserve">  </w:t>
            </w:r>
            <w:r>
              <w:rPr>
                <w:rFonts w:hint="eastAsia"/>
                <w:color w:val="0000FF"/>
                <w:szCs w:val="21"/>
                <w:highlight w:val="none"/>
              </w:rPr>
              <w:t>日</w:t>
            </w:r>
            <w:r>
              <w:rPr>
                <w:highlight w:val="none"/>
              </w:rPr>
              <w:t>证实其有效性</w:t>
            </w:r>
            <w:r>
              <w:rPr>
                <w:rFonts w:hint="eastAsia"/>
                <w:highlight w:val="none"/>
              </w:rPr>
              <w:t>。</w:t>
            </w:r>
          </w:p>
          <w:p>
            <w:pPr>
              <w:tabs>
                <w:tab w:val="right" w:pos="3119"/>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autoSpaceDE w:val="0"/>
              <w:autoSpaceDN w:val="0"/>
              <w:adjustRightInd w:val="0"/>
              <w:rPr>
                <w:b/>
              </w:rPr>
            </w:pPr>
            <w:r>
              <w:rPr>
                <w:rFonts w:hint="eastAsia"/>
                <w:b/>
              </w:rPr>
              <w:t>致敏物质的管理</w:t>
            </w:r>
          </w:p>
          <w:p>
            <w:pPr>
              <w:autoSpaceDE w:val="0"/>
              <w:autoSpaceDN w:val="0"/>
              <w:adjustRightInd w:val="0"/>
              <w:rPr>
                <w: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针对</w:t>
            </w:r>
            <w:r>
              <w:rPr>
                <w:rFonts w:hint="eastAsia"/>
              </w:rPr>
              <w:t>所有食品加工过程及设施的致敏物质管理方案，</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对原辅料、中间品、成品、食品添加剂、加工助剂、接触材料及任何新产品开发引入的新成分进行致敏物质评估记录；</w:t>
            </w:r>
          </w:p>
          <w:p>
            <w:pPr>
              <w:autoSpaceDE w:val="0"/>
              <w:autoSpaceDN w:val="0"/>
              <w:adjustRightInd w:val="0"/>
            </w:pPr>
            <w:r>
              <w:rPr>
                <w:rFonts w:hint="eastAsia"/>
              </w:rPr>
              <w:t>制定了减少或消除致敏物质交叉污染的控制措施，</w:t>
            </w:r>
          </w:p>
          <w:p>
            <w:pPr>
              <w:autoSpaceDE w:val="0"/>
              <w:autoSpaceDN w:val="0"/>
              <w:adjustRightInd w:val="0"/>
            </w:pPr>
            <w:r>
              <w:t>并</w:t>
            </w:r>
            <w:r>
              <w:rPr>
                <w:rFonts w:hint="eastAsia"/>
                <w:lang w:val="en-GB"/>
              </w:rPr>
              <w:t>由</w:t>
            </w:r>
            <w:r>
              <w:rPr>
                <w:rFonts w:hint="eastAsia"/>
                <w:color w:val="0000FF"/>
                <w:szCs w:val="21"/>
                <w:u w:val="single"/>
              </w:rPr>
              <w:t xml:space="preserve">  HACCP小组    </w:t>
            </w:r>
            <w:r>
              <w:rPr>
                <w:rFonts w:hint="eastAsia"/>
              </w:rPr>
              <w:t>于</w:t>
            </w:r>
            <w:r>
              <w:rPr>
                <w:rFonts w:hint="eastAsia"/>
                <w:color w:val="0000FF"/>
                <w:szCs w:val="21"/>
                <w:u w:val="single"/>
              </w:rPr>
              <w:t xml:space="preserve">  20</w:t>
            </w:r>
            <w:r>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10</w:t>
            </w:r>
            <w:r>
              <w:rPr>
                <w:rFonts w:hint="eastAsia"/>
                <w:color w:val="0000FF"/>
                <w:szCs w:val="21"/>
                <w:u w:val="single"/>
              </w:rPr>
              <w:t xml:space="preserve"> </w:t>
            </w:r>
            <w:r>
              <w:rPr>
                <w:rFonts w:hint="eastAsia"/>
                <w:color w:val="0000FF"/>
                <w:szCs w:val="21"/>
              </w:rPr>
              <w:t>日</w:t>
            </w:r>
            <w:r>
              <w:rPr>
                <w:rFonts w:hint="eastAsia"/>
              </w:rPr>
              <w:t>确认和验证其控制措施的</w:t>
            </w:r>
            <w:r>
              <w:t>有效性</w:t>
            </w:r>
            <w:r>
              <w:rPr>
                <w:rFonts w:hint="eastAsia"/>
              </w:rPr>
              <w:t>。</w:t>
            </w:r>
          </w:p>
          <w:p>
            <w:pPr>
              <w:tabs>
                <w:tab w:val="right" w:pos="3119"/>
              </w:tabs>
              <w:rPr>
                <w: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color w:val="0000FF"/>
                <w:lang w:val="en-GB"/>
              </w:rPr>
              <w:t>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autoSpaceDE w:val="0"/>
              <w:autoSpaceDN w:val="0"/>
              <w:adjustRightInd w:val="0"/>
              <w:rPr>
                <w:b/>
              </w:rPr>
            </w:pPr>
            <w:r>
              <w:rPr>
                <w:rFonts w:hint="eastAsia"/>
                <w:b/>
              </w:rPr>
              <w:t>食品欺诈的预防</w:t>
            </w:r>
          </w:p>
          <w:p>
            <w:pPr>
              <w:autoSpaceDE w:val="0"/>
              <w:autoSpaceDN w:val="0"/>
              <w:adjustRightInd w:val="0"/>
              <w:rPr>
                <w: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建立</w:t>
            </w:r>
            <w:r>
              <w:t>了</w:t>
            </w:r>
            <w:r>
              <w:rPr>
                <w:rFonts w:hint="eastAsia"/>
              </w:rPr>
              <w:t>食品欺诈脆弱性评估程序，企业已收集有关供应链食品欺诈的以往和现行威胁信息，对食品链所有的原辅料进行脆弱性评估，以评估食品欺诈的潜在风险。</w:t>
            </w:r>
          </w:p>
          <w:p>
            <w:pPr>
              <w:autoSpaceDE w:val="0"/>
              <w:autoSpaceDN w:val="0"/>
              <w:adjustRightInd w:val="0"/>
            </w:pPr>
            <w:r>
              <w:rPr>
                <w:rFonts w:hint="eastAsia"/>
              </w:rPr>
              <w:t>应依据适用的法律法规制定文件化的食品欺诈预防计划，</w:t>
            </w:r>
          </w:p>
          <w:p>
            <w:pPr>
              <w:autoSpaceDE w:val="0"/>
              <w:autoSpaceDN w:val="0"/>
              <w:adjustRightInd w:val="0"/>
            </w:pPr>
            <w:r>
              <w:t>并</w:t>
            </w:r>
            <w:r>
              <w:rPr>
                <w:rFonts w:hint="eastAsia"/>
                <w:lang w:val="en-GB"/>
              </w:rPr>
              <w:t>由</w:t>
            </w:r>
            <w:r>
              <w:rPr>
                <w:rFonts w:hint="eastAsia"/>
                <w:color w:val="0000FF"/>
                <w:szCs w:val="21"/>
                <w:u w:val="single"/>
              </w:rPr>
              <w:t xml:space="preserve">  HACCP小组    </w:t>
            </w:r>
            <w:r>
              <w:rPr>
                <w:rFonts w:hint="eastAsia"/>
              </w:rPr>
              <w:t>于</w:t>
            </w:r>
            <w:r>
              <w:rPr>
                <w:rFonts w:hint="eastAsia"/>
                <w:color w:val="0000FF"/>
                <w:szCs w:val="21"/>
                <w:u w:val="single"/>
              </w:rPr>
              <w:t xml:space="preserve">  20</w:t>
            </w:r>
            <w:r>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color w:val="0000FF"/>
                <w:szCs w:val="21"/>
                <w:u w:val="single"/>
              </w:rPr>
              <w:t>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10</w:t>
            </w:r>
            <w:r>
              <w:rPr>
                <w:rFonts w:hint="eastAsia"/>
                <w:color w:val="0000FF"/>
                <w:szCs w:val="21"/>
                <w:u w:val="single"/>
              </w:rPr>
              <w:t xml:space="preserve"> </w:t>
            </w:r>
            <w:r>
              <w:rPr>
                <w:rFonts w:hint="eastAsia"/>
                <w:color w:val="0000FF"/>
                <w:szCs w:val="21"/>
              </w:rPr>
              <w:t>日</w:t>
            </w:r>
            <w:r>
              <w:rPr>
                <w:rFonts w:hint="eastAsia"/>
              </w:rPr>
              <w:t>确认和验证</w:t>
            </w:r>
            <w:r>
              <w:t>其</w:t>
            </w:r>
            <w:r>
              <w:rPr>
                <w:rFonts w:hint="eastAsia"/>
              </w:rPr>
              <w:t>预防措施</w:t>
            </w:r>
            <w:r>
              <w:t>有效性</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tabs>
                <w:tab w:val="left" w:pos="510"/>
              </w:tabs>
              <w:autoSpaceDE w:val="0"/>
              <w:autoSpaceDN w:val="0"/>
              <w:adjustRightInd w:val="0"/>
              <w:ind w:right="6"/>
              <w:rPr>
                <w:lang w:val="en-GB"/>
              </w:rPr>
            </w:pPr>
            <w:r>
              <w:rPr>
                <w:rFonts w:hint="eastAsia"/>
                <w:lang w:val="en-GB"/>
              </w:rPr>
              <w:t>产品安全性验证</w:t>
            </w:r>
          </w:p>
        </w:tc>
        <w:tc>
          <w:tcPr>
            <w:tcW w:w="7407" w:type="dxa"/>
            <w:tcBorders>
              <w:top w:val="single" w:color="auto" w:sz="4" w:space="0"/>
              <w:left w:val="single" w:color="auto" w:sz="4" w:space="0"/>
              <w:bottom w:val="single" w:color="auto" w:sz="4" w:space="0"/>
              <w:right w:val="single" w:color="auto" w:sz="4" w:space="0"/>
            </w:tcBorders>
            <w:vAlign w:val="center"/>
          </w:tcPr>
          <w:p>
            <w:pPr>
              <w:rPr>
                <w:color w:val="0000FF"/>
              </w:rPr>
            </w:pPr>
            <w:r>
              <w:rPr>
                <w:rFonts w:hint="eastAsia"/>
                <w:color w:val="0000FF"/>
              </w:rPr>
              <w:t>抽查检测报告的编号：</w:t>
            </w:r>
            <w:r>
              <w:rPr>
                <w:rFonts w:hint="eastAsia"/>
                <w:color w:val="0000FF"/>
                <w:u w:val="single"/>
              </w:rPr>
              <w:t xml:space="preserve">  </w:t>
            </w:r>
            <w:r>
              <w:rPr>
                <w:color w:val="0000FF"/>
                <w:u w:val="single"/>
              </w:rPr>
              <w:t>FRK202000195</w:t>
            </w:r>
            <w:r>
              <w:rPr>
                <w:rFonts w:hint="eastAsia"/>
                <w:color w:val="0000FF"/>
                <w:u w:val="single"/>
              </w:rPr>
              <w:t xml:space="preserve">      </w:t>
            </w:r>
          </w:p>
          <w:p>
            <w:pPr>
              <w:rPr>
                <w:color w:val="0000FF"/>
              </w:rPr>
            </w:pPr>
            <w:r>
              <w:rPr>
                <w:rFonts w:hint="eastAsia"/>
                <w:color w:val="0000FF"/>
              </w:rPr>
              <w:t>检测单位的名称：</w:t>
            </w:r>
            <w:r>
              <w:rPr>
                <w:rFonts w:hint="eastAsia"/>
                <w:color w:val="0000FF"/>
                <w:u w:val="single"/>
              </w:rPr>
              <w:t xml:space="preserve">  福建中检华日食品安全检测有限公司    </w:t>
            </w:r>
          </w:p>
          <w:p>
            <w:pPr>
              <w:rPr>
                <w:color w:val="0000FF"/>
              </w:rPr>
            </w:pPr>
            <w:r>
              <w:rPr>
                <w:rFonts w:hint="eastAsia"/>
                <w:color w:val="0000FF"/>
              </w:rPr>
              <w:t>检测日期：</w:t>
            </w:r>
            <w:r>
              <w:rPr>
                <w:rFonts w:hint="eastAsia"/>
                <w:color w:val="0000FF"/>
                <w:u w:val="single"/>
              </w:rPr>
              <w:t xml:space="preserve">      20</w:t>
            </w:r>
            <w:r>
              <w:rPr>
                <w:color w:val="0000FF"/>
                <w:u w:val="single"/>
              </w:rPr>
              <w:t>20</w:t>
            </w:r>
            <w:r>
              <w:rPr>
                <w:rFonts w:hint="eastAsia"/>
                <w:color w:val="0000FF"/>
                <w:u w:val="single"/>
              </w:rPr>
              <w:t>-</w:t>
            </w:r>
            <w:r>
              <w:rPr>
                <w:color w:val="0000FF"/>
                <w:u w:val="single"/>
              </w:rPr>
              <w:t>01</w:t>
            </w:r>
            <w:r>
              <w:rPr>
                <w:rFonts w:hint="eastAsia"/>
                <w:color w:val="0000FF"/>
                <w:u w:val="single"/>
              </w:rPr>
              <w:t>-</w:t>
            </w:r>
            <w:r>
              <w:rPr>
                <w:color w:val="0000FF"/>
                <w:u w:val="single"/>
              </w:rPr>
              <w:t>07</w:t>
            </w:r>
            <w:r>
              <w:rPr>
                <w:rFonts w:hint="eastAsia"/>
                <w:color w:val="0000FF"/>
                <w:u w:val="single"/>
              </w:rPr>
              <w:t xml:space="preserve">              </w:t>
            </w:r>
          </w:p>
          <w:p>
            <w:pPr>
              <w:rPr>
                <w:color w:val="0000FF"/>
              </w:rPr>
            </w:pPr>
            <w:r>
              <w:rPr>
                <w:rFonts w:hint="eastAsia"/>
                <w:color w:val="0000FF"/>
              </w:rPr>
              <w:t>检测的产品名称：</w:t>
            </w:r>
            <w:r>
              <w:rPr>
                <w:rFonts w:hint="eastAsia"/>
                <w:color w:val="0000FF"/>
                <w:u w:val="single"/>
              </w:rPr>
              <w:t xml:space="preserve">   托盘、碗、碟子、筷子、    </w:t>
            </w:r>
          </w:p>
          <w:p>
            <w:pPr>
              <w:rPr>
                <w:color w:val="0000FF"/>
              </w:rPr>
            </w:pPr>
            <w:r>
              <w:rPr>
                <w:rFonts w:hint="eastAsia"/>
                <w:color w:val="0000FF"/>
              </w:rPr>
              <w:t>检测执行的标准：</w:t>
            </w:r>
            <w:r>
              <w:rPr>
                <w:rFonts w:hint="eastAsia"/>
                <w:color w:val="0000FF"/>
                <w:u w:val="single"/>
              </w:rPr>
              <w:t xml:space="preserve">   GB14934-2016《食品安全国家标准 消毒餐(饮)具》          </w:t>
            </w:r>
          </w:p>
          <w:p>
            <w:pPr>
              <w:rPr>
                <w:color w:val="000000"/>
              </w:rPr>
            </w:pPr>
            <w:r>
              <w:rPr>
                <w:rFonts w:hint="eastAsia"/>
              </w:rPr>
              <w:t>检验机构</w:t>
            </w:r>
            <w:r>
              <w:rPr>
                <w:rFonts w:hint="eastAsia"/>
                <w:color w:val="000000"/>
              </w:rPr>
              <w:t>通过实验室认可</w:t>
            </w:r>
            <w:r>
              <w:rPr>
                <w:rFonts w:hint="eastAsia"/>
                <w:color w:val="000000"/>
                <w:lang w:val="en-US" w:eastAsia="zh-CN"/>
              </w:rPr>
              <w:t xml:space="preserve">            </w:t>
            </w:r>
            <w:r>
              <w:rPr>
                <w:rFonts w:hint="eastAsia"/>
                <w:color w:val="0000FF"/>
                <w:szCs w:val="21"/>
              </w:rPr>
              <w:t xml:space="preserve">  </w:t>
            </w:r>
            <w:r>
              <w:rPr>
                <w:rFonts w:hint="eastAsia" w:ascii="宋体" w:hAnsi="宋体"/>
                <w:color w:val="000000"/>
                <w:lang w:val="en-GB"/>
              </w:rPr>
              <w:t>■</w:t>
            </w:r>
            <w:r>
              <w:rPr>
                <w:rFonts w:hint="eastAsia"/>
                <w:color w:val="0000FF"/>
              </w:rPr>
              <w:t xml:space="preserve">是    </w:t>
            </w:r>
            <w:r>
              <w:rPr>
                <w:color w:val="000000"/>
                <w:lang w:val="en-GB"/>
              </w:rPr>
              <w:t>□</w:t>
            </w:r>
            <w:r>
              <w:rPr>
                <w:rFonts w:hint="eastAsia"/>
                <w:color w:val="0000FF"/>
              </w:rPr>
              <w:t>否</w:t>
            </w:r>
          </w:p>
          <w:p>
            <w:pPr>
              <w:rPr>
                <w:color w:val="000000"/>
              </w:rPr>
            </w:pPr>
            <w:r>
              <w:rPr>
                <w:rFonts w:hint="eastAsia"/>
                <w:color w:val="000000"/>
              </w:rPr>
              <w:t xml:space="preserve">检验结果在产品标准规定的有效期内    </w:t>
            </w:r>
            <w:r>
              <w:rPr>
                <w:rFonts w:hint="eastAsia" w:ascii="宋体" w:hAnsi="宋体"/>
                <w:color w:val="000000"/>
                <w:lang w:val="en-GB"/>
              </w:rPr>
              <w:t>■</w:t>
            </w:r>
            <w:r>
              <w:rPr>
                <w:rFonts w:hint="eastAsia"/>
                <w:color w:val="0000FF"/>
              </w:rPr>
              <w:t xml:space="preserve">是    </w:t>
            </w:r>
            <w:r>
              <w:rPr>
                <w:color w:val="000000"/>
                <w:lang w:val="en-GB"/>
              </w:rPr>
              <w:t>□</w:t>
            </w:r>
            <w:r>
              <w:rPr>
                <w:rFonts w:hint="eastAsia"/>
                <w:color w:val="0000FF"/>
              </w:rPr>
              <w:t>否</w:t>
            </w:r>
          </w:p>
          <w:p>
            <w:pPr>
              <w:rPr>
                <w:color w:val="0000FF"/>
              </w:rPr>
            </w:pPr>
            <w:r>
              <w:rPr>
                <w:rFonts w:hint="eastAsia"/>
                <w:color w:val="000000"/>
              </w:rPr>
              <w:t>检验结果中的检验项目齐全</w:t>
            </w:r>
            <w:r>
              <w:rPr>
                <w:rFonts w:hint="eastAsia"/>
                <w:color w:val="000000"/>
                <w:lang w:val="en-US" w:eastAsia="zh-CN"/>
              </w:rPr>
              <w:t xml:space="preserve">           </w:t>
            </w:r>
            <w:r>
              <w:rPr>
                <w:rFonts w:hint="eastAsia"/>
                <w:color w:val="000000"/>
              </w:rPr>
              <w:t xml:space="preserve"> </w:t>
            </w:r>
            <w:r>
              <w:rPr>
                <w:rFonts w:hint="eastAsia" w:ascii="宋体" w:hAnsi="宋体"/>
                <w:color w:val="000000"/>
                <w:lang w:val="en-GB"/>
              </w:rPr>
              <w:t>■</w:t>
            </w:r>
            <w:r>
              <w:rPr>
                <w:rFonts w:hint="eastAsia"/>
                <w:color w:val="0000FF"/>
              </w:rPr>
              <w:t xml:space="preserve">是    </w:t>
            </w:r>
            <w:bookmarkStart w:id="9" w:name="_GoBack"/>
            <w:bookmarkEnd w:id="9"/>
            <w:r>
              <w:rPr>
                <w:color w:val="000000"/>
                <w:lang w:val="en-GB"/>
              </w:rPr>
              <w:t>□</w:t>
            </w:r>
            <w:r>
              <w:rPr>
                <w:rFonts w:hint="eastAsia"/>
                <w:color w:val="0000FF"/>
              </w:rPr>
              <w:t>否</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left"/>
              <w:rPr>
                <w:color w:val="FF0000"/>
              </w:rPr>
            </w:pPr>
          </w:p>
          <w:p>
            <w:pPr>
              <w:widowControl/>
              <w:jc w:val="left"/>
              <w:rPr>
                <w:color w:val="FF0000"/>
              </w:rPr>
            </w:pPr>
          </w:p>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所有被抽样到的、被评审过的工作记录都是真实的。</w:t>
            </w:r>
          </w:p>
          <w:p>
            <w:pPr>
              <w:tabs>
                <w:tab w:val="left" w:pos="510"/>
              </w:tabs>
              <w:autoSpaceDE w:val="0"/>
              <w:autoSpaceDN w:val="0"/>
              <w:adjustRightInd w:val="0"/>
              <w:ind w:right="6"/>
              <w:jc w:val="left"/>
              <w:rPr>
                <w:color w:val="000000"/>
              </w:rPr>
            </w:pPr>
          </w:p>
          <w:p>
            <w:pPr>
              <w:rPr>
                <w:color w:val="000000"/>
              </w:rPr>
            </w:pPr>
            <w:r>
              <w:rPr>
                <w:rFonts w:hint="eastAsia"/>
                <w:color w:val="000000"/>
              </w:rPr>
              <w:t>组织实际工作记录的真实性已得到确认。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rPr>
                <w:lang w:val="en-GB"/>
              </w:rPr>
            </w:pPr>
            <w:r>
              <w:rPr>
                <w:lang w:val="en-GB"/>
              </w:rPr>
              <w:br w:type="page"/>
            </w:r>
            <w:r>
              <w:rPr>
                <w:rFonts w:hint="eastAsia"/>
                <w:lang w:val="en-GB"/>
              </w:rPr>
              <w:t>纠正和纠正措施的有效性</w:t>
            </w:r>
          </w:p>
          <w:p>
            <w:pPr>
              <w:tabs>
                <w:tab w:val="left" w:pos="510"/>
              </w:tabs>
              <w:autoSpaceDE w:val="0"/>
              <w:autoSpaceDN w:val="0"/>
              <w:adjustRightInd w:val="0"/>
              <w:ind w:right="6"/>
              <w:rPr>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不适用（因初审）</w:t>
            </w:r>
          </w:p>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 xml:space="preserve">上次审核中确定的不符合项采取的纠正和纠正措施继续有效。具体的信息：审核组对上次审核发现的 </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left w:val="single" w:color="auto" w:sz="4" w:space="0"/>
              <w:right w:val="single" w:color="auto" w:sz="4" w:space="0"/>
            </w:tcBorders>
            <w:vAlign w:val="center"/>
          </w:tcPr>
          <w:p>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lang w:val="en-GB"/>
              </w:rPr>
            </w:pPr>
            <w:r>
              <w:rPr>
                <w:rFonts w:hint="eastAsia"/>
                <w:color w:val="000000"/>
                <w:lang w:val="en-GB" w:eastAsia="zh-CN"/>
              </w:rPr>
              <w:t>☑</w:t>
            </w:r>
            <w:r>
              <w:rPr>
                <w:rFonts w:hint="eastAsia"/>
                <w:color w:val="000000"/>
                <w:lang w:val="en-GB"/>
              </w:rPr>
              <w:t>尚未取得。（仅适用于初审）</w:t>
            </w:r>
          </w:p>
          <w:p>
            <w:pPr>
              <w:tabs>
                <w:tab w:val="left" w:pos="510"/>
              </w:tabs>
              <w:autoSpaceDE w:val="0"/>
              <w:autoSpaceDN w:val="0"/>
              <w:adjustRightInd w:val="0"/>
              <w:ind w:right="6"/>
              <w:jc w:val="left"/>
              <w:rPr>
                <w:color w:val="000000"/>
                <w:lang w:val="en-GB"/>
              </w:rPr>
            </w:pPr>
          </w:p>
          <w:p>
            <w:pPr>
              <w:tabs>
                <w:tab w:val="left" w:pos="510"/>
              </w:tabs>
              <w:autoSpaceDE w:val="0"/>
              <w:autoSpaceDN w:val="0"/>
              <w:adjustRightInd w:val="0"/>
              <w:ind w:right="6"/>
              <w:jc w:val="left"/>
              <w:rPr>
                <w:color w:val="000000"/>
                <w:lang w:val="en-GB"/>
              </w:rPr>
            </w:pPr>
            <w:r>
              <w:rPr>
                <w:rFonts w:hint="eastAsia"/>
                <w:lang w:eastAsia="zh-CN"/>
              </w:rPr>
              <w:t>□</w:t>
            </w:r>
            <w:r>
              <w:rPr>
                <w:rFonts w:hint="eastAsia"/>
                <w:color w:val="000000"/>
                <w:lang w:val="en-GB"/>
              </w:rPr>
              <w:t xml:space="preserve">依据相关规定使用标志和证书（如：名片、公司宣传册、网站等等）。具体使用信息 </w:t>
            </w:r>
            <w:r>
              <w:rPr>
                <w:color w:val="000000"/>
                <w:lang w:val="en-GB"/>
              </w:rPr>
              <w:t>…..</w:t>
            </w:r>
          </w:p>
        </w:tc>
      </w:tr>
    </w:tbl>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标准条款</w:t>
            </w:r>
            <w:r>
              <w:rPr>
                <w:lang w:val="en-GB"/>
              </w:rPr>
              <w:t xml:space="preserve">GB/T 27341 </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4.1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4.2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5.1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5.2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5.3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5.4</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5.5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6.1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6.2</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6.3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6.4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lang w:val="en-GB"/>
              </w:rPr>
            </w:pPr>
            <w:r>
              <w:rPr>
                <w:rFonts w:hint="eastAsia"/>
                <w:lang w:val="en-GB"/>
              </w:rPr>
              <w:t>标准条款</w:t>
            </w:r>
            <w:r>
              <w:rPr>
                <w:lang w:val="en-GB"/>
              </w:rPr>
              <w:t>GB 14881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13</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12/13</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3/4/5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 xml:space="preserve">   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lang w:eastAsia="zh-CN"/>
              </w:rPr>
            </w:pPr>
            <w:r>
              <w:rPr>
                <w:rFonts w:hint="eastAsia"/>
                <w:color w:val="000000"/>
                <w:lang w:val="en-US" w:eastAsia="zh-CN"/>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0</w:t>
            </w:r>
            <w:r>
              <w:rPr>
                <w:color w:val="000000"/>
              </w:rPr>
              <w:t>1</w:t>
            </w:r>
            <w:r>
              <w:rPr>
                <w:rFonts w:hint="eastAsia"/>
                <w:color w:val="000000"/>
                <w:lang w:val="en-US" w:eastAsia="zh-CN"/>
              </w:rPr>
              <w:t>/</w:t>
            </w:r>
            <w:r>
              <w:rPr>
                <w:rFonts w:hint="eastAsia"/>
                <w:color w:val="000000"/>
              </w:rPr>
              <w:t>0</w:t>
            </w:r>
            <w:r>
              <w:rPr>
                <w:color w:val="000000"/>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r>
    </w:tbl>
    <w:p>
      <w:pPr>
        <w:autoSpaceDE w:val="0"/>
        <w:autoSpaceDN w:val="0"/>
        <w:adjustRightInd w:val="0"/>
        <w:snapToGrid w:val="0"/>
        <w:spacing w:before="120"/>
        <w:ind w:left="101"/>
      </w:pP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标准条款</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6.6</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6.7</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6.8</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7.1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7.2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7.3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7.4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7.5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t>7.6</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7.7</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lang w:val="en-GB"/>
              </w:rPr>
            </w:pPr>
            <w:r>
              <w:rPr>
                <w:rFonts w:hint="eastAsia"/>
                <w:lang w:val="en-GB"/>
              </w:rPr>
              <w:t>标准条款</w:t>
            </w:r>
            <w:r>
              <w:rPr>
                <w:lang w:val="en-GB"/>
              </w:rPr>
              <w:t>GB 14881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4/5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center"/>
            </w:pPr>
            <w:r>
              <w:rPr>
                <w:rFonts w:hint="eastAsia"/>
              </w:rPr>
              <w:t>8/13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9</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lang w:eastAsia="zh-CN"/>
              </w:rPr>
            </w:pPr>
            <w:r>
              <w:rPr>
                <w:rFonts w:hint="eastAsia"/>
                <w:color w:val="000000"/>
                <w:lang w:val="en-US" w:eastAsia="zh-CN"/>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pPr>
            <w:r>
              <w:rPr>
                <w:rFonts w:hint="eastAsia"/>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r>
              <w:rPr>
                <w:rFonts w:hint="eastAsia"/>
                <w:color w:val="000000"/>
              </w:rPr>
              <w:t>0</w:t>
            </w:r>
            <w:r>
              <w:rPr>
                <w:color w:val="000000"/>
              </w:rPr>
              <w:t>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rPr>
            </w:pPr>
          </w:p>
        </w:tc>
      </w:tr>
    </w:tbl>
    <w:p>
      <w:pPr>
        <w:autoSpaceDE w:val="0"/>
        <w:autoSpaceDN w:val="0"/>
        <w:adjustRightInd w:val="0"/>
        <w:snapToGrid w:val="0"/>
        <w:spacing w:before="120"/>
        <w:ind w:left="101"/>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 xml:space="preserve">  </w:t>
      </w:r>
      <w:r>
        <w:rPr>
          <w:rFonts w:hint="eastAsia"/>
          <w:b/>
          <w:sz w:val="18"/>
          <w:szCs w:val="18"/>
        </w:rPr>
        <w:tab/>
      </w:r>
      <w:r>
        <w:rPr>
          <w:rFonts w:hint="eastAsia"/>
          <w:b/>
          <w:sz w:val="18"/>
          <w:szCs w:val="18"/>
        </w:rPr>
        <w:t xml:space="preserve">  </w:t>
      </w:r>
      <w:r>
        <w:rPr>
          <w:sz w:val="18"/>
          <w:szCs w:val="18"/>
        </w:rPr>
        <w:t>1 =</w:t>
      </w:r>
      <w:r>
        <w:rPr>
          <w:rFonts w:hint="eastAsia"/>
          <w:sz w:val="18"/>
          <w:szCs w:val="18"/>
        </w:rPr>
        <w:t>完成</w:t>
      </w:r>
      <w:r>
        <w:rPr>
          <w:sz w:val="18"/>
          <w:szCs w:val="18"/>
        </w:rPr>
        <w:t xml:space="preserve"> </w:t>
      </w:r>
      <w:r>
        <w:rPr>
          <w:rFonts w:hint="eastAsia"/>
          <w:sz w:val="18"/>
          <w:szCs w:val="18"/>
        </w:rPr>
        <w:t xml:space="preserve"> </w:t>
      </w:r>
    </w:p>
    <w:p>
      <w:pPr>
        <w:ind w:left="720" w:firstLine="720"/>
        <w:jc w:val="left"/>
        <w:rPr>
          <w:sz w:val="18"/>
          <w:szCs w:val="18"/>
        </w:rPr>
      </w:pPr>
      <w:r>
        <w:rPr>
          <w:sz w:val="18"/>
          <w:szCs w:val="18"/>
        </w:rPr>
        <w:t>2 =</w:t>
      </w:r>
      <w:r>
        <w:rPr>
          <w:rFonts w:hint="eastAsia"/>
          <w:sz w:val="18"/>
          <w:szCs w:val="18"/>
        </w:rPr>
        <w:t xml:space="preserve">完成，但有潜在改进项 </w:t>
      </w:r>
      <w:r>
        <w:rPr>
          <w:sz w:val="18"/>
          <w:szCs w:val="18"/>
        </w:rPr>
        <w:t xml:space="preserve"> </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r>
        <w:rPr>
          <w:rFonts w:hint="eastAsia"/>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
    <w:p>
      <w:bookmarkStart w:id="6" w:name="OLE_LINK79"/>
      <w:bookmarkStart w:id="7" w:name="OLE_LINK80"/>
      <w:r>
        <w:rPr>
          <w:rFonts w:hint="eastAsia"/>
        </w:rPr>
        <w:t>附件：</w:t>
      </w:r>
    </w:p>
    <w:p>
      <w:pPr>
        <w:widowControl/>
        <w:numPr>
          <w:ilvl w:val="0"/>
          <w:numId w:val="22"/>
        </w:numPr>
        <w:spacing w:before="40" w:after="40"/>
      </w:pPr>
      <w:r>
        <w:rPr>
          <w:rFonts w:hint="eastAsia"/>
        </w:rPr>
        <w:t>首、末次会议的签到记录表</w:t>
      </w:r>
    </w:p>
    <w:p>
      <w:pPr>
        <w:widowControl/>
        <w:numPr>
          <w:ilvl w:val="0"/>
          <w:numId w:val="22"/>
        </w:numPr>
        <w:spacing w:before="40" w:after="40"/>
      </w:pPr>
      <w:r>
        <w:rPr>
          <w:rFonts w:hint="eastAsia"/>
        </w:rPr>
        <w:t>（其他必要的的用于证明相关事实的证据或记录）</w:t>
      </w:r>
      <w:r>
        <w:t>….</w:t>
      </w:r>
    </w:p>
    <w:bookmarkEnd w:id="6"/>
    <w:bookmarkEnd w:id="7"/>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lang w:val="en-GB"/>
        </w:rPr>
      </w:pPr>
      <w:r>
        <w:rPr>
          <w:rFonts w:hint="eastAsia" w:ascii="宋体" w:hAnsi="宋体" w:cs="宋体"/>
          <w:lang w:val="en-GB"/>
        </w:rPr>
        <w:t>HACCP计划1</w:t>
      </w:r>
    </w:p>
    <w:tbl>
      <w:tblPr>
        <w:tblStyle w:val="29"/>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52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45"/>
              <w:rPr>
                <w:lang w:eastAsia="zh-CN"/>
              </w:rPr>
            </w:pPr>
            <w:r>
              <w:rPr>
                <w:rFonts w:hint="eastAsia"/>
                <w:lang w:eastAsia="zh-CN"/>
              </w:rPr>
              <w:t xml:space="preserve"> 序号</w:t>
            </w:r>
          </w:p>
        </w:tc>
        <w:tc>
          <w:tcPr>
            <w:tcW w:w="1569" w:type="dxa"/>
            <w:shd w:val="clear" w:color="auto" w:fill="auto"/>
          </w:tcPr>
          <w:p>
            <w:pPr>
              <w:pStyle w:val="45"/>
              <w:rPr>
                <w:lang w:eastAsia="zh-CN"/>
              </w:rPr>
            </w:pPr>
            <w:r>
              <w:rPr>
                <w:rFonts w:hint="eastAsia"/>
                <w:lang w:eastAsia="zh-CN"/>
              </w:rPr>
              <w:t>过程步骤</w:t>
            </w:r>
          </w:p>
        </w:tc>
        <w:tc>
          <w:tcPr>
            <w:tcW w:w="2301" w:type="dxa"/>
            <w:shd w:val="clear" w:color="auto" w:fill="auto"/>
          </w:tcPr>
          <w:p>
            <w:pPr>
              <w:pStyle w:val="45"/>
              <w:rPr>
                <w:lang w:eastAsia="zh-CN"/>
              </w:rPr>
            </w:pPr>
            <w:r>
              <w:rPr>
                <w:rFonts w:hint="eastAsia"/>
                <w:lang w:eastAsia="zh-CN"/>
              </w:rPr>
              <w:t>危害</w:t>
            </w:r>
          </w:p>
        </w:tc>
        <w:tc>
          <w:tcPr>
            <w:tcW w:w="2160" w:type="dxa"/>
            <w:shd w:val="clear" w:color="auto" w:fill="auto"/>
          </w:tcPr>
          <w:p>
            <w:pPr>
              <w:pStyle w:val="45"/>
              <w:rPr>
                <w:lang w:eastAsia="zh-CN"/>
              </w:rPr>
            </w:pPr>
            <w:r>
              <w:rPr>
                <w:rFonts w:hint="eastAsia"/>
                <w:lang w:eastAsia="zh-CN"/>
              </w:rPr>
              <w:t>监控程序</w:t>
            </w:r>
          </w:p>
        </w:tc>
        <w:tc>
          <w:tcPr>
            <w:tcW w:w="2520" w:type="dxa"/>
            <w:shd w:val="clear" w:color="auto" w:fill="auto"/>
          </w:tcPr>
          <w:p>
            <w:pPr>
              <w:pStyle w:val="45"/>
              <w:rPr>
                <w:lang w:val="fr-FR" w:eastAsia="zh-CN"/>
              </w:rPr>
            </w:pPr>
            <w:r>
              <w:rPr>
                <w:rFonts w:hint="eastAsia"/>
                <w:lang w:val="fr-FR" w:eastAsia="zh-CN"/>
              </w:rPr>
              <w:t>关键限值</w:t>
            </w:r>
          </w:p>
        </w:tc>
        <w:tc>
          <w:tcPr>
            <w:tcW w:w="840" w:type="dxa"/>
            <w:shd w:val="clear" w:color="auto" w:fill="auto"/>
          </w:tcPr>
          <w:p>
            <w:pPr>
              <w:pStyle w:val="45"/>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color w:val="0000FF"/>
                <w:sz w:val="18"/>
                <w:szCs w:val="18"/>
              </w:rPr>
              <w:t>CCP1</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olor w:val="0000FF"/>
                <w:lang w:val="fr-FR"/>
              </w:rPr>
              <w:t>肉类原料验收</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olor w:val="0000FF"/>
                <w:lang w:val="fr-FR"/>
              </w:rPr>
              <w:t>有害微生物、病毒</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lang w:val="fr-FR"/>
              </w:rPr>
              <w:t xml:space="preserve"> 采购人员每天检查检验检疫证明</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rPr>
              <w:t>可提供</w:t>
            </w:r>
            <w:r>
              <w:rPr>
                <w:rFonts w:hint="eastAsia"/>
                <w:color w:val="0000FF"/>
                <w:lang w:val="fr-FR"/>
              </w:rPr>
              <w:t>证明</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r>
              <w:rPr>
                <w:color w:val="0000FF"/>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color w:val="0000FF"/>
                <w:sz w:val="18"/>
                <w:szCs w:val="18"/>
              </w:rPr>
            </w:pPr>
            <w:r>
              <w:rPr>
                <w:color w:val="0000FF"/>
                <w:sz w:val="18"/>
                <w:szCs w:val="18"/>
              </w:rPr>
              <w:t>CCP2</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color w:val="0000FF"/>
              </w:rPr>
              <w:t>烹饪</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r>
              <w:rPr>
                <w:rFonts w:hint="eastAsia"/>
                <w:color w:val="0000FF"/>
                <w:lang w:val="fr-FR"/>
              </w:rPr>
              <w:t>有害微生物</w:t>
            </w: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r>
              <w:rPr>
                <w:rFonts w:hint="eastAsia"/>
                <w:bCs/>
                <w:color w:val="0000FF"/>
              </w:rPr>
              <w:t xml:space="preserve"> </w:t>
            </w:r>
            <w:r>
              <w:rPr>
                <w:rFonts w:hint="eastAsia"/>
                <w:color w:val="0000FF"/>
                <w:lang w:val="fr-FR"/>
              </w:rPr>
              <w:t>操作者每天检查一次</w:t>
            </w:r>
            <w:r>
              <w:rPr>
                <w:rFonts w:hint="eastAsia"/>
                <w:color w:val="0000FF"/>
              </w:rPr>
              <w:t>使用探针式温度计</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rPr>
            </w:pPr>
            <w:r>
              <w:rPr>
                <w:rFonts w:hint="eastAsia"/>
                <w:color w:val="0000FF"/>
              </w:rPr>
              <w:t>中心</w:t>
            </w:r>
            <w:r>
              <w:rPr>
                <w:color w:val="0000FF"/>
              </w:rPr>
              <w:t>温度</w:t>
            </w:r>
            <w:r>
              <w:rPr>
                <w:rFonts w:eastAsia="楷体_GB2312"/>
                <w:color w:val="0000FF"/>
                <w:spacing w:val="-3"/>
              </w:rPr>
              <w:t>≤</w:t>
            </w:r>
            <w:r>
              <w:rPr>
                <w:rFonts w:hint="eastAsia" w:eastAsia="楷体_GB2312"/>
                <w:color w:val="0000FF"/>
                <w:spacing w:val="-3"/>
              </w:rPr>
              <w:t>70℃</w:t>
            </w:r>
            <w:r>
              <w:rPr>
                <w:rFonts w:eastAsia="楷体_GB2312"/>
                <w:color w:val="0000FF"/>
                <w:spacing w:val="-3"/>
              </w:rPr>
              <w:t>，</w:t>
            </w:r>
            <w:r>
              <w:rPr>
                <w:color w:val="0000FF"/>
              </w:rPr>
              <w:t xml:space="preserve"> </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r>
              <w:rPr>
                <w:color w:val="0000FF"/>
              </w:rPr>
              <w:t>1</w:t>
            </w:r>
          </w:p>
        </w:tc>
      </w:tr>
    </w:tbl>
    <w:p/>
    <w:p/>
    <w:p>
      <w:pPr>
        <w:rPr>
          <w:b/>
          <w:bCs/>
          <w:sz w:val="24"/>
        </w:rPr>
      </w:pPr>
    </w:p>
    <w:p>
      <w:pPr>
        <w:jc w:val="left"/>
        <w:rPr>
          <w:sz w:val="18"/>
          <w:szCs w:val="18"/>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华文仿宋">
    <w:altName w:val="仿宋"/>
    <w:panose1 w:val="02010600040101010101"/>
    <w:charset w:val="86"/>
    <w:family w:val="auto"/>
    <w:pitch w:val="default"/>
    <w:sig w:usb0="00000000" w:usb1="00000000" w:usb2="00000010" w:usb3="00000000" w:csb0="0004009F" w:csb1="00000000"/>
  </w:font>
  <w:font w:name="Arial-BoldMT">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tabs>
        <w:tab w:val="left" w:pos="8910"/>
        <w:tab w:val="left" w:pos="9142"/>
        <w:tab w:val="clear" w:pos="4153"/>
      </w:tabs>
      <w:spacing w:line="320" w:lineRule="exact"/>
      <w:ind w:left="-86" w:leftChars="-41" w:firstLine="810" w:firstLineChars="450"/>
      <w:jc w:val="left"/>
      <w:rPr>
        <w:rStyle w:val="39"/>
        <w:rFonts w:hint="default"/>
      </w:rPr>
    </w:pPr>
    <w:bookmarkStart w:id="8"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wps:txbx>
                    <wps:bodyPr upright="1"/>
                  </wps:wsp>
                </a:graphicData>
              </a:graphic>
            </wp:anchor>
          </w:drawing>
        </mc:Choice>
        <mc:Fallback>
          <w:pict>
            <v:shape id="文本框 1" o:spid="_x0000_s1026" o:spt="202" type="#_x0000_t202" style="position:absolute;left:0pt;margin-left:249.35pt;margin-top:5.25pt;height:20.2pt;width:164.1pt;z-index:251660288;mso-width-relative:page;mso-height-relative:page;" fillcolor="#FFFFFF" filled="t" stroked="f" coordsize="21600,21600"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g9xFtYAAAAJ&#10;AQAADwAAAAAAAAABACAAAAAiAAAAZHJzL2Rvd25yZXYueG1sUEsBAhQAFAAAAAgAh07iQCqyT43l&#10;AQAAsQMAAA4AAAAAAAAAAQAgAAAAJQEAAGRycy9lMm9Eb2MueG1sUEsFBgAAAAAGAAYAWQEAAHwF&#10;AAAAAA==&#10;">
              <v:fill on="t"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mc:Fallback>
      </mc:AlternateContent>
    </w:r>
    <w:r>
      <w:rPr>
        <w:rStyle w:val="39"/>
        <w:rFonts w:hint="default"/>
      </w:rPr>
      <w:t>北京国标联合认证有限公司</w:t>
    </w:r>
    <w:r>
      <w:rPr>
        <w:rStyle w:val="39"/>
        <w:rFonts w:hint="default"/>
      </w:rPr>
      <w:tab/>
    </w:r>
    <w:r>
      <w:rPr>
        <w:rStyle w:val="39"/>
        <w:rFonts w:hint="default"/>
      </w:rPr>
      <w:tab/>
    </w:r>
    <w:r>
      <w:rPr>
        <w:rStyle w:val="39"/>
        <w:rFonts w:hint="default"/>
      </w:rPr>
      <w:tab/>
    </w:r>
    <w:bookmarkEnd w:id="8"/>
  </w:p>
  <w:p>
    <w:pPr>
      <w:pStyle w:val="2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B15B58"/>
    <w:multiLevelType w:val="multilevel"/>
    <w:tmpl w:val="0AB15B58"/>
    <w:lvl w:ilvl="0" w:tentative="0">
      <w:start w:val="1"/>
      <w:numFmt w:val="bullet"/>
      <w:pStyle w:val="127"/>
      <w:lvlText w:val="-"/>
      <w:lvlJc w:val="left"/>
      <w:pPr>
        <w:tabs>
          <w:tab w:val="left" w:pos="644"/>
        </w:tabs>
        <w:ind w:left="567" w:hanging="283"/>
      </w:pPr>
      <w:rPr>
        <w:rFonts w:hint="default"/>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AB97B32"/>
    <w:multiLevelType w:val="multilevel"/>
    <w:tmpl w:val="0AB97B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6AF388D"/>
    <w:multiLevelType w:val="multilevel"/>
    <w:tmpl w:val="26AF388D"/>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A000839"/>
    <w:multiLevelType w:val="multilevel"/>
    <w:tmpl w:val="2A0008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4944522"/>
    <w:multiLevelType w:val="multilevel"/>
    <w:tmpl w:val="34944522"/>
    <w:lvl w:ilvl="0" w:tentative="0">
      <w:start w:val="1"/>
      <w:numFmt w:val="bullet"/>
      <w:pStyle w:val="123"/>
      <w:lvlText w:val="-"/>
      <w:lvlJc w:val="left"/>
      <w:pPr>
        <w:tabs>
          <w:tab w:val="left" w:pos="927"/>
        </w:tabs>
        <w:ind w:left="851" w:hanging="284"/>
      </w:pPr>
      <w:rPr>
        <w:rFonts w:hint="default"/>
        <w:sz w:val="16"/>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1EE106D"/>
    <w:multiLevelType w:val="multilevel"/>
    <w:tmpl w:val="41EE10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88E20F7"/>
    <w:multiLevelType w:val="multilevel"/>
    <w:tmpl w:val="488E20F7"/>
    <w:lvl w:ilvl="0" w:tentative="0">
      <w:start w:val="1"/>
      <w:numFmt w:val="japaneseCounting"/>
      <w:pStyle w:val="2"/>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pStyle w:val="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4797E02"/>
    <w:multiLevelType w:val="multilevel"/>
    <w:tmpl w:val="54797E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5">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7B42C1F"/>
    <w:multiLevelType w:val="multilevel"/>
    <w:tmpl w:val="67B42C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pStyle w:val="4"/>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8">
    <w:nsid w:val="6A691479"/>
    <w:multiLevelType w:val="multilevel"/>
    <w:tmpl w:val="6A6914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014063A"/>
    <w:multiLevelType w:val="multilevel"/>
    <w:tmpl w:val="7014063A"/>
    <w:lvl w:ilvl="0" w:tentative="0">
      <w:start w:val="0"/>
      <w:numFmt w:val="bullet"/>
      <w:lvlText w:val="•"/>
      <w:lvlJc w:val="left"/>
      <w:pPr>
        <w:tabs>
          <w:tab w:val="left" w:pos="360"/>
        </w:tabs>
        <w:ind w:left="360" w:hanging="360"/>
      </w:pPr>
      <w:rPr>
        <w:rFonts w:hint="default" w:ascii="Arial" w:hAnsi="Arial" w:eastAsia="Times New Roman" w:cs="Arial"/>
        <w:color w:val="auto"/>
        <w:sz w:val="28"/>
      </w:rPr>
    </w:lvl>
    <w:lvl w:ilvl="1" w:tentative="0">
      <w:start w:val="1"/>
      <w:numFmt w:val="bullet"/>
      <w:lvlText w:val="o"/>
      <w:lvlJc w:val="left"/>
      <w:pPr>
        <w:tabs>
          <w:tab w:val="left" w:pos="1440"/>
        </w:tabs>
        <w:ind w:left="1440" w:hanging="360"/>
      </w:pPr>
      <w:rPr>
        <w:rFonts w:hint="default" w:ascii="Courier New" w:hAnsi="Courier New" w:cs="Courier New"/>
        <w:color w:val="auto"/>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71691D76"/>
    <w:multiLevelType w:val="multilevel"/>
    <w:tmpl w:val="71691D76"/>
    <w:lvl w:ilvl="0" w:tentative="0">
      <w:start w:val="1"/>
      <w:numFmt w:val="bullet"/>
      <w:pStyle w:val="64"/>
      <w:lvlText w:val=""/>
      <w:lvlJc w:val="left"/>
      <w:pPr>
        <w:tabs>
          <w:tab w:val="left" w:pos="360"/>
        </w:tabs>
        <w:ind w:left="284" w:hanging="284"/>
      </w:pPr>
      <w:rPr>
        <w:rFonts w:hint="default" w:ascii="Symbol" w:hAnsi="Symbol"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Times New Roman" w:hAnsi="Times New Roman" w:cs="Times New Roman"/>
      </w:rPr>
    </w:lvl>
    <w:lvl w:ilvl="3" w:tentative="0">
      <w:start w:val="1"/>
      <w:numFmt w:val="bullet"/>
      <w:lvlText w:val=""/>
      <w:lvlJc w:val="left"/>
      <w:pPr>
        <w:tabs>
          <w:tab w:val="left" w:pos="2880"/>
        </w:tabs>
        <w:ind w:left="2880" w:hanging="360"/>
      </w:pPr>
      <w:rPr>
        <w:rFonts w:hint="default" w:ascii="Symbol" w:hAnsi="Symbol" w:cs="Times New Roman"/>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Times New Roman" w:hAnsi="Times New Roman" w:cs="Times New Roman"/>
      </w:rPr>
    </w:lvl>
    <w:lvl w:ilvl="6" w:tentative="0">
      <w:start w:val="1"/>
      <w:numFmt w:val="bullet"/>
      <w:lvlText w:val=""/>
      <w:lvlJc w:val="left"/>
      <w:pPr>
        <w:tabs>
          <w:tab w:val="left" w:pos="5040"/>
        </w:tabs>
        <w:ind w:left="5040" w:hanging="360"/>
      </w:pPr>
      <w:rPr>
        <w:rFonts w:hint="default" w:ascii="Symbol" w:hAnsi="Symbol" w:cs="Times New Roman"/>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Times New Roman" w:hAnsi="Times New Roman" w:cs="Times New Roman"/>
      </w:rPr>
    </w:lvl>
  </w:abstractNum>
  <w:abstractNum w:abstractNumId="21">
    <w:nsid w:val="78F93A85"/>
    <w:multiLevelType w:val="multilevel"/>
    <w:tmpl w:val="78F93A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1"/>
  </w:num>
  <w:num w:numId="2">
    <w:abstractNumId w:val="12"/>
  </w:num>
  <w:num w:numId="3">
    <w:abstractNumId w:val="17"/>
  </w:num>
  <w:num w:numId="4">
    <w:abstractNumId w:val="20"/>
  </w:num>
  <w:num w:numId="5">
    <w:abstractNumId w:val="8"/>
  </w:num>
  <w:num w:numId="6">
    <w:abstractNumId w:val="4"/>
  </w:num>
  <w:num w:numId="7">
    <w:abstractNumId w:val="1"/>
  </w:num>
  <w:num w:numId="8">
    <w:abstractNumId w:val="2"/>
  </w:num>
  <w:num w:numId="9">
    <w:abstractNumId w:val="0"/>
  </w:num>
  <w:num w:numId="10">
    <w:abstractNumId w:val="15"/>
  </w:num>
  <w:num w:numId="11">
    <w:abstractNumId w:val="3"/>
  </w:num>
  <w:num w:numId="12">
    <w:abstractNumId w:val="14"/>
  </w:num>
  <w:num w:numId="13">
    <w:abstractNumId w:val="16"/>
  </w:num>
  <w:num w:numId="14">
    <w:abstractNumId w:val="13"/>
  </w:num>
  <w:num w:numId="15">
    <w:abstractNumId w:val="9"/>
  </w:num>
  <w:num w:numId="16">
    <w:abstractNumId w:val="21"/>
  </w:num>
  <w:num w:numId="17">
    <w:abstractNumId w:val="6"/>
  </w:num>
  <w:num w:numId="18">
    <w:abstractNumId w:val="18"/>
  </w:num>
  <w:num w:numId="19">
    <w:abstractNumId w:val="7"/>
  </w:num>
  <w:num w:numId="20">
    <w:abstractNumId w:val="5"/>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AF9"/>
    <w:rsid w:val="00021CAA"/>
    <w:rsid w:val="000247CC"/>
    <w:rsid w:val="00030A02"/>
    <w:rsid w:val="00032106"/>
    <w:rsid w:val="0003779C"/>
    <w:rsid w:val="0004195F"/>
    <w:rsid w:val="000443F0"/>
    <w:rsid w:val="00046C54"/>
    <w:rsid w:val="0004796A"/>
    <w:rsid w:val="0005663F"/>
    <w:rsid w:val="00071D0F"/>
    <w:rsid w:val="000739EC"/>
    <w:rsid w:val="00075C70"/>
    <w:rsid w:val="000833FB"/>
    <w:rsid w:val="0008517E"/>
    <w:rsid w:val="000F2F8F"/>
    <w:rsid w:val="000F53BC"/>
    <w:rsid w:val="0012086B"/>
    <w:rsid w:val="00122A4D"/>
    <w:rsid w:val="0012338C"/>
    <w:rsid w:val="00140256"/>
    <w:rsid w:val="00150DEE"/>
    <w:rsid w:val="00180FB6"/>
    <w:rsid w:val="001A3416"/>
    <w:rsid w:val="001B702A"/>
    <w:rsid w:val="001D399B"/>
    <w:rsid w:val="001D3E38"/>
    <w:rsid w:val="001D5696"/>
    <w:rsid w:val="001F2BA9"/>
    <w:rsid w:val="00235F69"/>
    <w:rsid w:val="0023683F"/>
    <w:rsid w:val="002665B1"/>
    <w:rsid w:val="00292DE6"/>
    <w:rsid w:val="0029718F"/>
    <w:rsid w:val="002974E9"/>
    <w:rsid w:val="002B120A"/>
    <w:rsid w:val="002B2C71"/>
    <w:rsid w:val="002D0DC0"/>
    <w:rsid w:val="002D1483"/>
    <w:rsid w:val="002E3D34"/>
    <w:rsid w:val="002E5BA6"/>
    <w:rsid w:val="002F549E"/>
    <w:rsid w:val="0030355E"/>
    <w:rsid w:val="00320CB8"/>
    <w:rsid w:val="00321C23"/>
    <w:rsid w:val="003225B6"/>
    <w:rsid w:val="00341103"/>
    <w:rsid w:val="00344E0D"/>
    <w:rsid w:val="0035144D"/>
    <w:rsid w:val="00361B6E"/>
    <w:rsid w:val="00365163"/>
    <w:rsid w:val="00373391"/>
    <w:rsid w:val="00376915"/>
    <w:rsid w:val="003A314F"/>
    <w:rsid w:val="003A4C41"/>
    <w:rsid w:val="003B72BA"/>
    <w:rsid w:val="003E1392"/>
    <w:rsid w:val="003E162D"/>
    <w:rsid w:val="003E3D4F"/>
    <w:rsid w:val="003E60BB"/>
    <w:rsid w:val="003F74C1"/>
    <w:rsid w:val="003F7D21"/>
    <w:rsid w:val="004100EA"/>
    <w:rsid w:val="0042174D"/>
    <w:rsid w:val="00422C26"/>
    <w:rsid w:val="0043270B"/>
    <w:rsid w:val="0043596D"/>
    <w:rsid w:val="004413BD"/>
    <w:rsid w:val="004569AF"/>
    <w:rsid w:val="004614A7"/>
    <w:rsid w:val="00464786"/>
    <w:rsid w:val="00484B0B"/>
    <w:rsid w:val="00484F44"/>
    <w:rsid w:val="004B4105"/>
    <w:rsid w:val="004C1602"/>
    <w:rsid w:val="004D3E71"/>
    <w:rsid w:val="004F3778"/>
    <w:rsid w:val="00506CC4"/>
    <w:rsid w:val="005164BD"/>
    <w:rsid w:val="00532B87"/>
    <w:rsid w:val="00542474"/>
    <w:rsid w:val="005453FA"/>
    <w:rsid w:val="0054659B"/>
    <w:rsid w:val="00561FBE"/>
    <w:rsid w:val="005627F2"/>
    <w:rsid w:val="0058344C"/>
    <w:rsid w:val="00584F23"/>
    <w:rsid w:val="00592421"/>
    <w:rsid w:val="005B675E"/>
    <w:rsid w:val="005D5D5D"/>
    <w:rsid w:val="005E1CBB"/>
    <w:rsid w:val="005F7E11"/>
    <w:rsid w:val="00603285"/>
    <w:rsid w:val="00610FA8"/>
    <w:rsid w:val="006112A8"/>
    <w:rsid w:val="00624D86"/>
    <w:rsid w:val="006306D9"/>
    <w:rsid w:val="00632A83"/>
    <w:rsid w:val="00653429"/>
    <w:rsid w:val="00653D80"/>
    <w:rsid w:val="006673D4"/>
    <w:rsid w:val="0067100B"/>
    <w:rsid w:val="0067275E"/>
    <w:rsid w:val="00692141"/>
    <w:rsid w:val="006A6DC1"/>
    <w:rsid w:val="006B39B9"/>
    <w:rsid w:val="006C40C6"/>
    <w:rsid w:val="006C6F24"/>
    <w:rsid w:val="006D0E48"/>
    <w:rsid w:val="006D7D81"/>
    <w:rsid w:val="006E1390"/>
    <w:rsid w:val="006F1E3A"/>
    <w:rsid w:val="00712D5D"/>
    <w:rsid w:val="00712F52"/>
    <w:rsid w:val="00725178"/>
    <w:rsid w:val="0072576E"/>
    <w:rsid w:val="00747C8B"/>
    <w:rsid w:val="00751C1D"/>
    <w:rsid w:val="007532A4"/>
    <w:rsid w:val="00770469"/>
    <w:rsid w:val="00775D3A"/>
    <w:rsid w:val="0077730E"/>
    <w:rsid w:val="00784B49"/>
    <w:rsid w:val="0079713C"/>
    <w:rsid w:val="007976B3"/>
    <w:rsid w:val="007B2F73"/>
    <w:rsid w:val="007B6812"/>
    <w:rsid w:val="007B778F"/>
    <w:rsid w:val="007C4DD7"/>
    <w:rsid w:val="007D3BA9"/>
    <w:rsid w:val="00802C43"/>
    <w:rsid w:val="008030AC"/>
    <w:rsid w:val="008167F1"/>
    <w:rsid w:val="00827C88"/>
    <w:rsid w:val="008317B8"/>
    <w:rsid w:val="00835561"/>
    <w:rsid w:val="00845D78"/>
    <w:rsid w:val="00850E86"/>
    <w:rsid w:val="00857EF7"/>
    <w:rsid w:val="00862DC9"/>
    <w:rsid w:val="00864092"/>
    <w:rsid w:val="008648E8"/>
    <w:rsid w:val="0086496B"/>
    <w:rsid w:val="00877EB8"/>
    <w:rsid w:val="00887731"/>
    <w:rsid w:val="008956AE"/>
    <w:rsid w:val="008A3F79"/>
    <w:rsid w:val="008A462E"/>
    <w:rsid w:val="008A6929"/>
    <w:rsid w:val="008B0A14"/>
    <w:rsid w:val="008B17BE"/>
    <w:rsid w:val="008B5A6A"/>
    <w:rsid w:val="008D7750"/>
    <w:rsid w:val="008E67FF"/>
    <w:rsid w:val="008F3821"/>
    <w:rsid w:val="0090215D"/>
    <w:rsid w:val="009203AC"/>
    <w:rsid w:val="00925B74"/>
    <w:rsid w:val="00926324"/>
    <w:rsid w:val="0092740B"/>
    <w:rsid w:val="00932B07"/>
    <w:rsid w:val="00936636"/>
    <w:rsid w:val="00951E0F"/>
    <w:rsid w:val="0096442B"/>
    <w:rsid w:val="00992839"/>
    <w:rsid w:val="009A150A"/>
    <w:rsid w:val="009A7BA8"/>
    <w:rsid w:val="009B038E"/>
    <w:rsid w:val="009B0C4D"/>
    <w:rsid w:val="009B2D79"/>
    <w:rsid w:val="009B43AC"/>
    <w:rsid w:val="009C238A"/>
    <w:rsid w:val="009C3CE2"/>
    <w:rsid w:val="009E0C13"/>
    <w:rsid w:val="009E2B7E"/>
    <w:rsid w:val="009E35D1"/>
    <w:rsid w:val="009E741A"/>
    <w:rsid w:val="00A057D9"/>
    <w:rsid w:val="00A112DB"/>
    <w:rsid w:val="00A11BB9"/>
    <w:rsid w:val="00A335F6"/>
    <w:rsid w:val="00A34B5C"/>
    <w:rsid w:val="00A56968"/>
    <w:rsid w:val="00A66311"/>
    <w:rsid w:val="00A70965"/>
    <w:rsid w:val="00A80B6D"/>
    <w:rsid w:val="00A934BA"/>
    <w:rsid w:val="00AA096D"/>
    <w:rsid w:val="00AB1797"/>
    <w:rsid w:val="00AB7D3D"/>
    <w:rsid w:val="00AC140D"/>
    <w:rsid w:val="00AC3F5D"/>
    <w:rsid w:val="00AD4D43"/>
    <w:rsid w:val="00AE1964"/>
    <w:rsid w:val="00AE347F"/>
    <w:rsid w:val="00AE3533"/>
    <w:rsid w:val="00AE71F3"/>
    <w:rsid w:val="00AF0F3D"/>
    <w:rsid w:val="00AF66F6"/>
    <w:rsid w:val="00B30838"/>
    <w:rsid w:val="00B34573"/>
    <w:rsid w:val="00B34830"/>
    <w:rsid w:val="00B62050"/>
    <w:rsid w:val="00B6349F"/>
    <w:rsid w:val="00B66951"/>
    <w:rsid w:val="00B8779E"/>
    <w:rsid w:val="00B923B8"/>
    <w:rsid w:val="00B95A99"/>
    <w:rsid w:val="00BA4709"/>
    <w:rsid w:val="00BB01C7"/>
    <w:rsid w:val="00BB72B5"/>
    <w:rsid w:val="00BC2711"/>
    <w:rsid w:val="00BC3244"/>
    <w:rsid w:val="00BD2793"/>
    <w:rsid w:val="00BD2B5C"/>
    <w:rsid w:val="00BF4F8D"/>
    <w:rsid w:val="00C007AD"/>
    <w:rsid w:val="00C2765E"/>
    <w:rsid w:val="00C377C5"/>
    <w:rsid w:val="00C40FEC"/>
    <w:rsid w:val="00C54428"/>
    <w:rsid w:val="00C5770A"/>
    <w:rsid w:val="00C60F4C"/>
    <w:rsid w:val="00C634D9"/>
    <w:rsid w:val="00C757A7"/>
    <w:rsid w:val="00C93CBC"/>
    <w:rsid w:val="00CB386C"/>
    <w:rsid w:val="00CD0AEE"/>
    <w:rsid w:val="00CD296C"/>
    <w:rsid w:val="00CD611F"/>
    <w:rsid w:val="00CF144F"/>
    <w:rsid w:val="00CF4CA7"/>
    <w:rsid w:val="00D00BA6"/>
    <w:rsid w:val="00D1113C"/>
    <w:rsid w:val="00D17064"/>
    <w:rsid w:val="00D23500"/>
    <w:rsid w:val="00D23AB7"/>
    <w:rsid w:val="00D30422"/>
    <w:rsid w:val="00D335EF"/>
    <w:rsid w:val="00D40E52"/>
    <w:rsid w:val="00D617C5"/>
    <w:rsid w:val="00D71B3A"/>
    <w:rsid w:val="00D81706"/>
    <w:rsid w:val="00D97A64"/>
    <w:rsid w:val="00DA7A3C"/>
    <w:rsid w:val="00DC74C8"/>
    <w:rsid w:val="00DD2268"/>
    <w:rsid w:val="00DE69EC"/>
    <w:rsid w:val="00E148C5"/>
    <w:rsid w:val="00E255D2"/>
    <w:rsid w:val="00E31917"/>
    <w:rsid w:val="00E32B36"/>
    <w:rsid w:val="00E52D9A"/>
    <w:rsid w:val="00E7297D"/>
    <w:rsid w:val="00E76584"/>
    <w:rsid w:val="00E774DB"/>
    <w:rsid w:val="00E90FFF"/>
    <w:rsid w:val="00E9214A"/>
    <w:rsid w:val="00E946C0"/>
    <w:rsid w:val="00EA2480"/>
    <w:rsid w:val="00EB3210"/>
    <w:rsid w:val="00EB7447"/>
    <w:rsid w:val="00EC05A9"/>
    <w:rsid w:val="00EE2D5C"/>
    <w:rsid w:val="00EF1481"/>
    <w:rsid w:val="00F14CEF"/>
    <w:rsid w:val="00F326DC"/>
    <w:rsid w:val="00F32AFF"/>
    <w:rsid w:val="00F4068C"/>
    <w:rsid w:val="00F44D69"/>
    <w:rsid w:val="00F54E64"/>
    <w:rsid w:val="00F64301"/>
    <w:rsid w:val="00F775D3"/>
    <w:rsid w:val="00F82070"/>
    <w:rsid w:val="00F86288"/>
    <w:rsid w:val="00FA59EF"/>
    <w:rsid w:val="00FA5C98"/>
    <w:rsid w:val="00FC182A"/>
    <w:rsid w:val="00FD38F7"/>
    <w:rsid w:val="00FD6EB5"/>
    <w:rsid w:val="00FF6078"/>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255A84"/>
    <w:rsid w:val="0C462D5C"/>
    <w:rsid w:val="0C897635"/>
    <w:rsid w:val="0CF70AD5"/>
    <w:rsid w:val="0DC61A68"/>
    <w:rsid w:val="0DCF1171"/>
    <w:rsid w:val="0E4F6FC4"/>
    <w:rsid w:val="0E7E3CB0"/>
    <w:rsid w:val="0E9115C7"/>
    <w:rsid w:val="0F6D45A9"/>
    <w:rsid w:val="102941B5"/>
    <w:rsid w:val="10CE66A2"/>
    <w:rsid w:val="11610717"/>
    <w:rsid w:val="116620D4"/>
    <w:rsid w:val="117D5C2C"/>
    <w:rsid w:val="12E87EE4"/>
    <w:rsid w:val="13103FBC"/>
    <w:rsid w:val="135C0807"/>
    <w:rsid w:val="13B33091"/>
    <w:rsid w:val="13CE3A28"/>
    <w:rsid w:val="141B5992"/>
    <w:rsid w:val="15805901"/>
    <w:rsid w:val="15F4180F"/>
    <w:rsid w:val="168C2F3F"/>
    <w:rsid w:val="184E1945"/>
    <w:rsid w:val="184F1EE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894C79"/>
    <w:rsid w:val="21611269"/>
    <w:rsid w:val="21684FA1"/>
    <w:rsid w:val="227228C8"/>
    <w:rsid w:val="236E4CAA"/>
    <w:rsid w:val="23D0287E"/>
    <w:rsid w:val="23F92929"/>
    <w:rsid w:val="241E1146"/>
    <w:rsid w:val="24A90475"/>
    <w:rsid w:val="25222FE3"/>
    <w:rsid w:val="26036F00"/>
    <w:rsid w:val="26CD7776"/>
    <w:rsid w:val="282D2075"/>
    <w:rsid w:val="287D37C7"/>
    <w:rsid w:val="294B2CEA"/>
    <w:rsid w:val="298266E7"/>
    <w:rsid w:val="298E75E3"/>
    <w:rsid w:val="29A5000B"/>
    <w:rsid w:val="2A351B1D"/>
    <w:rsid w:val="2A4B433E"/>
    <w:rsid w:val="2ABD43D7"/>
    <w:rsid w:val="2B59267F"/>
    <w:rsid w:val="2C9C5623"/>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5E86B6B"/>
    <w:rsid w:val="36966F0E"/>
    <w:rsid w:val="37130289"/>
    <w:rsid w:val="38443A10"/>
    <w:rsid w:val="387C56EF"/>
    <w:rsid w:val="390A1495"/>
    <w:rsid w:val="390C6928"/>
    <w:rsid w:val="39245C09"/>
    <w:rsid w:val="3A2B65EA"/>
    <w:rsid w:val="3ACF0C29"/>
    <w:rsid w:val="3C6210A8"/>
    <w:rsid w:val="3C6B2A0C"/>
    <w:rsid w:val="3CF27344"/>
    <w:rsid w:val="3EAD396E"/>
    <w:rsid w:val="3F0F4FB2"/>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4EA24F8C"/>
    <w:rsid w:val="50164862"/>
    <w:rsid w:val="504B3A24"/>
    <w:rsid w:val="5187429B"/>
    <w:rsid w:val="51E569AA"/>
    <w:rsid w:val="520A3F74"/>
    <w:rsid w:val="524317A1"/>
    <w:rsid w:val="5278350D"/>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426D1A"/>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38D42FB"/>
    <w:rsid w:val="642E715A"/>
    <w:rsid w:val="64600B31"/>
    <w:rsid w:val="6526621F"/>
    <w:rsid w:val="6550702E"/>
    <w:rsid w:val="6551044C"/>
    <w:rsid w:val="65E41067"/>
    <w:rsid w:val="66684BDB"/>
    <w:rsid w:val="66FE3A08"/>
    <w:rsid w:val="67972F1E"/>
    <w:rsid w:val="680C6625"/>
    <w:rsid w:val="68546520"/>
    <w:rsid w:val="6A524488"/>
    <w:rsid w:val="6A804EF2"/>
    <w:rsid w:val="6B480735"/>
    <w:rsid w:val="6CC73384"/>
    <w:rsid w:val="6D6D0B45"/>
    <w:rsid w:val="6DD62184"/>
    <w:rsid w:val="6E890C0D"/>
    <w:rsid w:val="6EA66863"/>
    <w:rsid w:val="6F8557CC"/>
    <w:rsid w:val="70234DFB"/>
    <w:rsid w:val="70B15E4D"/>
    <w:rsid w:val="71463893"/>
    <w:rsid w:val="722263AA"/>
    <w:rsid w:val="72301086"/>
    <w:rsid w:val="727F78E4"/>
    <w:rsid w:val="72870285"/>
    <w:rsid w:val="72BB1022"/>
    <w:rsid w:val="73084835"/>
    <w:rsid w:val="733A7128"/>
    <w:rsid w:val="73442687"/>
    <w:rsid w:val="73701AB5"/>
    <w:rsid w:val="738A49B5"/>
    <w:rsid w:val="73E4715F"/>
    <w:rsid w:val="73F964D7"/>
    <w:rsid w:val="74007BC6"/>
    <w:rsid w:val="742959A7"/>
    <w:rsid w:val="75565FB6"/>
    <w:rsid w:val="75660212"/>
    <w:rsid w:val="75C96B43"/>
    <w:rsid w:val="75D3171F"/>
    <w:rsid w:val="768253C4"/>
    <w:rsid w:val="76AB1BE4"/>
    <w:rsid w:val="76BF04D0"/>
    <w:rsid w:val="76C56A0A"/>
    <w:rsid w:val="76E36545"/>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widowControl/>
      <w:numPr>
        <w:ilvl w:val="0"/>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3">
    <w:name w:val="heading 2"/>
    <w:basedOn w:val="1"/>
    <w:next w:val="1"/>
    <w:link w:val="47"/>
    <w:qFormat/>
    <w:uiPriority w:val="0"/>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4">
    <w:name w:val="heading 3"/>
    <w:basedOn w:val="1"/>
    <w:next w:val="1"/>
    <w:link w:val="48"/>
    <w:qFormat/>
    <w:uiPriority w:val="0"/>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5">
    <w:name w:val="heading 4"/>
    <w:basedOn w:val="1"/>
    <w:next w:val="1"/>
    <w:link w:val="49"/>
    <w:qFormat/>
    <w:uiPriority w:val="0"/>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6">
    <w:name w:val="heading 5"/>
    <w:basedOn w:val="1"/>
    <w:next w:val="1"/>
    <w:link w:val="50"/>
    <w:qFormat/>
    <w:uiPriority w:val="0"/>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7">
    <w:name w:val="heading 6"/>
    <w:basedOn w:val="1"/>
    <w:next w:val="1"/>
    <w:link w:val="51"/>
    <w:qFormat/>
    <w:uiPriority w:val="0"/>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8">
    <w:name w:val="heading 7"/>
    <w:basedOn w:val="1"/>
    <w:next w:val="1"/>
    <w:link w:val="52"/>
    <w:qFormat/>
    <w:uiPriority w:val="0"/>
    <w:pPr>
      <w:keepNext/>
      <w:widowControl/>
      <w:tabs>
        <w:tab w:val="left" w:pos="2269"/>
      </w:tabs>
      <w:spacing w:before="60" w:after="40"/>
      <w:ind w:left="113" w:right="113"/>
      <w:outlineLvl w:val="6"/>
    </w:pPr>
    <w:rPr>
      <w:rFonts w:ascii="Arial" w:hAnsi="Arial" w:eastAsia="MS Gothic"/>
      <w:i/>
      <w:iCs/>
      <w:snapToGrid w:val="0"/>
      <w:color w:val="000000"/>
      <w:kern w:val="0"/>
      <w:sz w:val="16"/>
      <w:szCs w:val="16"/>
      <w:lang w:val="de-DE" w:eastAsia="de-DE"/>
    </w:rPr>
  </w:style>
  <w:style w:type="paragraph" w:styleId="9">
    <w:name w:val="heading 8"/>
    <w:basedOn w:val="1"/>
    <w:next w:val="1"/>
    <w:link w:val="53"/>
    <w:qFormat/>
    <w:uiPriority w:val="0"/>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10">
    <w:name w:val="heading 9"/>
    <w:basedOn w:val="1"/>
    <w:next w:val="1"/>
    <w:link w:val="54"/>
    <w:qFormat/>
    <w:uiPriority w:val="0"/>
    <w:pPr>
      <w:keepNext/>
      <w:widowControl/>
      <w:tabs>
        <w:tab w:val="left" w:pos="709"/>
      </w:tabs>
      <w:spacing w:before="40" w:after="40"/>
      <w:ind w:left="113" w:right="113"/>
      <w:outlineLvl w:val="8"/>
    </w:pPr>
    <w:rPr>
      <w:rFonts w:ascii="Arial" w:hAnsi="Arial" w:eastAsia="MS Gothic"/>
      <w:snapToGrid w:val="0"/>
      <w:kern w:val="0"/>
      <w:sz w:val="18"/>
      <w:szCs w:val="18"/>
      <w:u w:val="single"/>
      <w:lang w:val="de-DE" w:eastAsia="de-DE"/>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toc 7"/>
    <w:basedOn w:val="1"/>
    <w:next w:val="1"/>
    <w:semiHidden/>
    <w:qFormat/>
    <w:uiPriority w:val="0"/>
    <w:pPr>
      <w:widowControl/>
      <w:ind w:left="1000"/>
      <w:jc w:val="left"/>
    </w:pPr>
    <w:rPr>
      <w:snapToGrid w:val="0"/>
      <w:kern w:val="0"/>
      <w:sz w:val="20"/>
      <w:szCs w:val="20"/>
      <w:lang w:val="de-DE" w:eastAsia="de-DE"/>
    </w:rPr>
  </w:style>
  <w:style w:type="paragraph" w:styleId="12">
    <w:name w:val="Body Text 3"/>
    <w:basedOn w:val="1"/>
    <w:link w:val="114"/>
    <w:qFormat/>
    <w:uiPriority w:val="0"/>
    <w:pPr>
      <w:widowControl/>
      <w:pBdr>
        <w:top w:val="single" w:color="C0C0C0" w:sz="6" w:space="1"/>
        <w:left w:val="single" w:color="C0C0C0" w:sz="6" w:space="1"/>
        <w:bottom w:val="single" w:color="C0C0C0" w:sz="6" w:space="1"/>
        <w:right w:val="single" w:color="C0C0C0" w:sz="6" w:space="1"/>
        <w:between w:val="single" w:color="C0C0C0" w:sz="6" w:space="1"/>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13">
    <w:name w:val="Body Text"/>
    <w:basedOn w:val="1"/>
    <w:link w:val="109"/>
    <w:qFormat/>
    <w:uiPriority w:val="0"/>
    <w:pPr>
      <w:widowControl/>
      <w:spacing w:before="40" w:after="40"/>
    </w:pPr>
    <w:rPr>
      <w:rFonts w:ascii="Arial" w:hAnsi="Arial" w:cs="Arial"/>
      <w:snapToGrid w:val="0"/>
      <w:vanish/>
      <w:color w:val="0000FF"/>
      <w:kern w:val="0"/>
      <w:sz w:val="20"/>
      <w:szCs w:val="20"/>
      <w:lang w:val="de-DE" w:eastAsia="de-DE"/>
    </w:rPr>
  </w:style>
  <w:style w:type="paragraph" w:styleId="14">
    <w:name w:val="Body Text Indent"/>
    <w:basedOn w:val="1"/>
    <w:link w:val="110"/>
    <w:qFormat/>
    <w:uiPriority w:val="0"/>
    <w:pPr>
      <w:widowControl/>
      <w:pBdr>
        <w:top w:val="single" w:color="C0C0C0" w:sz="6" w:space="1"/>
        <w:left w:val="single" w:color="C0C0C0" w:sz="6" w:space="1"/>
        <w:bottom w:val="single" w:color="C0C0C0" w:sz="6" w:space="1"/>
        <w:right w:val="single" w:color="C0C0C0" w:sz="6" w:space="1"/>
        <w:between w:val="single" w:color="C0C0C0" w:sz="6" w:space="1"/>
      </w:pBdr>
      <w:shd w:val="pct25" w:color="00FF00" w:fill="FFFFFF"/>
    </w:pPr>
    <w:rPr>
      <w:rFonts w:ascii="Arial" w:hAnsi="Arial" w:cs="Arial"/>
      <w:snapToGrid w:val="0"/>
      <w:kern w:val="0"/>
      <w:sz w:val="20"/>
      <w:szCs w:val="20"/>
      <w:lang w:val="en-GB" w:eastAsia="de-DE"/>
    </w:rPr>
  </w:style>
  <w:style w:type="paragraph" w:styleId="15">
    <w:name w:val="toc 5"/>
    <w:basedOn w:val="1"/>
    <w:next w:val="1"/>
    <w:semiHidden/>
    <w:qFormat/>
    <w:uiPriority w:val="0"/>
    <w:pPr>
      <w:widowControl/>
      <w:ind w:left="600"/>
      <w:jc w:val="left"/>
    </w:pPr>
    <w:rPr>
      <w:snapToGrid w:val="0"/>
      <w:kern w:val="0"/>
      <w:sz w:val="20"/>
      <w:szCs w:val="20"/>
      <w:lang w:val="de-DE" w:eastAsia="de-DE"/>
    </w:rPr>
  </w:style>
  <w:style w:type="paragraph" w:styleId="16">
    <w:name w:val="toc 3"/>
    <w:basedOn w:val="1"/>
    <w:next w:val="1"/>
    <w:semiHidden/>
    <w:qFormat/>
    <w:uiPriority w:val="0"/>
    <w:pPr>
      <w:widowControl/>
      <w:ind w:left="200"/>
      <w:jc w:val="left"/>
    </w:pPr>
    <w:rPr>
      <w:snapToGrid w:val="0"/>
      <w:kern w:val="0"/>
      <w:sz w:val="20"/>
      <w:szCs w:val="20"/>
      <w:lang w:val="de-DE" w:eastAsia="de-DE"/>
    </w:rPr>
  </w:style>
  <w:style w:type="paragraph" w:styleId="17">
    <w:name w:val="Plain Text"/>
    <w:basedOn w:val="1"/>
    <w:link w:val="124"/>
    <w:qFormat/>
    <w:uiPriority w:val="0"/>
    <w:rPr>
      <w:rFonts w:ascii="宋体" w:hAnsi="Courier New"/>
      <w:szCs w:val="20"/>
    </w:rPr>
  </w:style>
  <w:style w:type="paragraph" w:styleId="18">
    <w:name w:val="toc 8"/>
    <w:basedOn w:val="1"/>
    <w:next w:val="1"/>
    <w:semiHidden/>
    <w:qFormat/>
    <w:uiPriority w:val="0"/>
    <w:pPr>
      <w:widowControl/>
      <w:ind w:left="1200"/>
      <w:jc w:val="left"/>
    </w:pPr>
    <w:rPr>
      <w:snapToGrid w:val="0"/>
      <w:kern w:val="0"/>
      <w:sz w:val="20"/>
      <w:szCs w:val="20"/>
      <w:lang w:val="de-DE" w:eastAsia="de-DE"/>
    </w:rPr>
  </w:style>
  <w:style w:type="paragraph" w:styleId="19">
    <w:name w:val="Balloon Text"/>
    <w:basedOn w:val="1"/>
    <w:link w:val="37"/>
    <w:unhideWhenUsed/>
    <w:qFormat/>
    <w:uiPriority w:val="0"/>
    <w:rPr>
      <w:sz w:val="18"/>
      <w:szCs w:val="18"/>
    </w:rPr>
  </w:style>
  <w:style w:type="paragraph" w:styleId="20">
    <w:name w:val="footer"/>
    <w:basedOn w:val="1"/>
    <w:link w:val="36"/>
    <w:unhideWhenUsed/>
    <w:qFormat/>
    <w:uiPriority w:val="0"/>
    <w:pPr>
      <w:tabs>
        <w:tab w:val="center" w:pos="4153"/>
        <w:tab w:val="right" w:pos="8306"/>
      </w:tabs>
      <w:snapToGrid w:val="0"/>
      <w:jc w:val="left"/>
    </w:pPr>
    <w:rPr>
      <w:sz w:val="18"/>
      <w:szCs w:val="18"/>
    </w:rPr>
  </w:style>
  <w:style w:type="paragraph" w:styleId="21">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23">
    <w:name w:val="toc 4"/>
    <w:basedOn w:val="1"/>
    <w:next w:val="1"/>
    <w:semiHidden/>
    <w:qFormat/>
    <w:uiPriority w:val="0"/>
    <w:pPr>
      <w:widowControl/>
      <w:ind w:left="400"/>
      <w:jc w:val="left"/>
    </w:pPr>
    <w:rPr>
      <w:snapToGrid w:val="0"/>
      <w:kern w:val="0"/>
      <w:sz w:val="20"/>
      <w:szCs w:val="20"/>
      <w:lang w:val="de-DE" w:eastAsia="de-DE"/>
    </w:rPr>
  </w:style>
  <w:style w:type="paragraph" w:styleId="24">
    <w:name w:val="toc 6"/>
    <w:basedOn w:val="1"/>
    <w:next w:val="1"/>
    <w:semiHidden/>
    <w:qFormat/>
    <w:uiPriority w:val="0"/>
    <w:pPr>
      <w:widowControl/>
      <w:ind w:left="800"/>
      <w:jc w:val="left"/>
    </w:pPr>
    <w:rPr>
      <w:snapToGrid w:val="0"/>
      <w:kern w:val="0"/>
      <w:sz w:val="20"/>
      <w:szCs w:val="20"/>
      <w:lang w:val="de-DE" w:eastAsia="de-DE"/>
    </w:rPr>
  </w:style>
  <w:style w:type="paragraph" w:styleId="25">
    <w:name w:val="toc 2"/>
    <w:basedOn w:val="1"/>
    <w:next w:val="1"/>
    <w:semiHidden/>
    <w:qFormat/>
    <w:uiPriority w:val="0"/>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26">
    <w:name w:val="toc 9"/>
    <w:basedOn w:val="1"/>
    <w:next w:val="1"/>
    <w:semiHidden/>
    <w:qFormat/>
    <w:uiPriority w:val="0"/>
    <w:pPr>
      <w:widowControl/>
      <w:ind w:left="1400"/>
      <w:jc w:val="left"/>
    </w:pPr>
    <w:rPr>
      <w:snapToGrid w:val="0"/>
      <w:kern w:val="0"/>
      <w:sz w:val="20"/>
      <w:szCs w:val="20"/>
      <w:lang w:val="de-DE" w:eastAsia="de-DE"/>
    </w:rPr>
  </w:style>
  <w:style w:type="paragraph" w:styleId="2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2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FollowedHyperlink"/>
    <w:qFormat/>
    <w:uiPriority w:val="0"/>
    <w:rPr>
      <w:color w:val="800080"/>
      <w:u w:val="single"/>
    </w:rPr>
  </w:style>
  <w:style w:type="character" w:styleId="33">
    <w:name w:val="Hyperlink"/>
    <w:basedOn w:val="31"/>
    <w:unhideWhenUsed/>
    <w:qFormat/>
    <w:uiPriority w:val="0"/>
    <w:rPr>
      <w:color w:val="0000FF"/>
      <w:u w:val="single"/>
    </w:rPr>
  </w:style>
  <w:style w:type="paragraph" w:styleId="34">
    <w:name w:val="List Paragraph"/>
    <w:basedOn w:val="1"/>
    <w:qFormat/>
    <w:uiPriority w:val="34"/>
    <w:pPr>
      <w:ind w:firstLine="420" w:firstLineChars="200"/>
    </w:pPr>
  </w:style>
  <w:style w:type="character" w:customStyle="1" w:styleId="35">
    <w:name w:val="页眉 字符"/>
    <w:basedOn w:val="31"/>
    <w:link w:val="21"/>
    <w:qFormat/>
    <w:uiPriority w:val="99"/>
    <w:rPr>
      <w:rFonts w:ascii="Times New Roman" w:hAnsi="Times New Roman" w:eastAsia="宋体" w:cs="Times New Roman"/>
      <w:sz w:val="18"/>
      <w:szCs w:val="18"/>
    </w:rPr>
  </w:style>
  <w:style w:type="character" w:customStyle="1" w:styleId="36">
    <w:name w:val="页脚 字符"/>
    <w:basedOn w:val="31"/>
    <w:link w:val="20"/>
    <w:qFormat/>
    <w:uiPriority w:val="99"/>
    <w:rPr>
      <w:rFonts w:ascii="Times New Roman" w:hAnsi="Times New Roman" w:eastAsia="宋体" w:cs="Times New Roman"/>
      <w:sz w:val="18"/>
      <w:szCs w:val="18"/>
    </w:rPr>
  </w:style>
  <w:style w:type="character" w:customStyle="1" w:styleId="37">
    <w:name w:val="批注框文本 字符"/>
    <w:basedOn w:val="31"/>
    <w:link w:val="19"/>
    <w:semiHidden/>
    <w:qFormat/>
    <w:uiPriority w:val="99"/>
    <w:rPr>
      <w:rFonts w:ascii="Times New Roman" w:hAnsi="Times New Roman" w:eastAsia="宋体" w:cs="Times New Roman"/>
      <w:sz w:val="18"/>
      <w:szCs w:val="18"/>
    </w:rPr>
  </w:style>
  <w:style w:type="character" w:customStyle="1" w:styleId="38">
    <w:name w:val="页眉 Char"/>
    <w:qFormat/>
    <w:uiPriority w:val="0"/>
    <w:rPr>
      <w:kern w:val="2"/>
      <w:sz w:val="18"/>
      <w:szCs w:val="18"/>
    </w:rPr>
  </w:style>
  <w:style w:type="character" w:customStyle="1" w:styleId="39">
    <w:name w:val="Char Char1"/>
    <w:qFormat/>
    <w:locked/>
    <w:uiPriority w:val="0"/>
    <w:rPr>
      <w:rFonts w:hint="eastAsia" w:ascii="宋体" w:hAnsi="Courier New" w:eastAsia="宋体"/>
      <w:kern w:val="2"/>
      <w:sz w:val="21"/>
      <w:lang w:val="en-US" w:eastAsia="zh-CN" w:bidi="ar-SA"/>
    </w:rPr>
  </w:style>
  <w:style w:type="paragraph" w:customStyle="1" w:styleId="40">
    <w:name w:val="Body 6pt"/>
    <w:basedOn w:val="1"/>
    <w:qFormat/>
    <w:uiPriority w:val="0"/>
    <w:pPr>
      <w:spacing w:before="40" w:after="40"/>
    </w:pPr>
    <w:rPr>
      <w:rFonts w:eastAsia="Times New Roman"/>
      <w:sz w:val="12"/>
      <w:szCs w:val="20"/>
      <w:lang w:val="de-DE" w:eastAsia="de-DE"/>
    </w:rPr>
  </w:style>
  <w:style w:type="paragraph" w:customStyle="1" w:styleId="4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42">
    <w:name w:val="TM_accreditation"/>
    <w:basedOn w:val="1"/>
    <w:qFormat/>
    <w:uiPriority w:val="0"/>
    <w:pPr>
      <w:spacing w:before="40" w:after="40"/>
    </w:pPr>
    <w:rPr>
      <w:rFonts w:eastAsia="Times New Roman"/>
      <w:sz w:val="20"/>
      <w:szCs w:val="20"/>
      <w:lang w:val="en-GB" w:eastAsia="de-DE"/>
    </w:rPr>
  </w:style>
  <w:style w:type="paragraph" w:customStyle="1" w:styleId="4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4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46">
    <w:name w:val="标题 1 字符"/>
    <w:basedOn w:val="31"/>
    <w:link w:val="2"/>
    <w:qFormat/>
    <w:uiPriority w:val="0"/>
    <w:rPr>
      <w:rFonts w:ascii="Arial" w:hAnsi="Arial" w:cs="Arial"/>
      <w:b/>
      <w:bCs/>
      <w:snapToGrid w:val="0"/>
      <w:sz w:val="24"/>
      <w:szCs w:val="24"/>
      <w:lang w:val="de-DE" w:eastAsia="de-DE"/>
    </w:rPr>
  </w:style>
  <w:style w:type="character" w:customStyle="1" w:styleId="47">
    <w:name w:val="标题 2 字符"/>
    <w:basedOn w:val="31"/>
    <w:link w:val="3"/>
    <w:qFormat/>
    <w:uiPriority w:val="0"/>
    <w:rPr>
      <w:rFonts w:ascii="Arial" w:hAnsi="Arial" w:cs="Arial"/>
      <w:b/>
      <w:bCs/>
      <w:snapToGrid w:val="0"/>
      <w:sz w:val="24"/>
      <w:szCs w:val="24"/>
      <w:lang w:val="de-DE" w:eastAsia="de-DE"/>
    </w:rPr>
  </w:style>
  <w:style w:type="character" w:customStyle="1" w:styleId="48">
    <w:name w:val="标题 3 字符"/>
    <w:basedOn w:val="31"/>
    <w:link w:val="4"/>
    <w:qFormat/>
    <w:uiPriority w:val="0"/>
    <w:rPr>
      <w:rFonts w:ascii="Arial" w:hAnsi="Arial" w:cs="Arial"/>
      <w:b/>
      <w:bCs/>
      <w:snapToGrid w:val="0"/>
      <w:lang w:val="de-DE" w:eastAsia="de-DE"/>
    </w:rPr>
  </w:style>
  <w:style w:type="character" w:customStyle="1" w:styleId="49">
    <w:name w:val="标题 4 字符"/>
    <w:basedOn w:val="31"/>
    <w:link w:val="5"/>
    <w:qFormat/>
    <w:uiPriority w:val="0"/>
    <w:rPr>
      <w:rFonts w:ascii="Arial" w:hAnsi="Arial" w:cs="Arial"/>
      <w:b/>
      <w:bCs/>
      <w:snapToGrid w:val="0"/>
      <w:sz w:val="24"/>
      <w:szCs w:val="24"/>
      <w:lang w:val="de-DE" w:eastAsia="de-DE"/>
    </w:rPr>
  </w:style>
  <w:style w:type="character" w:customStyle="1" w:styleId="50">
    <w:name w:val="标题 5 字符"/>
    <w:basedOn w:val="31"/>
    <w:link w:val="6"/>
    <w:qFormat/>
    <w:uiPriority w:val="0"/>
    <w:rPr>
      <w:rFonts w:ascii="Arial" w:hAnsi="Arial"/>
      <w:b/>
      <w:bCs/>
      <w:snapToGrid w:val="0"/>
      <w:color w:val="FF0000"/>
      <w:sz w:val="24"/>
      <w:szCs w:val="24"/>
      <w:lang w:val="de-DE" w:eastAsia="de-DE"/>
    </w:rPr>
  </w:style>
  <w:style w:type="character" w:customStyle="1" w:styleId="51">
    <w:name w:val="标题 6 字符"/>
    <w:basedOn w:val="31"/>
    <w:link w:val="7"/>
    <w:qFormat/>
    <w:uiPriority w:val="0"/>
    <w:rPr>
      <w:rFonts w:ascii="Arial" w:hAnsi="Arial"/>
      <w:b/>
      <w:bCs/>
      <w:snapToGrid w:val="0"/>
      <w:sz w:val="24"/>
      <w:szCs w:val="24"/>
      <w:lang w:val="de-DE" w:eastAsia="de-DE"/>
    </w:rPr>
  </w:style>
  <w:style w:type="character" w:customStyle="1" w:styleId="52">
    <w:name w:val="标题 7 字符"/>
    <w:basedOn w:val="31"/>
    <w:link w:val="8"/>
    <w:qFormat/>
    <w:uiPriority w:val="0"/>
    <w:rPr>
      <w:rFonts w:ascii="Arial" w:hAnsi="Arial" w:eastAsia="MS Gothic"/>
      <w:i/>
      <w:iCs/>
      <w:snapToGrid w:val="0"/>
      <w:color w:val="000000"/>
      <w:sz w:val="16"/>
      <w:szCs w:val="16"/>
      <w:lang w:val="de-DE" w:eastAsia="de-DE"/>
    </w:rPr>
  </w:style>
  <w:style w:type="character" w:customStyle="1" w:styleId="53">
    <w:name w:val="标题 8 字符"/>
    <w:basedOn w:val="31"/>
    <w:link w:val="9"/>
    <w:qFormat/>
    <w:uiPriority w:val="0"/>
    <w:rPr>
      <w:rFonts w:ascii="Arial" w:hAnsi="Arial" w:cs="Arial"/>
      <w:b/>
      <w:bCs/>
      <w:snapToGrid w:val="0"/>
      <w:color w:val="000000"/>
      <w:sz w:val="16"/>
      <w:szCs w:val="16"/>
      <w:lang w:val="de-DE" w:eastAsia="de-DE"/>
    </w:rPr>
  </w:style>
  <w:style w:type="character" w:customStyle="1" w:styleId="54">
    <w:name w:val="标题 9 字符"/>
    <w:basedOn w:val="31"/>
    <w:link w:val="10"/>
    <w:qFormat/>
    <w:uiPriority w:val="0"/>
    <w:rPr>
      <w:rFonts w:ascii="Arial" w:hAnsi="Arial" w:eastAsia="MS Gothic"/>
      <w:snapToGrid w:val="0"/>
      <w:sz w:val="18"/>
      <w:szCs w:val="18"/>
      <w:u w:val="single"/>
      <w:lang w:val="de-DE" w:eastAsia="de-DE"/>
    </w:rPr>
  </w:style>
  <w:style w:type="paragraph" w:customStyle="1" w:styleId="55">
    <w:name w:val="Body 10pt De Left AS0"/>
    <w:basedOn w:val="1"/>
    <w:qFormat/>
    <w:uiPriority w:val="0"/>
    <w:pPr>
      <w:widowControl/>
      <w:spacing w:before="40" w:after="40"/>
    </w:pPr>
    <w:rPr>
      <w:rFonts w:ascii="Arial" w:hAnsi="Arial" w:cs="Arial"/>
      <w:snapToGrid w:val="0"/>
      <w:kern w:val="0"/>
      <w:sz w:val="20"/>
      <w:szCs w:val="20"/>
      <w:lang w:val="de-DE" w:eastAsia="de-DE"/>
    </w:rPr>
  </w:style>
  <w:style w:type="paragraph" w:customStyle="1" w:styleId="56">
    <w:name w:val="Body 10pt De Underline AS0"/>
    <w:basedOn w:val="1"/>
    <w:qFormat/>
    <w:uiPriority w:val="0"/>
    <w:pPr>
      <w:widowControl/>
      <w:spacing w:before="40" w:after="40"/>
    </w:pPr>
    <w:rPr>
      <w:rFonts w:ascii="Arial" w:hAnsi="Arial" w:cs="Arial"/>
      <w:snapToGrid w:val="0"/>
      <w:kern w:val="0"/>
      <w:sz w:val="20"/>
      <w:szCs w:val="20"/>
      <w:u w:val="single"/>
      <w:lang w:val="de-DE" w:eastAsia="de-DE"/>
    </w:rPr>
  </w:style>
  <w:style w:type="paragraph" w:customStyle="1" w:styleId="57">
    <w:name w:val="Body 10pt En Left AS0"/>
    <w:basedOn w:val="55"/>
    <w:qFormat/>
    <w:uiPriority w:val="0"/>
    <w:rPr>
      <w:color w:val="000080"/>
    </w:rPr>
  </w:style>
  <w:style w:type="paragraph" w:customStyle="1" w:styleId="58">
    <w:name w:val="Body 10pt En Underline AS0"/>
    <w:basedOn w:val="56"/>
    <w:qFormat/>
    <w:uiPriority w:val="0"/>
    <w:rPr>
      <w:color w:val="000080"/>
    </w:rPr>
  </w:style>
  <w:style w:type="paragraph" w:customStyle="1" w:styleId="59">
    <w:name w:val="Header 10pt De PS0"/>
    <w:basedOn w:val="1"/>
    <w:qFormat/>
    <w:uiPriority w:val="0"/>
    <w:pPr>
      <w:widowControl/>
      <w:spacing w:before="40" w:after="40"/>
    </w:pPr>
    <w:rPr>
      <w:rFonts w:ascii="Arial" w:hAnsi="Arial" w:cs="Arial"/>
      <w:b/>
      <w:bCs/>
      <w:snapToGrid w:val="0"/>
      <w:kern w:val="0"/>
      <w:sz w:val="20"/>
      <w:szCs w:val="20"/>
      <w:lang w:val="de-DE" w:eastAsia="de-DE"/>
    </w:rPr>
  </w:style>
  <w:style w:type="paragraph" w:customStyle="1" w:styleId="60">
    <w:name w:val="Header 10pt En PS0"/>
    <w:basedOn w:val="59"/>
    <w:qFormat/>
    <w:uiPriority w:val="0"/>
    <w:rPr>
      <w:color w:val="000080"/>
    </w:rPr>
  </w:style>
  <w:style w:type="paragraph" w:customStyle="1" w:styleId="61">
    <w:name w:val="Header 11pt Left Bold"/>
    <w:basedOn w:val="59"/>
    <w:qFormat/>
    <w:uiPriority w:val="0"/>
    <w:pPr>
      <w:jc w:val="left"/>
    </w:pPr>
    <w:rPr>
      <w:sz w:val="22"/>
      <w:szCs w:val="22"/>
    </w:rPr>
  </w:style>
  <w:style w:type="paragraph" w:customStyle="1" w:styleId="62">
    <w:name w:val="Header 11pt En Left Bold"/>
    <w:basedOn w:val="61"/>
    <w:qFormat/>
    <w:uiPriority w:val="0"/>
    <w:rPr>
      <w:color w:val="000080"/>
    </w:rPr>
  </w:style>
  <w:style w:type="paragraph" w:customStyle="1" w:styleId="63">
    <w:name w:val="Header 14pt Bold Centered"/>
    <w:basedOn w:val="1"/>
    <w:qFormat/>
    <w:uiPriority w:val="0"/>
    <w:pPr>
      <w:widowControl/>
      <w:spacing w:before="40" w:after="40"/>
      <w:jc w:val="center"/>
    </w:pPr>
    <w:rPr>
      <w:rFonts w:ascii="Arial" w:hAnsi="Arial" w:cs="Arial"/>
      <w:b/>
      <w:bCs/>
      <w:snapToGrid w:val="0"/>
      <w:kern w:val="0"/>
      <w:sz w:val="28"/>
      <w:szCs w:val="28"/>
      <w:lang w:val="de-DE" w:eastAsia="de-DE"/>
    </w:rPr>
  </w:style>
  <w:style w:type="paragraph" w:customStyle="1" w:styleId="64">
    <w:name w:val="Header 12pt Bold Centered"/>
    <w:basedOn w:val="63"/>
    <w:qFormat/>
    <w:uiPriority w:val="0"/>
    <w:pPr>
      <w:numPr>
        <w:ilvl w:val="0"/>
        <w:numId w:val="4"/>
      </w:numPr>
      <w:tabs>
        <w:tab w:val="clear" w:pos="360"/>
      </w:tabs>
      <w:ind w:left="0" w:firstLine="0"/>
    </w:pPr>
  </w:style>
  <w:style w:type="paragraph" w:customStyle="1" w:styleId="65">
    <w:name w:val="Header 20pt PS24 AS12"/>
    <w:basedOn w:val="1"/>
    <w:qFormat/>
    <w:uiPriority w:val="0"/>
    <w:pPr>
      <w:widowControl/>
      <w:spacing w:before="480" w:after="240"/>
      <w:jc w:val="center"/>
    </w:pPr>
    <w:rPr>
      <w:rFonts w:ascii="Arial" w:hAnsi="Arial" w:cs="Arial"/>
      <w:snapToGrid w:val="0"/>
      <w:kern w:val="0"/>
      <w:sz w:val="40"/>
      <w:szCs w:val="40"/>
      <w:lang w:val="de-DE" w:eastAsia="de-DE"/>
    </w:rPr>
  </w:style>
  <w:style w:type="paragraph" w:customStyle="1" w:styleId="66">
    <w:name w:val="Hidden 9pt"/>
    <w:basedOn w:val="1"/>
    <w:qFormat/>
    <w:uiPriority w:val="0"/>
    <w:pPr>
      <w:widowControl/>
      <w:spacing w:before="40" w:after="40"/>
    </w:pPr>
    <w:rPr>
      <w:rFonts w:ascii="Arial" w:hAnsi="Arial" w:cs="Arial"/>
      <w:snapToGrid w:val="0"/>
      <w:vanish/>
      <w:color w:val="0000FF"/>
      <w:kern w:val="0"/>
      <w:sz w:val="18"/>
      <w:szCs w:val="18"/>
      <w:lang w:val="de-DE" w:eastAsia="de-DE"/>
    </w:rPr>
  </w:style>
  <w:style w:type="paragraph" w:customStyle="1" w:styleId="67">
    <w:name w:val="List Bar De 10pt"/>
    <w:basedOn w:val="1"/>
    <w:qFormat/>
    <w:uiPriority w:val="0"/>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68">
    <w:name w:val="List Bar En 10pt"/>
    <w:basedOn w:val="1"/>
    <w:qFormat/>
    <w:uiPriority w:val="0"/>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69">
    <w:name w:val="List Dot De 10pt Feeder"/>
    <w:basedOn w:val="1"/>
    <w:qFormat/>
    <w:uiPriority w:val="0"/>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70">
    <w:name w:val="List Dot En 10pt"/>
    <w:basedOn w:val="43"/>
    <w:qFormat/>
    <w:uiPriority w:val="0"/>
    <w:pPr>
      <w:widowControl/>
      <w:tabs>
        <w:tab w:val="left" w:pos="360"/>
      </w:tabs>
    </w:pPr>
    <w:rPr>
      <w:rFonts w:ascii="Arial" w:hAnsi="Arial" w:eastAsia="宋体" w:cs="Arial"/>
      <w:color w:val="000080"/>
      <w:kern w:val="0"/>
    </w:rPr>
  </w:style>
  <w:style w:type="paragraph" w:customStyle="1" w:styleId="71">
    <w:name w:val="List Dot En 10pt Feeder"/>
    <w:basedOn w:val="69"/>
    <w:qFormat/>
    <w:uiPriority w:val="0"/>
    <w:pPr>
      <w:tabs>
        <w:tab w:val="clear" w:pos="927"/>
      </w:tabs>
    </w:pPr>
    <w:rPr>
      <w:color w:val="000080"/>
    </w:rPr>
  </w:style>
  <w:style w:type="paragraph" w:customStyle="1" w:styleId="72">
    <w:name w:val="List Number De 10pt"/>
    <w:basedOn w:val="1"/>
    <w:qFormat/>
    <w:uiPriority w:val="0"/>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73">
    <w:name w:val="List Number En 10pt"/>
    <w:basedOn w:val="72"/>
    <w:qFormat/>
    <w:uiPriority w:val="0"/>
    <w:pPr>
      <w:tabs>
        <w:tab w:val="clear" w:pos="567"/>
      </w:tabs>
    </w:pPr>
    <w:rPr>
      <w:color w:val="000080"/>
      <w:lang w:val="en-US"/>
    </w:rPr>
  </w:style>
  <w:style w:type="paragraph" w:customStyle="1" w:styleId="74">
    <w:name w:val="PRC Step 10pt De Subtitle"/>
    <w:basedOn w:val="1"/>
    <w:qFormat/>
    <w:uiPriority w:val="0"/>
    <w:pPr>
      <w:widowControl/>
      <w:spacing w:before="40" w:after="40"/>
      <w:jc w:val="left"/>
    </w:pPr>
    <w:rPr>
      <w:rFonts w:ascii="Arial" w:hAnsi="Arial" w:cs="Arial"/>
      <w:b/>
      <w:bCs/>
      <w:snapToGrid w:val="0"/>
      <w:kern w:val="0"/>
      <w:sz w:val="20"/>
      <w:szCs w:val="20"/>
      <w:u w:val="single"/>
      <w:lang w:val="de-DE" w:eastAsia="de-DE"/>
    </w:rPr>
  </w:style>
  <w:style w:type="paragraph" w:customStyle="1" w:styleId="75">
    <w:name w:val="PRC Step 10pt De Title"/>
    <w:basedOn w:val="1"/>
    <w:qFormat/>
    <w:uiPriority w:val="0"/>
    <w:pPr>
      <w:widowControl/>
      <w:spacing w:before="40" w:after="40"/>
      <w:jc w:val="left"/>
    </w:pPr>
    <w:rPr>
      <w:rFonts w:ascii="Arial" w:hAnsi="Arial" w:cs="Arial"/>
      <w:b/>
      <w:bCs/>
      <w:snapToGrid w:val="0"/>
      <w:kern w:val="0"/>
      <w:sz w:val="20"/>
      <w:szCs w:val="20"/>
      <w:u w:val="single"/>
      <w:lang w:val="de-DE" w:eastAsia="de-DE"/>
    </w:rPr>
  </w:style>
  <w:style w:type="paragraph" w:customStyle="1" w:styleId="76">
    <w:name w:val="PRC Step 10pt En Subtitle"/>
    <w:basedOn w:val="75"/>
    <w:next w:val="1"/>
    <w:qFormat/>
    <w:uiPriority w:val="0"/>
    <w:rPr>
      <w:color w:val="000080"/>
      <w:lang w:val="en-US"/>
    </w:rPr>
  </w:style>
  <w:style w:type="paragraph" w:customStyle="1" w:styleId="77">
    <w:name w:val="PRC Step 10pt En Title"/>
    <w:basedOn w:val="75"/>
    <w:next w:val="1"/>
    <w:qFormat/>
    <w:uiPriority w:val="0"/>
    <w:rPr>
      <w:color w:val="000080"/>
      <w:lang w:val="en-US"/>
    </w:rPr>
  </w:style>
  <w:style w:type="paragraph" w:customStyle="1" w:styleId="78">
    <w:name w:val="PRC Step 10pt Number"/>
    <w:basedOn w:val="1"/>
    <w:qFormat/>
    <w:uiPriority w:val="0"/>
    <w:pPr>
      <w:widowControl/>
      <w:spacing w:before="40" w:after="40"/>
    </w:pPr>
    <w:rPr>
      <w:rFonts w:ascii="Arial" w:hAnsi="Arial" w:cs="Arial"/>
      <w:b/>
      <w:bCs/>
      <w:snapToGrid w:val="0"/>
      <w:kern w:val="0"/>
      <w:sz w:val="20"/>
      <w:szCs w:val="20"/>
      <w:lang w:val="de-DE" w:eastAsia="de-DE"/>
    </w:rPr>
  </w:style>
  <w:style w:type="paragraph" w:customStyle="1" w:styleId="79">
    <w:name w:val="PRC Step 10pt Sub-number"/>
    <w:basedOn w:val="1"/>
    <w:qFormat/>
    <w:uiPriority w:val="0"/>
    <w:pPr>
      <w:widowControl/>
      <w:spacing w:before="40" w:after="40"/>
    </w:pPr>
    <w:rPr>
      <w:rFonts w:ascii="Arial" w:hAnsi="Arial" w:cs="Arial"/>
      <w:b/>
      <w:bCs/>
      <w:snapToGrid w:val="0"/>
      <w:kern w:val="0"/>
      <w:sz w:val="20"/>
      <w:szCs w:val="20"/>
      <w:lang w:val="de-DE" w:eastAsia="de-DE"/>
    </w:rPr>
  </w:style>
  <w:style w:type="paragraph" w:customStyle="1" w:styleId="80">
    <w:name w:val="Standard PRC De Bold"/>
    <w:basedOn w:val="1"/>
    <w:qFormat/>
    <w:uiPriority w:val="0"/>
    <w:pPr>
      <w:widowControl/>
      <w:spacing w:before="40" w:after="40"/>
      <w:jc w:val="left"/>
    </w:pPr>
    <w:rPr>
      <w:rFonts w:ascii="Arial" w:hAnsi="Arial" w:cs="Arial"/>
      <w:b/>
      <w:bCs/>
      <w:snapToGrid w:val="0"/>
      <w:kern w:val="0"/>
      <w:sz w:val="20"/>
      <w:szCs w:val="20"/>
      <w:lang w:val="de-DE" w:eastAsia="de-DE"/>
    </w:rPr>
  </w:style>
  <w:style w:type="paragraph" w:customStyle="1" w:styleId="81">
    <w:name w:val="Standard PRC En"/>
    <w:basedOn w:val="1"/>
    <w:qFormat/>
    <w:uiPriority w:val="0"/>
    <w:pPr>
      <w:widowControl/>
      <w:spacing w:before="40" w:after="40"/>
    </w:pPr>
    <w:rPr>
      <w:rFonts w:ascii="Arial" w:hAnsi="Arial" w:cs="Arial"/>
      <w:snapToGrid w:val="0"/>
      <w:color w:val="000080"/>
      <w:kern w:val="0"/>
      <w:sz w:val="20"/>
      <w:szCs w:val="20"/>
      <w:lang w:eastAsia="de-DE"/>
    </w:rPr>
  </w:style>
  <w:style w:type="paragraph" w:customStyle="1" w:styleId="82">
    <w:name w:val="Standard PRC En Bold"/>
    <w:basedOn w:val="1"/>
    <w:qFormat/>
    <w:uiPriority w:val="0"/>
    <w:pPr>
      <w:widowControl/>
      <w:spacing w:before="40" w:after="40"/>
      <w:jc w:val="left"/>
    </w:pPr>
    <w:rPr>
      <w:rFonts w:ascii="Arial" w:hAnsi="Arial" w:cs="Arial"/>
      <w:b/>
      <w:bCs/>
      <w:snapToGrid w:val="0"/>
      <w:color w:val="000080"/>
      <w:kern w:val="0"/>
      <w:sz w:val="20"/>
      <w:szCs w:val="20"/>
      <w:lang w:val="de-DE" w:eastAsia="de-DE"/>
    </w:rPr>
  </w:style>
  <w:style w:type="paragraph" w:customStyle="1" w:styleId="83">
    <w:name w:val="TM_approvedBy"/>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84">
    <w:name w:val="TM_auDate"/>
    <w:basedOn w:val="1"/>
    <w:qFormat/>
    <w:uiPriority w:val="0"/>
    <w:pPr>
      <w:widowControl/>
      <w:spacing w:before="40" w:after="120"/>
      <w:jc w:val="center"/>
    </w:pPr>
    <w:rPr>
      <w:rFonts w:ascii="Arial" w:hAnsi="Arial" w:cs="Arial"/>
      <w:b/>
      <w:bCs/>
      <w:snapToGrid w:val="0"/>
      <w:kern w:val="0"/>
      <w:sz w:val="40"/>
      <w:szCs w:val="40"/>
      <w:lang w:val="de-DE" w:eastAsia="de-DE"/>
    </w:rPr>
  </w:style>
  <w:style w:type="paragraph" w:customStyle="1" w:styleId="85">
    <w:name w:val="TM_auType"/>
    <w:basedOn w:val="1"/>
    <w:qFormat/>
    <w:uiPriority w:val="0"/>
    <w:pPr>
      <w:widowControl/>
      <w:spacing w:before="40" w:after="40"/>
      <w:jc w:val="center"/>
    </w:pPr>
    <w:rPr>
      <w:rFonts w:ascii="Arial" w:hAnsi="Arial" w:cs="Arial"/>
      <w:b/>
      <w:bCs/>
      <w:snapToGrid w:val="0"/>
      <w:kern w:val="0"/>
      <w:sz w:val="40"/>
      <w:szCs w:val="40"/>
      <w:lang w:val="de-DE" w:eastAsia="de-DE"/>
    </w:rPr>
  </w:style>
  <w:style w:type="paragraph" w:customStyle="1" w:styleId="86">
    <w:name w:val="TM_compName"/>
    <w:basedOn w:val="1"/>
    <w:qFormat/>
    <w:uiPriority w:val="0"/>
    <w:pPr>
      <w:widowControl/>
      <w:spacing w:before="40" w:after="120"/>
      <w:jc w:val="center"/>
    </w:pPr>
    <w:rPr>
      <w:rFonts w:ascii="Arial" w:hAnsi="Arial" w:cs="Arial"/>
      <w:b/>
      <w:bCs/>
      <w:snapToGrid w:val="0"/>
      <w:kern w:val="0"/>
      <w:sz w:val="40"/>
      <w:szCs w:val="40"/>
      <w:lang w:val="de-DE" w:eastAsia="de-DE"/>
    </w:rPr>
  </w:style>
  <w:style w:type="paragraph" w:customStyle="1" w:styleId="87">
    <w:name w:val="TM_clientName"/>
    <w:basedOn w:val="86"/>
    <w:qFormat/>
    <w:uiPriority w:val="0"/>
  </w:style>
  <w:style w:type="paragraph" w:customStyle="1" w:styleId="88">
    <w:name w:val="TM_CN"/>
    <w:basedOn w:val="1"/>
    <w:qFormat/>
    <w:uiPriority w:val="0"/>
    <w:pPr>
      <w:widowControl/>
      <w:spacing w:before="240" w:after="240"/>
      <w:jc w:val="center"/>
    </w:pPr>
    <w:rPr>
      <w:rFonts w:ascii="Arial" w:hAnsi="Arial" w:cs="Arial"/>
      <w:snapToGrid w:val="0"/>
      <w:kern w:val="0"/>
      <w:sz w:val="40"/>
      <w:szCs w:val="40"/>
      <w:lang w:val="de-DE" w:eastAsia="de-DE"/>
    </w:rPr>
  </w:style>
  <w:style w:type="paragraph" w:customStyle="1" w:styleId="89">
    <w:name w:val="TM_disclosed"/>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0">
    <w:name w:val="TM_docIndex"/>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1">
    <w:name w:val="TM_docTypelong"/>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2">
    <w:name w:val="TM_docType"/>
    <w:basedOn w:val="91"/>
    <w:qFormat/>
    <w:uiPriority w:val="0"/>
  </w:style>
  <w:style w:type="paragraph" w:customStyle="1" w:styleId="93">
    <w:name w:val="TM_issuedBy"/>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4">
    <w:name w:val="TM_language"/>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5">
    <w:name w:val="TM_MFvalidFrom"/>
    <w:basedOn w:val="1"/>
    <w:qFormat/>
    <w:uiPriority w:val="0"/>
    <w:pPr>
      <w:widowControl/>
      <w:spacing w:before="40" w:after="40"/>
    </w:pPr>
    <w:rPr>
      <w:rFonts w:ascii="Arial" w:hAnsi="Arial" w:cs="Arial"/>
      <w:snapToGrid w:val="0"/>
      <w:kern w:val="0"/>
      <w:sz w:val="22"/>
      <w:szCs w:val="22"/>
      <w:lang w:val="de-DE" w:eastAsia="de-DE"/>
    </w:rPr>
  </w:style>
  <w:style w:type="paragraph" w:customStyle="1" w:styleId="96">
    <w:name w:val="TM_MFvalidUntil"/>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7">
    <w:name w:val="TM_region"/>
    <w:basedOn w:val="1"/>
    <w:qFormat/>
    <w:uiPriority w:val="0"/>
    <w:pPr>
      <w:widowControl/>
      <w:spacing w:before="240" w:after="40"/>
      <w:ind w:left="397" w:hanging="340"/>
    </w:pPr>
    <w:rPr>
      <w:rFonts w:ascii="Arial" w:hAnsi="Arial" w:cs="Arial"/>
      <w:snapToGrid w:val="0"/>
      <w:kern w:val="0"/>
      <w:sz w:val="16"/>
      <w:szCs w:val="16"/>
      <w:lang w:val="de-DE" w:eastAsia="de-DE"/>
    </w:rPr>
  </w:style>
  <w:style w:type="paragraph" w:customStyle="1" w:styleId="98">
    <w:name w:val="TM_regSuppl"/>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9">
    <w:name w:val="TM_releaseDate"/>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0">
    <w:name w:val="TM_revision"/>
    <w:basedOn w:val="1"/>
    <w:qFormat/>
    <w:uiPriority w:val="0"/>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101">
    <w:name w:val="TM_standard"/>
    <w:basedOn w:val="1"/>
    <w:qFormat/>
    <w:uiPriority w:val="0"/>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102">
    <w:name w:val="TM_stateofValidity"/>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3">
    <w:name w:val="TM_title"/>
    <w:basedOn w:val="1"/>
    <w:qFormat/>
    <w:uiPriority w:val="0"/>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104">
    <w:name w:val="TM_workflPos"/>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5">
    <w:name w:val="Überschrift 4 En"/>
    <w:basedOn w:val="5"/>
    <w:qFormat/>
    <w:uiPriority w:val="0"/>
    <w:rPr>
      <w:color w:val="000080"/>
    </w:rPr>
  </w:style>
  <w:style w:type="paragraph" w:customStyle="1" w:styleId="106">
    <w:name w:val="TM_clientAdr"/>
    <w:basedOn w:val="1"/>
    <w:qFormat/>
    <w:uiPriority w:val="0"/>
    <w:pPr>
      <w:widowControl/>
      <w:spacing w:before="40" w:after="40"/>
    </w:pPr>
    <w:rPr>
      <w:rFonts w:ascii="Arial" w:hAnsi="Arial" w:cs="Arial"/>
      <w:snapToGrid w:val="0"/>
      <w:kern w:val="0"/>
      <w:sz w:val="20"/>
      <w:szCs w:val="20"/>
      <w:lang w:eastAsia="de-DE"/>
    </w:rPr>
  </w:style>
  <w:style w:type="paragraph" w:customStyle="1" w:styleId="107">
    <w:name w:val="Body 11pt Feeder"/>
    <w:basedOn w:val="1"/>
    <w:qFormat/>
    <w:uiPriority w:val="0"/>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108">
    <w:name w:val="Body 9pt"/>
    <w:basedOn w:val="1"/>
    <w:qFormat/>
    <w:uiPriority w:val="0"/>
    <w:pPr>
      <w:widowControl/>
      <w:spacing w:before="40" w:after="40"/>
    </w:pPr>
    <w:rPr>
      <w:rFonts w:ascii="Arial" w:hAnsi="Arial" w:cs="Arial"/>
      <w:snapToGrid w:val="0"/>
      <w:kern w:val="0"/>
      <w:sz w:val="18"/>
      <w:szCs w:val="18"/>
      <w:lang w:val="de-DE" w:eastAsia="de-DE"/>
    </w:rPr>
  </w:style>
  <w:style w:type="character" w:customStyle="1" w:styleId="109">
    <w:name w:val="正文文本 字符"/>
    <w:basedOn w:val="31"/>
    <w:link w:val="13"/>
    <w:qFormat/>
    <w:uiPriority w:val="0"/>
    <w:rPr>
      <w:rFonts w:ascii="Arial" w:hAnsi="Arial" w:cs="Arial"/>
      <w:snapToGrid w:val="0"/>
      <w:vanish/>
      <w:color w:val="0000FF"/>
      <w:lang w:val="de-DE" w:eastAsia="de-DE"/>
    </w:rPr>
  </w:style>
  <w:style w:type="character" w:customStyle="1" w:styleId="110">
    <w:name w:val="正文文本缩进 字符"/>
    <w:basedOn w:val="31"/>
    <w:link w:val="14"/>
    <w:qFormat/>
    <w:uiPriority w:val="0"/>
    <w:rPr>
      <w:rFonts w:ascii="Arial" w:hAnsi="Arial" w:cs="Arial"/>
      <w:snapToGrid w:val="0"/>
      <w:shd w:val="pct25" w:color="00FF00" w:fill="FFFFFF"/>
      <w:lang w:val="en-GB" w:eastAsia="de-DE"/>
    </w:rPr>
  </w:style>
  <w:style w:type="paragraph" w:customStyle="1" w:styleId="111">
    <w:name w:val="TM_street"/>
    <w:basedOn w:val="1"/>
    <w:qFormat/>
    <w:uiPriority w:val="0"/>
    <w:pPr>
      <w:widowControl/>
      <w:spacing w:before="40" w:after="40"/>
    </w:pPr>
    <w:rPr>
      <w:rFonts w:ascii="Arial" w:hAnsi="Arial" w:cs="Arial"/>
      <w:snapToGrid w:val="0"/>
      <w:kern w:val="0"/>
      <w:sz w:val="20"/>
      <w:szCs w:val="20"/>
      <w:lang w:val="de-DE" w:eastAsia="de-DE"/>
    </w:rPr>
  </w:style>
  <w:style w:type="paragraph" w:customStyle="1" w:styleId="112">
    <w:name w:val="Header 20pt PS24 AS12 + 24 pt Fett"/>
    <w:basedOn w:val="65"/>
    <w:qFormat/>
    <w:uiPriority w:val="0"/>
    <w:pPr>
      <w:spacing w:before="0" w:after="0" w:line="520" w:lineRule="exact"/>
      <w:jc w:val="left"/>
    </w:pPr>
    <w:rPr>
      <w:sz w:val="48"/>
      <w:szCs w:val="48"/>
    </w:rPr>
  </w:style>
  <w:style w:type="character" w:customStyle="1" w:styleId="113">
    <w:name w:val="tw4winMark"/>
    <w:qFormat/>
    <w:uiPriority w:val="0"/>
    <w:rPr>
      <w:rFonts w:ascii="Courier New" w:hAnsi="Courier New" w:cs="Courier New"/>
      <w:vanish/>
      <w:color w:val="800080"/>
      <w:sz w:val="24"/>
      <w:szCs w:val="24"/>
      <w:vertAlign w:val="subscript"/>
    </w:rPr>
  </w:style>
  <w:style w:type="character" w:customStyle="1" w:styleId="114">
    <w:name w:val="正文文本 3 字符"/>
    <w:basedOn w:val="31"/>
    <w:link w:val="12"/>
    <w:qFormat/>
    <w:uiPriority w:val="0"/>
    <w:rPr>
      <w:rFonts w:ascii="Arial" w:hAnsi="Arial" w:cs="Arial"/>
      <w:snapToGrid w:val="0"/>
      <w:shd w:val="pct25" w:color="00FF00" w:fill="FFFFFF"/>
      <w:lang w:val="en-GB" w:eastAsia="de-DE"/>
    </w:rPr>
  </w:style>
  <w:style w:type="character" w:customStyle="1" w:styleId="115">
    <w:name w:val="tw4winError"/>
    <w:qFormat/>
    <w:uiPriority w:val="0"/>
    <w:rPr>
      <w:rFonts w:ascii="Courier New" w:hAnsi="Courier New" w:cs="Courier New"/>
      <w:color w:val="00FF00"/>
      <w:sz w:val="40"/>
      <w:szCs w:val="40"/>
    </w:rPr>
  </w:style>
  <w:style w:type="character" w:customStyle="1" w:styleId="116">
    <w:name w:val="tw4winTerm"/>
    <w:qFormat/>
    <w:uiPriority w:val="0"/>
    <w:rPr>
      <w:color w:val="0000FF"/>
    </w:rPr>
  </w:style>
  <w:style w:type="character" w:customStyle="1" w:styleId="117">
    <w:name w:val="tw4winPopup"/>
    <w:qFormat/>
    <w:uiPriority w:val="0"/>
    <w:rPr>
      <w:rFonts w:ascii="Courier New" w:hAnsi="Courier New" w:cs="Courier New"/>
      <w:color w:val="008000"/>
    </w:rPr>
  </w:style>
  <w:style w:type="character" w:customStyle="1" w:styleId="118">
    <w:name w:val="tw4winJump"/>
    <w:qFormat/>
    <w:uiPriority w:val="0"/>
    <w:rPr>
      <w:rFonts w:ascii="Courier New" w:hAnsi="Courier New" w:cs="Courier New"/>
      <w:color w:val="008080"/>
    </w:rPr>
  </w:style>
  <w:style w:type="character" w:customStyle="1" w:styleId="119">
    <w:name w:val="tw4winExternal"/>
    <w:qFormat/>
    <w:uiPriority w:val="0"/>
    <w:rPr>
      <w:rFonts w:ascii="Courier New" w:hAnsi="Courier New" w:cs="Courier New"/>
      <w:color w:val="808080"/>
    </w:rPr>
  </w:style>
  <w:style w:type="character" w:customStyle="1" w:styleId="120">
    <w:name w:val="tw4winInternal"/>
    <w:qFormat/>
    <w:uiPriority w:val="0"/>
    <w:rPr>
      <w:rFonts w:ascii="Courier New" w:hAnsi="Courier New" w:cs="Courier New"/>
      <w:color w:val="FF0000"/>
    </w:rPr>
  </w:style>
  <w:style w:type="character" w:customStyle="1" w:styleId="121">
    <w:name w:val="DO_NOT_TRANSLATE"/>
    <w:qFormat/>
    <w:uiPriority w:val="0"/>
    <w:rPr>
      <w:rFonts w:ascii="Courier New" w:hAnsi="Courier New" w:cs="Courier New"/>
      <w:color w:val="800000"/>
    </w:rPr>
  </w:style>
  <w:style w:type="paragraph" w:customStyle="1" w:styleId="122">
    <w:name w:val="Style TM_CN"/>
    <w:basedOn w:val="88"/>
    <w:qFormat/>
    <w:uiPriority w:val="0"/>
    <w:rPr>
      <w:rFonts w:cs="Times New Roman"/>
      <w:snapToGrid/>
      <w:sz w:val="18"/>
      <w:szCs w:val="20"/>
    </w:rPr>
  </w:style>
  <w:style w:type="paragraph" w:customStyle="1" w:styleId="123">
    <w:name w:val="List Bar 11pt Feeder"/>
    <w:basedOn w:val="1"/>
    <w:qFormat/>
    <w:uiPriority w:val="0"/>
    <w:pPr>
      <w:widowControl/>
      <w:numPr>
        <w:ilvl w:val="0"/>
        <w:numId w:val="5"/>
      </w:numPr>
      <w:tabs>
        <w:tab w:val="clear" w:pos="927"/>
      </w:tabs>
      <w:spacing w:before="60"/>
      <w:ind w:left="568" w:right="567"/>
    </w:pPr>
    <w:rPr>
      <w:rFonts w:ascii="Arial" w:hAnsi="Arial"/>
      <w:kern w:val="0"/>
      <w:sz w:val="22"/>
      <w:szCs w:val="20"/>
      <w:lang w:val="de-DE" w:eastAsia="de-DE"/>
    </w:rPr>
  </w:style>
  <w:style w:type="character" w:customStyle="1" w:styleId="124">
    <w:name w:val="纯文本 字符"/>
    <w:basedOn w:val="31"/>
    <w:link w:val="17"/>
    <w:qFormat/>
    <w:uiPriority w:val="0"/>
    <w:rPr>
      <w:rFonts w:ascii="宋体" w:hAnsi="Courier New"/>
      <w:kern w:val="2"/>
      <w:sz w:val="21"/>
    </w:rPr>
  </w:style>
  <w:style w:type="paragraph" w:customStyle="1" w:styleId="125">
    <w:name w:val="Body 11pt AS0"/>
    <w:basedOn w:val="1"/>
    <w:qFormat/>
    <w:uiPriority w:val="0"/>
    <w:pPr>
      <w:widowControl/>
      <w:spacing w:before="60"/>
    </w:pPr>
    <w:rPr>
      <w:rFonts w:ascii="Arial" w:hAnsi="Arial"/>
      <w:kern w:val="0"/>
      <w:sz w:val="22"/>
      <w:szCs w:val="20"/>
      <w:lang w:val="de-DE" w:eastAsia="de-DE"/>
    </w:rPr>
  </w:style>
  <w:style w:type="paragraph" w:customStyle="1" w:styleId="126">
    <w:name w:val="Header 11pt Table PS0"/>
    <w:basedOn w:val="1"/>
    <w:qFormat/>
    <w:uiPriority w:val="0"/>
    <w:pPr>
      <w:widowControl/>
      <w:spacing w:before="60" w:after="60"/>
      <w:jc w:val="left"/>
    </w:pPr>
    <w:rPr>
      <w:rFonts w:ascii="Arial" w:hAnsi="Arial"/>
      <w:b/>
      <w:kern w:val="0"/>
      <w:sz w:val="22"/>
      <w:szCs w:val="20"/>
      <w:lang w:val="de-DE" w:eastAsia="de-DE"/>
    </w:rPr>
  </w:style>
  <w:style w:type="paragraph" w:customStyle="1" w:styleId="127">
    <w:name w:val="List Bar 8pt Feeder"/>
    <w:basedOn w:val="1"/>
    <w:qFormat/>
    <w:uiPriority w:val="0"/>
    <w:pPr>
      <w:widowControl/>
      <w:numPr>
        <w:ilvl w:val="0"/>
        <w:numId w:val="6"/>
      </w:numPr>
      <w:tabs>
        <w:tab w:val="left" w:pos="284"/>
        <w:tab w:val="left" w:pos="567"/>
        <w:tab w:val="clear" w:pos="644"/>
      </w:tabs>
      <w:spacing w:before="40"/>
      <w:ind w:left="568" w:right="284" w:hanging="284"/>
      <w:jc w:val="left"/>
    </w:pPr>
    <w:rPr>
      <w:rFonts w:ascii="Arial" w:hAnsi="Arial"/>
      <w:kern w:val="0"/>
      <w:sz w:val="16"/>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15166F-9511-4D02-9B52-082C2CDF369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4338</Words>
  <Characters>24732</Characters>
  <Lines>206</Lines>
  <Paragraphs>58</Paragraphs>
  <TotalTime>1</TotalTime>
  <ScaleCrop>false</ScaleCrop>
  <LinksUpToDate>false</LinksUpToDate>
  <CharactersWithSpaces>29012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2020-10-19T06:50:00Z</dcterms:created>
  <dc:creator>微软用户</dc:creator>
  <cp:lastModifiedBy>和为贵</cp:lastModifiedBy>
  <cp:lastPrinted>2019-05-13T03:19:00Z</cp:lastPrinted>
  <dcterms:modified xsi:type="dcterms:W3CDTF">2020-11-12T15:01:31Z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