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40" w:lineRule="auto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附录A：</w:t>
      </w:r>
    </w:p>
    <w:p>
      <w:pPr>
        <w:pStyle w:val="4"/>
        <w:spacing w:line="240" w:lineRule="auto"/>
        <w:jc w:val="center"/>
        <w:rPr>
          <w:rFonts w:ascii="宋体" w:hAnsi="宋体" w:cs="宋体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/>
          <w:b/>
          <w:sz w:val="36"/>
          <w:szCs w:val="36"/>
          <w:lang w:val="en-US" w:eastAsia="zh-CN"/>
        </w:rPr>
        <w:t>可燃气体检测仪示值误差</w:t>
      </w:r>
      <w:r>
        <w:rPr>
          <w:rFonts w:hint="eastAsia"/>
          <w:b/>
          <w:sz w:val="36"/>
          <w:szCs w:val="36"/>
        </w:rPr>
        <w:t>不确定度评定报告</w:t>
      </w:r>
    </w:p>
    <w:p>
      <w:pPr>
        <w:pStyle w:val="2"/>
        <w:shd w:val="clear" w:color="auto" w:fill="FFFFFF"/>
        <w:spacing w:before="0" w:after="0" w:line="360" w:lineRule="auto"/>
        <w:rPr>
          <w:rFonts w:ascii="宋体" w:hAnsi="宋体"/>
          <w:b w:val="0"/>
          <w:bCs w:val="0"/>
          <w:color w:val="000000"/>
          <w:sz w:val="21"/>
          <w:szCs w:val="21"/>
        </w:rPr>
      </w:pPr>
      <w:r>
        <w:rPr>
          <w:sz w:val="24"/>
        </w:rPr>
        <w:t>1、测量过程</w:t>
      </w:r>
      <w:r>
        <w:rPr>
          <w:sz w:val="24"/>
        </w:rPr>
        <w:br w:type="textWrapping"/>
      </w:r>
      <w:r>
        <w:rPr>
          <w:sz w:val="24"/>
        </w:rPr>
        <w:t>1.1、测量方法：</w:t>
      </w:r>
    </w:p>
    <w:p>
      <w:pPr>
        <w:spacing w:line="360" w:lineRule="auto"/>
        <w:rPr>
          <w:bCs/>
          <w:sz w:val="24"/>
        </w:rPr>
      </w:pPr>
      <w:r>
        <w:rPr>
          <w:rFonts w:hint="eastAsia"/>
          <w:sz w:val="24"/>
          <w:lang w:val="en-US" w:eastAsia="zh-CN"/>
        </w:rPr>
        <w:t>JJG693-2011《可燃气体检测报警器》、</w:t>
      </w:r>
      <w:r>
        <w:rPr>
          <w:sz w:val="24"/>
        </w:rPr>
        <w:t>仪器使用说明书和相关操作规范</w:t>
      </w:r>
      <w:r>
        <w:rPr>
          <w:bCs/>
          <w:sz w:val="24"/>
        </w:rPr>
        <w:t>进行测量。</w:t>
      </w:r>
    </w:p>
    <w:p>
      <w:pPr>
        <w:spacing w:line="360" w:lineRule="auto"/>
        <w:rPr>
          <w:rFonts w:hint="default" w:eastAsia="宋体"/>
          <w:sz w:val="24"/>
          <w:lang w:val="en-US" w:eastAsia="zh-CN"/>
        </w:rPr>
      </w:pPr>
      <w:r>
        <w:rPr>
          <w:sz w:val="24"/>
        </w:rPr>
        <w:t>1.2、环境条件：</w:t>
      </w:r>
      <w:r>
        <w:rPr>
          <w:rFonts w:hint="eastAsia"/>
          <w:sz w:val="24"/>
          <w:lang w:val="en-US" w:eastAsia="zh-CN"/>
        </w:rPr>
        <w:t>环境温度0~40℃，相对湿度≤85%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1.3、检测设备：</w:t>
      </w:r>
      <w:r>
        <w:rPr>
          <w:rFonts w:hint="eastAsia"/>
          <w:color w:val="000000"/>
          <w:sz w:val="24"/>
          <w:lang w:val="en-US" w:eastAsia="zh-CN"/>
        </w:rPr>
        <w:t>气体检测仪</w:t>
      </w:r>
      <w:r>
        <w:rPr>
          <w:rFonts w:hint="eastAsia"/>
          <w:sz w:val="24"/>
        </w:rPr>
        <w:t>，测量范围</w:t>
      </w:r>
      <w:r>
        <w:rPr>
          <w:rFonts w:hint="eastAsia"/>
          <w:sz w:val="24"/>
          <w:lang w:val="en-US" w:eastAsia="zh-CN"/>
        </w:rPr>
        <w:t>56%LEL，</w:t>
      </w:r>
      <w:r>
        <w:rPr>
          <w:rFonts w:hint="eastAsia"/>
          <w:sz w:val="24"/>
        </w:rPr>
        <w:t>最大允许误差：</w:t>
      </w:r>
      <w:r>
        <w:rPr>
          <w:rFonts w:hint="eastAsia" w:ascii="宋体" w:hAnsi="宋体"/>
          <w:sz w:val="24"/>
        </w:rPr>
        <w:t>±</w:t>
      </w:r>
      <w:r>
        <w:rPr>
          <w:rFonts w:hint="eastAsia"/>
          <w:sz w:val="24"/>
        </w:rPr>
        <w:t>5%</w:t>
      </w:r>
      <w:r>
        <w:rPr>
          <w:rFonts w:hint="eastAsia"/>
          <w:sz w:val="24"/>
          <w:lang w:val="en-US" w:eastAsia="zh-CN"/>
        </w:rPr>
        <w:t>FS</w:t>
      </w:r>
      <w:r>
        <w:rPr>
          <w:rFonts w:hint="eastAsia"/>
          <w:sz w:val="24"/>
        </w:rPr>
        <w:t>。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1.4、被测对象：</w:t>
      </w:r>
      <w:r>
        <w:rPr>
          <w:rFonts w:hint="eastAsia"/>
          <w:color w:val="000000"/>
          <w:sz w:val="24"/>
          <w:lang w:val="en-US" w:eastAsia="zh-CN"/>
        </w:rPr>
        <w:t>气体检测仪示值</w:t>
      </w:r>
      <w:r>
        <w:rPr>
          <w:color w:val="000000"/>
          <w:kern w:val="0"/>
          <w:sz w:val="24"/>
        </w:rPr>
        <w:t>。</w:t>
      </w:r>
    </w:p>
    <w:p>
      <w:pPr>
        <w:spacing w:line="360" w:lineRule="auto"/>
        <w:rPr>
          <w:sz w:val="24"/>
        </w:rPr>
      </w:pPr>
      <w:r>
        <w:rPr>
          <w:color w:val="000000"/>
          <w:sz w:val="24"/>
        </w:rPr>
        <w:t>1.5、测量过程：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使</w:t>
      </w:r>
      <w:r>
        <w:rPr>
          <w:rFonts w:hint="eastAsia"/>
          <w:sz w:val="24"/>
        </w:rPr>
        <w:t>用</w:t>
      </w:r>
      <w:r>
        <w:rPr>
          <w:rFonts w:hint="eastAsia"/>
          <w:sz w:val="24"/>
          <w:lang w:val="en-US" w:eastAsia="zh-CN"/>
        </w:rPr>
        <w:t>约</w:t>
      </w:r>
      <w:r>
        <w:rPr>
          <w:rFonts w:hint="eastAsia" w:ascii="宋体" w:hAnsi="宋体"/>
          <w:sz w:val="24"/>
          <w:lang w:val="en-US" w:eastAsia="zh-CN"/>
        </w:rPr>
        <w:t>56%浓度</w:t>
      </w:r>
      <w:r>
        <w:rPr>
          <w:rFonts w:hint="eastAsia"/>
          <w:sz w:val="24"/>
          <w:lang w:val="en-US" w:eastAsia="zh-CN"/>
        </w:rPr>
        <w:t>甲烷</w:t>
      </w:r>
      <w:r>
        <w:rPr>
          <w:rFonts w:hint="eastAsia" w:ascii="宋体" w:hAnsi="宋体"/>
          <w:sz w:val="24"/>
          <w:lang w:val="en-US" w:eastAsia="zh-CN"/>
        </w:rPr>
        <w:t>标准气体，对气体检测仪进行进行测量，读取仪器示值</w:t>
      </w:r>
      <w:r>
        <w:rPr>
          <w:rFonts w:hint="eastAsia"/>
          <w:sz w:val="24"/>
        </w:rPr>
        <w:t>。</w:t>
      </w:r>
    </w:p>
    <w:p>
      <w:pPr>
        <w:autoSpaceDE w:val="0"/>
        <w:autoSpaceDN w:val="0"/>
        <w:spacing w:line="360" w:lineRule="auto"/>
        <w:rPr>
          <w:sz w:val="24"/>
        </w:rPr>
      </w:pPr>
      <w:r>
        <w:rPr>
          <w:sz w:val="24"/>
        </w:rPr>
        <w:t xml:space="preserve">2、数学模型：   </w:t>
      </w:r>
      <w:r>
        <w:rPr>
          <w:position w:val="-4"/>
          <w:sz w:val="24"/>
        </w:rPr>
        <w:object>
          <v:shape id="_x0000_i1025" o:spt="75" type="#_x0000_t75" style="height:13pt;width:60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sz w:val="24"/>
        </w:rPr>
        <w:t xml:space="preserve">                                 （1）</w:t>
      </w:r>
    </w:p>
    <w:p>
      <w:pPr>
        <w:spacing w:line="360" w:lineRule="auto"/>
        <w:ind w:firstLine="1200" w:firstLineChars="500"/>
        <w:rPr>
          <w:rFonts w:hint="eastAsia"/>
          <w:sz w:val="24"/>
          <w:lang w:val="en-US" w:eastAsia="zh-CN"/>
        </w:rPr>
      </w:pPr>
      <w:r>
        <w:rPr>
          <w:sz w:val="24"/>
        </w:rPr>
        <w:t>式中：</w:t>
      </w:r>
      <m:oMath>
        <m:r>
          <w:rPr>
            <w:rFonts w:ascii="Cambria Math"/>
            <w:position w:val="-4"/>
            <w:sz w:val="24"/>
          </w:rPr>
          <m:t>ΔL</m:t>
        </m:r>
      </m:oMath>
      <w:r>
        <w:rPr>
          <w:sz w:val="24"/>
        </w:rPr>
        <w:t xml:space="preserve"> ---</w:t>
      </w:r>
      <w:r>
        <w:rPr>
          <w:rFonts w:hint="eastAsia"/>
          <w:sz w:val="24"/>
        </w:rPr>
        <w:t>被检</w:t>
      </w:r>
      <w:r>
        <w:rPr>
          <w:rFonts w:hint="eastAsia"/>
          <w:sz w:val="24"/>
          <w:lang w:val="en-US" w:eastAsia="zh-CN"/>
        </w:rPr>
        <w:t>标气</w:t>
      </w:r>
      <w:r>
        <w:rPr>
          <w:rFonts w:hint="eastAsia"/>
          <w:sz w:val="24"/>
        </w:rPr>
        <w:t>的</w:t>
      </w:r>
      <w:r>
        <w:rPr>
          <w:rFonts w:hint="eastAsia"/>
          <w:sz w:val="24"/>
          <w:lang w:val="en-US" w:eastAsia="zh-CN"/>
        </w:rPr>
        <w:t>浓度</w:t>
      </w:r>
      <w:r>
        <w:rPr>
          <w:rFonts w:hint="eastAsia"/>
          <w:sz w:val="24"/>
        </w:rPr>
        <w:t>数值</w:t>
      </w:r>
      <w:r>
        <w:rPr>
          <w:rFonts w:hint="eastAsia"/>
          <w:sz w:val="24"/>
          <w:lang w:val="en-US" w:eastAsia="zh-CN"/>
        </w:rPr>
        <w:t>%</w:t>
      </w:r>
    </w:p>
    <w:p>
      <w:pPr>
        <w:numPr>
          <w:ilvl w:val="0"/>
          <w:numId w:val="1"/>
        </w:numPr>
        <w:spacing w:line="360" w:lineRule="auto"/>
        <w:ind w:left="120" w:firstLine="1920" w:firstLineChars="800"/>
        <w:rPr>
          <w:rFonts w:hint="eastAsia"/>
          <w:sz w:val="24"/>
          <w:lang w:val="en-US" w:eastAsia="zh-CN"/>
        </w:rPr>
      </w:pPr>
      <w:r>
        <w:rPr>
          <w:sz w:val="24"/>
        </w:rPr>
        <w:t>---</w:t>
      </w:r>
      <w:r>
        <w:rPr>
          <w:rFonts w:hint="eastAsia"/>
          <w:sz w:val="24"/>
          <w:lang w:val="en-US" w:eastAsia="zh-CN"/>
        </w:rPr>
        <w:t>气体检测仪的</w:t>
      </w:r>
      <w:r>
        <w:rPr>
          <w:rFonts w:hint="eastAsia"/>
          <w:sz w:val="24"/>
        </w:rPr>
        <w:t>显示数值</w:t>
      </w:r>
      <w:r>
        <w:rPr>
          <w:rFonts w:hint="eastAsia"/>
          <w:sz w:val="24"/>
          <w:lang w:val="en-US" w:eastAsia="zh-CN"/>
        </w:rPr>
        <w:t>%</w:t>
      </w:r>
    </w:p>
    <w:p>
      <w:pPr>
        <w:numPr>
          <w:ilvl w:val="0"/>
          <w:numId w:val="0"/>
        </w:numPr>
        <w:spacing w:line="360" w:lineRule="auto"/>
        <w:ind w:leftChars="800" w:firstLine="240" w:firstLineChars="100"/>
        <w:rPr>
          <w:rFonts w:hint="default"/>
          <w:sz w:val="24"/>
          <w:lang w:val="en-US" w:eastAsia="zh-CN"/>
        </w:rPr>
      </w:pPr>
      <w:r>
        <w:rPr>
          <w:rFonts w:hint="default"/>
          <w:position w:val="-4"/>
          <w:sz w:val="24"/>
          <w:lang w:val="en-US" w:eastAsia="zh-CN"/>
        </w:rPr>
        <w:object>
          <v:shape id="_x0000_i1026" o:spt="75" type="#_x0000_t75" style="height:13pt;width:19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eastAsia"/>
          <w:sz w:val="24"/>
          <w:lang w:val="en-US" w:eastAsia="zh-CN"/>
        </w:rPr>
        <w:t>---标准值%</w:t>
      </w:r>
    </w:p>
    <w:p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b/>
          <w:sz w:val="24"/>
        </w:rPr>
        <w:t>输入量的标准不确定度评定</w:t>
      </w:r>
    </w:p>
    <w:p>
      <w:pPr>
        <w:spacing w:line="360" w:lineRule="auto"/>
        <w:ind w:firstLine="480" w:firstLineChars="200"/>
        <w:rPr>
          <w:bCs/>
          <w:sz w:val="24"/>
        </w:rPr>
      </w:pPr>
      <w:r>
        <w:rPr>
          <w:sz w:val="24"/>
        </w:rPr>
        <w:t>输入量的不确定度来源主要是：测量重复性引起的不确定度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/>
                <w:sz w:val="24"/>
              </w:rPr>
              <m:t>u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b>
            <m:r>
              <w:rPr>
                <w:rFonts w:ascii="Cambria Math"/>
                <w:sz w:val="24"/>
              </w:rPr>
              <m:t>1</m:t>
            </m:r>
            <m:ctrlPr>
              <w:rPr>
                <w:rFonts w:ascii="Cambria Math" w:hAnsi="Cambria Math"/>
                <w:i/>
                <w:sz w:val="24"/>
              </w:rPr>
            </m:ctrlPr>
          </m:sub>
        </m:sSub>
      </m:oMath>
      <w:r>
        <w:rPr>
          <w:b/>
          <w:bCs/>
          <w:sz w:val="24"/>
        </w:rPr>
        <w:t>；</w:t>
      </w:r>
      <w:r>
        <w:rPr>
          <w:bCs/>
          <w:sz w:val="24"/>
        </w:rPr>
        <w:t>测量设备</w:t>
      </w:r>
      <w:r>
        <w:rPr>
          <w:sz w:val="24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sSubPr>
          <m:e>
            <m:r>
              <w:rPr>
                <w:rFonts w:ascii="Cambria Math"/>
                <w:color w:val="000000"/>
                <w:sz w:val="24"/>
              </w:rPr>
              <m:t>u</m:t>
            </m: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e>
          <m:sub>
            <m:r>
              <w:rPr>
                <w:rFonts w:ascii="Cambria Math"/>
                <w:color w:val="000000"/>
                <w:sz w:val="24"/>
              </w:rPr>
              <m:t>2</m:t>
            </m: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sub>
        </m:sSub>
      </m:oMath>
      <w:r>
        <w:rPr>
          <w:bCs/>
          <w:sz w:val="24"/>
        </w:rPr>
        <w:t>。</w:t>
      </w:r>
    </w:p>
    <w:p>
      <w:pPr>
        <w:spacing w:line="360" w:lineRule="auto"/>
        <w:rPr>
          <w:sz w:val="24"/>
        </w:rPr>
      </w:pPr>
      <w:r>
        <w:rPr>
          <w:sz w:val="24"/>
        </w:rPr>
        <w:t>3.1 3.1测量重复性引起的标准不确定度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/>
                <w:sz w:val="24"/>
              </w:rPr>
              <m:t>u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b>
            <m:r>
              <w:rPr>
                <w:rFonts w:ascii="Cambria Math"/>
                <w:sz w:val="24"/>
              </w:rPr>
              <m:t>1</m:t>
            </m:r>
            <m:ctrlPr>
              <w:rPr>
                <w:rFonts w:ascii="Cambria Math" w:hAnsi="Cambria Math"/>
                <w:i/>
                <w:sz w:val="24"/>
              </w:rPr>
            </m:ctrlPr>
          </m:sub>
        </m:sSub>
      </m:oMath>
      <w:r>
        <w:rPr>
          <w:sz w:val="24"/>
        </w:rPr>
        <w:t>的评定</w:t>
      </w:r>
    </w:p>
    <w:p>
      <w:pPr>
        <w:spacing w:line="360" w:lineRule="auto"/>
        <w:ind w:right="-29" w:rightChars="-14" w:firstLine="540" w:firstLineChars="225"/>
        <w:rPr>
          <w:sz w:val="24"/>
        </w:rPr>
      </w:pPr>
      <w:r>
        <w:rPr>
          <w:sz w:val="24"/>
        </w:rPr>
        <w:t>输入量L</w:t>
      </w:r>
      <w:r>
        <w:rPr>
          <w:sz w:val="24"/>
          <w:vertAlign w:val="subscript"/>
        </w:rPr>
        <w:t>a</w:t>
      </w:r>
      <w:r>
        <w:rPr>
          <w:sz w:val="24"/>
        </w:rPr>
        <w:t>的不确定度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/>
                <w:sz w:val="24"/>
              </w:rPr>
              <m:t>u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b>
            <m:r>
              <w:rPr>
                <w:rFonts w:ascii="Cambria Math"/>
                <w:sz w:val="24"/>
              </w:rPr>
              <m:t>1</m:t>
            </m:r>
            <m:ctrlPr>
              <w:rPr>
                <w:rFonts w:ascii="Cambria Math" w:hAnsi="Cambria Math"/>
                <w:i/>
                <w:sz w:val="24"/>
              </w:rPr>
            </m:ctrlPr>
          </m:sub>
        </m:sSub>
      </m:oMath>
      <w:r>
        <w:rPr>
          <w:sz w:val="24"/>
        </w:rPr>
        <w:t>的来源主要是测量重复性引起的标准不确定度，可通过连续测量10次，采用A类方法进行评定。在</w:t>
      </w:r>
      <w:r>
        <w:rPr>
          <w:rFonts w:hint="eastAsia"/>
          <w:sz w:val="24"/>
        </w:rPr>
        <w:t>测定仪</w:t>
      </w:r>
      <w:r>
        <w:rPr>
          <w:sz w:val="24"/>
        </w:rPr>
        <w:t>的正常工作状态下，同一组人，用同一</w:t>
      </w:r>
      <w:r>
        <w:rPr>
          <w:rFonts w:hint="eastAsia"/>
          <w:sz w:val="24"/>
          <w:lang w:val="en-US" w:eastAsia="zh-CN"/>
        </w:rPr>
        <w:t>种标准物质</w:t>
      </w:r>
      <w:r>
        <w:rPr>
          <w:sz w:val="24"/>
        </w:rPr>
        <w:t>，在相临近的时间内，对样品连续测量10次，得到10个试验数据汇于表1</w:t>
      </w:r>
      <w:r>
        <w:rPr>
          <w:rFonts w:hint="eastAsia"/>
          <w:sz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sz w:val="24"/>
        </w:rPr>
      </w:pPr>
      <w:r>
        <w:rPr>
          <w:kern w:val="0"/>
          <w:sz w:val="24"/>
        </w:rPr>
        <w:t>表1 样品测定10 次的数据</w:t>
      </w:r>
      <w:r>
        <w:rPr>
          <w:sz w:val="24"/>
        </w:rPr>
        <w:t xml:space="preserve">                                     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361"/>
        <w:gridCol w:w="1508"/>
        <w:gridCol w:w="1428"/>
        <w:gridCol w:w="1437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示值L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%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  <w:lang w:val="en-US" w:eastAsia="zh-CN"/>
              </w:rPr>
              <w:t>54.2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  <w:lang w:val="en-US" w:eastAsia="zh-CN"/>
              </w:rPr>
              <w:t>55.6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  <w:lang w:val="en-US" w:eastAsia="zh-CN"/>
              </w:rPr>
              <w:t>57.1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  <w:lang w:val="en-US" w:eastAsia="zh-CN"/>
              </w:rPr>
              <w:t>58.2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  <w:lang w:val="en-US" w:eastAsia="zh-CN"/>
              </w:rPr>
              <w:t>53.4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示值L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%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  <w:lang w:val="en-US" w:eastAsia="zh-CN"/>
              </w:rPr>
              <w:t>55.2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  <w:lang w:val="en-US" w:eastAsia="zh-CN"/>
              </w:rPr>
              <w:t>57.8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  <w:lang w:val="en-US" w:eastAsia="zh-CN"/>
              </w:rPr>
              <w:t>59.3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  <w:lang w:val="en-US" w:eastAsia="zh-CN"/>
              </w:rPr>
              <w:t>53.2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  <w:lang w:val="en-US" w:eastAsia="zh-CN"/>
              </w:rPr>
              <w:t>54.0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kern w:val="0"/>
          <w:sz w:val="24"/>
        </w:rPr>
      </w:pPr>
    </w:p>
    <w:p>
      <w:pPr>
        <w:spacing w:line="360" w:lineRule="auto"/>
        <w:ind w:firstLine="720" w:firstLineChars="300"/>
        <w:rPr>
          <w:sz w:val="24"/>
        </w:rPr>
      </w:pPr>
    </w:p>
    <w:p>
      <w:pPr>
        <w:spacing w:line="360" w:lineRule="auto"/>
        <w:ind w:firstLine="720" w:firstLineChars="300"/>
        <w:rPr>
          <w:sz w:val="24"/>
        </w:rPr>
      </w:pPr>
      <w:r>
        <w:rPr>
          <w:sz w:val="24"/>
        </w:rPr>
        <w:t>测</w:t>
      </w:r>
      <w:r>
        <w:rPr>
          <w:rFonts w:hint="eastAsia"/>
          <w:sz w:val="24"/>
        </w:rPr>
        <w:t>的</w:t>
      </w:r>
      <w:r>
        <w:rPr>
          <w:sz w:val="24"/>
        </w:rPr>
        <w:t>值的</w:t>
      </w:r>
      <w:r>
        <w:rPr>
          <w:rFonts w:hint="eastAsia"/>
          <w:sz w:val="24"/>
        </w:rPr>
        <w:t>算术</w:t>
      </w:r>
      <w:r>
        <w:rPr>
          <w:sz w:val="24"/>
        </w:rPr>
        <w:t>平均值：</w:t>
      </w:r>
    </w:p>
    <w:p>
      <w:pPr>
        <w:spacing w:line="360" w:lineRule="auto"/>
        <w:ind w:left="780" w:firstLine="1920" w:firstLineChars="800"/>
        <w:rPr>
          <w:rFonts w:hint="default"/>
          <w:sz w:val="24"/>
          <w:lang w:val="en-US"/>
        </w:rPr>
      </w:pPr>
      <m:oMath>
        <m:bar>
          <m:barPr>
            <m:pos m:val="top"/>
            <m:ctrlPr>
              <w:rPr>
                <w:rFonts w:ascii="Cambria Math" w:hAnsi="Cambria Math"/>
                <w:i/>
                <w:sz w:val="24"/>
              </w:rPr>
            </m:ctrlPr>
          </m:barPr>
          <m:e>
            <m:r>
              <w:rPr>
                <w:rFonts w:ascii="Cambria Math" w:hAns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e>
        </m:bar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Cambria Math"/>
                    <w:i/>
                    <w:sz w:val="24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</w:rPr>
                  <m:t>k=1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b>
              <m:sup>
                <m:r>
                  <w:rPr>
                    <w:rFonts w:ascii="Cambria Math" w:hAnsi="Cambria Math"/>
                    <w:sz w:val="24"/>
                  </w:rPr>
                  <m:t>n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k</m:t>
                    </m: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</m:nary>
            <m:ctrlPr>
              <w:rPr>
                <w:rFonts w:ascii="Cambria Math" w:hAnsi="Cambria Math"/>
                <w:i/>
                <w:sz w:val="24"/>
              </w:rPr>
            </m:ctrlPr>
          </m:num>
          <m:den>
            <m:r>
              <w:rPr>
                <w:rFonts w:ascii="Cambria Math" w:hAnsi="Cambria Math"/>
                <w:sz w:val="24"/>
              </w:rPr>
              <m:t>n</m:t>
            </m:r>
            <m:ctrlPr>
              <w:rPr>
                <w:rFonts w:ascii="Cambria Math" w:hAnsi="Cambria Math"/>
                <w:i/>
                <w:sz w:val="24"/>
              </w:rPr>
            </m:ctrlPr>
          </m:den>
        </m:f>
      </m:oMath>
      <w:r>
        <w:rPr>
          <w:sz w:val="24"/>
        </w:rPr>
        <w:t>＝</w:t>
      </w:r>
      <w:r>
        <w:rPr>
          <w:rFonts w:hint="eastAsia"/>
          <w:sz w:val="24"/>
          <w:lang w:val="en-US" w:eastAsia="zh-CN"/>
        </w:rPr>
        <w:t>55.8</w:t>
      </w:r>
      <w:r>
        <w:rPr>
          <w:rFonts w:hint="eastAsia" w:ascii="宋体" w:hAnsi="宋体"/>
          <w:kern w:val="0"/>
          <w:sz w:val="24"/>
          <w:szCs w:val="20"/>
          <w:lang w:val="en-US" w:eastAsia="zh-CN"/>
        </w:rPr>
        <w:t>%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单个测量值的</w:t>
      </w:r>
      <w:r>
        <w:rPr>
          <w:rFonts w:ascii="宋体" w:hAnsi="宋体"/>
          <w:kern w:val="0"/>
          <w:sz w:val="24"/>
        </w:rPr>
        <w:t>实验标准差</w:t>
      </w:r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2160" w:firstLineChars="900"/>
        <w:rPr>
          <w:rFonts w:hint="default"/>
          <w:sz w:val="24"/>
          <w:lang w:val="en-US"/>
        </w:rPr>
      </w:pPr>
      <w:r>
        <w:rPr>
          <w:kern w:val="0"/>
          <w:sz w:val="24"/>
        </w:rPr>
        <w:t xml:space="preserve"> </w:t>
      </w:r>
      <m:oMath>
        <m:r>
          <w:rPr>
            <w:rFonts w:ascii="Cambria Math" w:hAnsi="Cambria Math"/>
            <w:kern w:val="0"/>
            <w:sz w:val="24"/>
          </w:rPr>
          <m:t>s=</m:t>
        </m:r>
        <m:rad>
          <m:radPr>
            <m:degHide m:val="1"/>
            <m:ctrlPr>
              <w:rPr>
                <w:rFonts w:ascii="Cambria Math" w:hAnsi="Cambria Math"/>
                <w:i/>
                <w:kern w:val="0"/>
                <w:sz w:val="24"/>
              </w:rPr>
            </m:ctrlPr>
          </m:radPr>
          <m:deg>
            <m:ctrlPr>
              <w:rPr>
                <w:rFonts w:ascii="Cambria Math" w:hAnsi="Cambria Math"/>
                <w:i/>
                <w:kern w:val="0"/>
                <w:sz w:val="24"/>
              </w:rPr>
            </m:ctrlPr>
          </m:deg>
          <m:e>
            <m:f>
              <m:fPr>
                <m:ctrlPr>
                  <w:rPr>
                    <w:rFonts w:ascii="Cambria Math" w:hAnsi="Cambria Math"/>
                    <w:i/>
                    <w:kern w:val="0"/>
                    <w:sz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kern w:val="0"/>
                        <w:sz w:val="24"/>
                      </w:rPr>
                    </m:ctrlPr>
                  </m:sSupPr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  <w:i/>
                            <w:kern w:val="0"/>
                            <w:sz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kern w:val="0"/>
                            <w:sz w:val="24"/>
                          </w:rPr>
                          <m:t>k=1</m:t>
                        </m:r>
                        <m:ctrlPr>
                          <w:rPr>
                            <w:rFonts w:ascii="Cambria Math" w:hAnsi="Cambria Math"/>
                            <w:i/>
                            <w:kern w:val="0"/>
                            <w:sz w:val="24"/>
                          </w:rPr>
                        </m:ctrlPr>
                      </m:sub>
                      <m:sup>
                        <m:r>
                          <w:rPr>
                            <w:rFonts w:ascii="Cambria Math" w:hAnsi="Cambria Math"/>
                            <w:kern w:val="0"/>
                            <w:sz w:val="24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  <w:kern w:val="0"/>
                            <w:sz w:val="24"/>
                          </w:rPr>
                        </m:ctrlPr>
                      </m:sup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kern w:val="0"/>
                                <w:sz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kern w:val="0"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kern w:val="0"/>
                                    <w:sz w:val="24"/>
                                  </w:rPr>
                                  <m:t>x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kern w:val="0"/>
                                    <w:sz w:val="24"/>
                                  </w:rPr>
                                </m:ctrlP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kern w:val="0"/>
                                    <w:sz w:val="24"/>
                                  </w:rPr>
                                  <m:t>k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kern w:val="0"/>
                                    <w:sz w:val="24"/>
                                  </w:rPr>
                                </m:ctrlPr>
                              </m:sub>
                            </m:sSub>
                            <m:r>
                              <w:rPr>
                                <w:rFonts w:ascii="Cambria Math" w:hAnsi="Cambria Math"/>
                                <w:kern w:val="0"/>
                                <w:sz w:val="24"/>
                              </w:rPr>
                              <m:t>-</m:t>
                            </m:r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hAnsi="Cambria Math"/>
                                    <w:i/>
                                    <w:kern w:val="0"/>
                                    <w:sz w:val="24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  <w:kern w:val="0"/>
                                    <w:sz w:val="24"/>
                                  </w:rPr>
                                  <m:t>x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kern w:val="0"/>
                                    <w:sz w:val="24"/>
                                  </w:rPr>
                                </m:ctrlPr>
                              </m:e>
                            </m:bar>
                            <m:ctrlPr>
                              <w:rPr>
                                <w:rFonts w:ascii="Cambria Math" w:hAnsi="Cambria Math"/>
                                <w:i/>
                                <w:kern w:val="0"/>
                                <w:sz w:val="24"/>
                              </w:rPr>
                            </m:ctrlP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  <w:kern w:val="0"/>
                            <w:sz w:val="24"/>
                          </w:rPr>
                        </m:ctrlPr>
                      </m:e>
                    </m:nary>
                    <m:ctrlPr>
                      <w:rPr>
                        <w:rFonts w:ascii="Cambria Math" w:hAnsi="Cambria Math"/>
                        <w:i/>
                        <w:kern w:val="0"/>
                        <w:sz w:val="24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kern w:val="0"/>
                        <w:sz w:val="24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kern w:val="0"/>
                        <w:sz w:val="24"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  <w:kern w:val="0"/>
                    <w:sz w:val="24"/>
                  </w:rPr>
                </m:ctrlPr>
              </m:num>
              <m:den>
                <m:r>
                  <w:rPr>
                    <w:rFonts w:ascii="Cambria Math" w:hAnsi="Cambria Math"/>
                    <w:kern w:val="0"/>
                    <w:sz w:val="24"/>
                  </w:rPr>
                  <m:t>n-1</m:t>
                </m:r>
                <m:ctrlPr>
                  <w:rPr>
                    <w:rFonts w:ascii="Cambria Math" w:hAnsi="Cambria Math"/>
                    <w:i/>
                    <w:kern w:val="0"/>
                    <w:sz w:val="24"/>
                  </w:rPr>
                </m:ctrlPr>
              </m:den>
            </m:f>
            <m:ctrlPr>
              <w:rPr>
                <w:rFonts w:ascii="Cambria Math" w:hAnsi="Cambria Math"/>
                <w:i/>
                <w:kern w:val="0"/>
                <w:sz w:val="24"/>
              </w:rPr>
            </m:ctrlPr>
          </m:e>
        </m:rad>
      </m:oMath>
      <w:r>
        <w:rPr>
          <w:kern w:val="0"/>
          <w:sz w:val="24"/>
        </w:rPr>
        <w:t>＝</w:t>
      </w:r>
      <w:r>
        <w:rPr>
          <w:rFonts w:hint="eastAsia"/>
          <w:kern w:val="0"/>
          <w:sz w:val="24"/>
          <w:lang w:val="en-US" w:eastAsia="zh-CN"/>
        </w:rPr>
        <w:t>2.17</w:t>
      </w:r>
      <w:r>
        <w:rPr>
          <w:rFonts w:hint="eastAsia" w:ascii="宋体" w:hAnsi="宋体"/>
          <w:kern w:val="0"/>
          <w:sz w:val="24"/>
          <w:szCs w:val="20"/>
          <w:lang w:val="en-US" w:eastAsia="zh-CN"/>
        </w:rPr>
        <w:t>%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kern w:val="0"/>
          <w:sz w:val="24"/>
        </w:rPr>
      </w:pPr>
      <w:r>
        <w:rPr>
          <w:rFonts w:hint="eastAsia"/>
          <w:kern w:val="0"/>
          <w:sz w:val="24"/>
        </w:rPr>
        <w:t>被测量估计值（</w:t>
      </w:r>
      <m:oMath>
        <m:acc>
          <m:accPr>
            <m:chr m:val="̅"/>
            <m:ctrlPr>
              <w:rPr>
                <w:rFonts w:ascii="Cambria Math" w:hAnsi="Cambria Math"/>
                <w:kern w:val="0"/>
                <w:sz w:val="24"/>
              </w:rPr>
            </m:ctrlPr>
          </m:accPr>
          <m:e>
            <m:r>
              <w:rPr>
                <w:rFonts w:hint="eastAsia" w:ascii="Cambria Math" w:hAnsi="Cambria Math"/>
                <w:kern w:val="0"/>
                <w:sz w:val="24"/>
              </w:rPr>
              <m:t>x</m:t>
            </m:r>
            <m:ctrlPr>
              <w:rPr>
                <w:rFonts w:ascii="Cambria Math" w:hAnsi="Cambria Math"/>
                <w:kern w:val="0"/>
                <w:sz w:val="24"/>
              </w:rPr>
            </m:ctrlPr>
          </m:e>
        </m:acc>
      </m:oMath>
      <w:r>
        <w:rPr>
          <w:rFonts w:hint="eastAsia"/>
          <w:kern w:val="0"/>
          <w:sz w:val="24"/>
        </w:rPr>
        <w:t>）</w:t>
      </w:r>
      <w:r>
        <w:rPr>
          <w:kern w:val="0"/>
          <w:sz w:val="24"/>
        </w:rPr>
        <w:t>标准不确定度分量u</w:t>
      </w:r>
      <w:r>
        <w:rPr>
          <w:kern w:val="0"/>
          <w:sz w:val="24"/>
          <w:vertAlign w:val="subscript"/>
        </w:rPr>
        <w:t>1</w:t>
      </w:r>
      <w:r>
        <w:rPr>
          <w:rFonts w:hint="eastAsia"/>
          <w:kern w:val="0"/>
          <w:sz w:val="24"/>
        </w:rPr>
        <w:t>：</w:t>
      </w:r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1920" w:firstLineChars="800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m:oMath>
        <m:acc>
          <m:accPr>
            <m:chr m:val="̅"/>
            <m:ctrlPr>
              <w:rPr>
                <w:rFonts w:ascii="Cambria Math" w:hAnsi="Cambria Math"/>
                <w:kern w:val="0"/>
                <w:sz w:val="24"/>
              </w:rPr>
            </m:ctrlPr>
          </m:accPr>
          <m:e>
            <m:r>
              <w:rPr>
                <w:rFonts w:hint="eastAsia" w:ascii="Cambria Math" w:hAnsi="Cambria Math"/>
                <w:kern w:val="0"/>
                <w:sz w:val="24"/>
              </w:rPr>
              <m:t>x</m:t>
            </m:r>
            <m:ctrlPr>
              <w:rPr>
                <w:rFonts w:ascii="Cambria Math" w:hAnsi="Cambria Math"/>
                <w:kern w:val="0"/>
                <w:sz w:val="24"/>
              </w:rPr>
            </m:ctrlPr>
          </m:e>
        </m:acc>
      </m:oMath>
      <w:r>
        <w:rPr>
          <w:rFonts w:hint="eastAsia"/>
          <w:kern w:val="0"/>
          <w:sz w:val="24"/>
        </w:rPr>
        <w:t>为1组数据的平均值，取n=</w:t>
      </w:r>
      <w:r>
        <w:rPr>
          <w:kern w:val="0"/>
          <w:sz w:val="24"/>
        </w:rPr>
        <w:t>1</w:t>
      </w:r>
      <w:r>
        <w:rPr>
          <w:rFonts w:hint="eastAsia"/>
          <w:kern w:val="0"/>
          <w:sz w:val="24"/>
        </w:rPr>
        <w:t>）</w:t>
      </w:r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2160" w:firstLineChars="900"/>
        <w:rPr>
          <w:kern w:val="0"/>
          <w:sz w:val="24"/>
        </w:rPr>
      </w:pPr>
      <w:r>
        <w:rPr>
          <w:kern w:val="0"/>
          <w:sz w:val="24"/>
        </w:rPr>
        <w:t>u</w:t>
      </w:r>
      <w:r>
        <w:rPr>
          <w:kern w:val="0"/>
          <w:sz w:val="24"/>
          <w:vertAlign w:val="subscript"/>
        </w:rPr>
        <w:t>1</w:t>
      </w:r>
      <w:r>
        <w:rPr>
          <w:kern w:val="0"/>
          <w:sz w:val="24"/>
        </w:rPr>
        <w:t>=</w:t>
      </w:r>
      <m:oMath>
        <m:r>
          <m:rPr>
            <m:sty m:val="p"/>
          </m:rPr>
          <w:rPr>
            <w:rFonts w:ascii="Cambria Math" w:hAnsi="Cambria Math"/>
            <w:kern w:val="0"/>
            <w:sz w:val="24"/>
          </w:rPr>
          <m:t xml:space="preserve"> </m:t>
        </m:r>
        <m:f>
          <m:fPr>
            <m:ctrlPr>
              <w:rPr>
                <w:rFonts w:ascii="Cambria Math" w:hAnsi="Cambria Math"/>
                <w:kern w:val="0"/>
                <w:sz w:val="24"/>
              </w:rPr>
            </m:ctrlPr>
          </m:fPr>
          <m:num>
            <m:r>
              <w:rPr>
                <w:rFonts w:ascii="Cambria Math" w:hAnsi="Cambria Math"/>
                <w:kern w:val="0"/>
                <w:sz w:val="24"/>
              </w:rPr>
              <m:t>S</m:t>
            </m:r>
            <m:ctrlPr>
              <w:rPr>
                <w:rFonts w:ascii="Cambria Math" w:hAnsi="Cambria Math"/>
                <w:kern w:val="0"/>
                <w:sz w:val="24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kern w:val="0"/>
                    <w:sz w:val="24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kern w:val="0"/>
                    <w:sz w:val="24"/>
                  </w:rPr>
                </m:ctrlPr>
              </m:deg>
              <m:e>
                <m:r>
                  <w:rPr>
                    <w:rFonts w:hint="eastAsia" w:ascii="Cambria Math" w:hAnsi="Cambria Math"/>
                    <w:kern w:val="0"/>
                    <w:sz w:val="24"/>
                  </w:rPr>
                  <m:t>n</m:t>
                </m:r>
                <m:ctrlPr>
                  <w:rPr>
                    <w:rFonts w:ascii="Cambria Math" w:hAnsi="Cambria Math"/>
                    <w:i/>
                    <w:kern w:val="0"/>
                    <w:sz w:val="24"/>
                  </w:rPr>
                </m:ctrlPr>
              </m:e>
            </m:rad>
            <m:ctrlPr>
              <w:rPr>
                <w:rFonts w:ascii="Cambria Math" w:hAnsi="Cambria Math"/>
                <w:kern w:val="0"/>
                <w:sz w:val="24"/>
              </w:rPr>
            </m:ctrlPr>
          </m:den>
        </m:f>
        <m:r>
          <w:rPr>
            <w:rFonts w:hint="eastAsia" w:ascii="Cambria Math" w:hAnsi="Cambria Math"/>
            <w:kern w:val="0"/>
            <w:sz w:val="24"/>
          </w:rPr>
          <m:t>=</m:t>
        </m:r>
      </m:oMath>
      <w:r>
        <w:rPr>
          <w:rFonts w:hint="eastAsia" w:ascii="Cambria Math" w:hAnsi="Cambria Math"/>
          <w:i w:val="0"/>
          <w:kern w:val="0"/>
          <w:sz w:val="24"/>
          <w:lang w:val="en-US" w:eastAsia="zh-CN"/>
        </w:rPr>
        <w:t>2.17</w:t>
      </w:r>
      <w:r>
        <w:rPr>
          <w:rFonts w:hint="eastAsia"/>
          <w:sz w:val="24"/>
          <w:lang w:val="en-US" w:eastAsia="zh-CN"/>
        </w:rPr>
        <w:t>%</w:t>
      </w:r>
    </w:p>
    <w:p>
      <w:pPr>
        <w:spacing w:line="360" w:lineRule="auto"/>
        <w:rPr>
          <w:i/>
          <w:sz w:val="24"/>
        </w:rPr>
      </w:pPr>
      <w:r>
        <w:rPr>
          <w:sz w:val="24"/>
        </w:rPr>
        <w:t>3.2输入量L</w:t>
      </w:r>
      <w:r>
        <w:rPr>
          <w:sz w:val="24"/>
          <w:vertAlign w:val="subscript"/>
        </w:rPr>
        <w:t>b</w:t>
      </w:r>
      <w:r>
        <w:rPr>
          <w:sz w:val="24"/>
        </w:rPr>
        <w:t>标准不确定度的评定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235" w:firstLineChars="98"/>
        <w:rPr>
          <w:sz w:val="24"/>
        </w:rPr>
      </w:pPr>
      <w:r>
        <w:rPr>
          <w:rFonts w:hint="eastAsia"/>
          <w:sz w:val="24"/>
          <w:lang w:val="en-US" w:eastAsia="zh-CN"/>
        </w:rPr>
        <w:t>可燃气体检测仪</w:t>
      </w:r>
      <w:r>
        <w:rPr>
          <w:sz w:val="24"/>
        </w:rPr>
        <w:t>的标准不确定度，依据</w:t>
      </w:r>
      <w:r>
        <w:rPr>
          <w:rFonts w:hint="eastAsia"/>
          <w:sz w:val="24"/>
          <w:lang w:val="en-US" w:eastAsia="zh-CN"/>
        </w:rPr>
        <w:t>甲烷标准气体的标物</w:t>
      </w:r>
      <w:r>
        <w:rPr>
          <w:sz w:val="24"/>
        </w:rPr>
        <w:t>证书出具的</w:t>
      </w:r>
      <w:r>
        <w:rPr>
          <w:rFonts w:hint="eastAsia"/>
          <w:sz w:val="24"/>
        </w:rPr>
        <w:t>不确定度为</w:t>
      </w:r>
      <w:r>
        <w:rPr>
          <w:rFonts w:hint="eastAsia"/>
          <w:i/>
          <w:sz w:val="24"/>
        </w:rPr>
        <w:t>U</w:t>
      </w:r>
      <w:r>
        <w:rPr>
          <w:sz w:val="24"/>
        </w:rPr>
        <w:t>=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%</w:t>
      </w:r>
      <w:r>
        <w:rPr>
          <w:sz w:val="24"/>
        </w:rPr>
        <w:t>，</w:t>
      </w:r>
      <w:r>
        <w:rPr>
          <w:rFonts w:hint="eastAsia"/>
          <w:i/>
          <w:sz w:val="24"/>
        </w:rPr>
        <w:t>k</w:t>
      </w:r>
      <w:r>
        <w:rPr>
          <w:sz w:val="24"/>
        </w:rPr>
        <w:t>=2，其标准不确定度分量为：</w:t>
      </w:r>
    </w:p>
    <w:p>
      <w:pPr>
        <w:autoSpaceDE w:val="0"/>
        <w:autoSpaceDN w:val="0"/>
        <w:adjustRightInd w:val="0"/>
        <w:spacing w:line="360" w:lineRule="auto"/>
        <w:ind w:firstLine="2409" w:firstLineChars="1004"/>
        <w:jc w:val="left"/>
        <w:rPr>
          <w:rFonts w:eastAsia="等线"/>
          <w:kern w:val="0"/>
          <w:sz w:val="24"/>
        </w:rPr>
      </w:pPr>
      <m:oMath>
        <m:sSub>
          <m:sSubPr>
            <m:ctrlPr>
              <w:rPr>
                <w:rFonts w:ascii="Cambria Math" w:hAnsi="Cambria Math" w:eastAsia="等线"/>
                <w:i/>
                <w:kern w:val="0"/>
                <w:sz w:val="24"/>
              </w:rPr>
            </m:ctrlPr>
          </m:sSubPr>
          <m:e>
            <m:r>
              <w:rPr>
                <w:rFonts w:ascii="Cambria Math" w:eastAsia="等线"/>
                <w:kern w:val="0"/>
                <w:sz w:val="24"/>
              </w:rPr>
              <m:t>u</m:t>
            </m:r>
            <m:ctrlPr>
              <w:rPr>
                <w:rFonts w:ascii="Cambria Math" w:hAnsi="Cambria Math" w:eastAsia="等线"/>
                <w:i/>
                <w:kern w:val="0"/>
                <w:sz w:val="24"/>
              </w:rPr>
            </m:ctrlPr>
          </m:e>
          <m:sub>
            <m:r>
              <w:rPr>
                <w:rFonts w:ascii="Cambria Math" w:eastAsia="等线"/>
                <w:kern w:val="0"/>
                <w:sz w:val="24"/>
              </w:rPr>
              <m:t>2</m:t>
            </m:r>
            <m:ctrlPr>
              <w:rPr>
                <w:rFonts w:ascii="Cambria Math" w:hAnsi="Cambria Math" w:eastAsia="等线"/>
                <w:i/>
                <w:kern w:val="0"/>
                <w:sz w:val="24"/>
              </w:rPr>
            </m:ctrlPr>
          </m:sub>
        </m:sSub>
      </m:oMath>
      <w:r>
        <w:rPr>
          <w:rFonts w:eastAsia="等线"/>
          <w:kern w:val="0"/>
          <w:sz w:val="24"/>
        </w:rPr>
        <w:t>=</w:t>
      </w:r>
      <w:r>
        <w:rPr>
          <w:rFonts w:hint="eastAsia" w:eastAsia="等线"/>
          <w:kern w:val="0"/>
          <w:sz w:val="24"/>
          <w:lang w:val="en-US" w:eastAsia="zh-CN"/>
        </w:rPr>
        <w:t>2%/2=</w:t>
      </w:r>
      <w:r>
        <w:rPr>
          <w:rFonts w:hint="eastAsia"/>
          <w:sz w:val="24"/>
          <w:vertAlign w:val="baseline"/>
          <w:lang w:val="en-US" w:eastAsia="zh-CN"/>
        </w:rPr>
        <w:t>1%</w: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sz w:val="24"/>
        </w:rPr>
      </w:pPr>
      <w:r>
        <w:rPr>
          <w:sz w:val="24"/>
        </w:rPr>
        <w:t>4、标准不确定度一览表</w:t>
      </w:r>
    </w:p>
    <w:p>
      <w:pPr>
        <w:spacing w:line="360" w:lineRule="auto"/>
        <w:rPr>
          <w:sz w:val="24"/>
        </w:rPr>
      </w:pPr>
      <w:r>
        <w:rPr>
          <w:sz w:val="24"/>
        </w:rPr>
        <w:t>4.1标准不确定度汇总表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输入量的标准不确定度汇总于表2。</w:t>
      </w:r>
    </w:p>
    <w:p>
      <w:pPr>
        <w:spacing w:line="360" w:lineRule="auto"/>
        <w:jc w:val="center"/>
        <w:rPr>
          <w:sz w:val="24"/>
        </w:rPr>
      </w:pPr>
      <w:r>
        <w:rPr>
          <w:sz w:val="24"/>
        </w:rPr>
        <w:t>表2   标准不确定度汇总表</w:t>
      </w:r>
    </w:p>
    <w:tbl>
      <w:tblPr>
        <w:tblStyle w:val="7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rFonts w:hint="eastAsia"/>
                <w:sz w:val="24"/>
              </w:rPr>
              <w:t>u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测量重复性所引入的</w:t>
            </w:r>
            <w:r>
              <w:rPr>
                <w:rFonts w:hint="eastAsia"/>
                <w:sz w:val="24"/>
              </w:rPr>
              <w:t>标准</w:t>
            </w:r>
            <w:r>
              <w:rPr>
                <w:sz w:val="24"/>
              </w:rPr>
              <w:t>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2.17</w:t>
            </w:r>
            <w:r>
              <w:rPr>
                <w:rFonts w:hint="eastAsia" w:ascii="宋体" w:hAnsi="宋体"/>
                <w:kern w:val="0"/>
                <w:sz w:val="24"/>
                <w:szCs w:val="20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rFonts w:hint="eastAsia"/>
                <w:color w:val="000000"/>
                <w:sz w:val="24"/>
              </w:rPr>
              <w:t>u</w:t>
            </w:r>
            <w:r>
              <w:rPr>
                <w:rFonts w:hint="eastAsia"/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1%</w:t>
            </w:r>
          </w:p>
        </w:tc>
      </w:tr>
    </w:tbl>
    <w:p>
      <w:pPr>
        <w:spacing w:line="360" w:lineRule="auto"/>
        <w:rPr>
          <w:sz w:val="24"/>
        </w:rPr>
      </w:pPr>
      <w:r>
        <w:rPr>
          <w:sz w:val="24"/>
        </w:rPr>
        <w:t>4.2合成标准不确定度的计算</w:t>
      </w:r>
    </w:p>
    <w:p>
      <w:pPr>
        <w:widowControl/>
        <w:adjustRightInd w:val="0"/>
        <w:spacing w:line="360" w:lineRule="auto"/>
        <w:ind w:firstLine="743" w:firstLineChars="354"/>
        <w:rPr>
          <w:sz w:val="24"/>
        </w:rPr>
      </w:pPr>
      <w:r>
        <w:rPr>
          <w:position w:val="-12"/>
        </w:rPr>
        <w:object>
          <v:shape id="_x0000_i1027" o:spt="75" type="#_x0000_t75" style="height:22.4pt;width:137.2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</w:p>
    <w:p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5、扩展不确定度的计算</w:t>
      </w:r>
    </w:p>
    <w:p>
      <w:pPr>
        <w:spacing w:line="360" w:lineRule="auto"/>
        <w:ind w:left="360"/>
        <w:rPr>
          <w:sz w:val="24"/>
        </w:rPr>
      </w:pPr>
      <w:r>
        <w:rPr>
          <w:sz w:val="24"/>
        </w:rPr>
        <w:t>取</w:t>
      </w:r>
      <w:r>
        <w:rPr>
          <w:kern w:val="0"/>
          <w:sz w:val="24"/>
        </w:rPr>
        <w:t>包含因子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2，置信概率</w:t>
      </w:r>
      <w:r>
        <w:rPr>
          <w:rFonts w:hint="eastAsia"/>
          <w:kern w:val="0"/>
          <w:sz w:val="24"/>
        </w:rPr>
        <w:t>为</w:t>
      </w:r>
      <w:r>
        <w:rPr>
          <w:kern w:val="0"/>
          <w:sz w:val="24"/>
        </w:rPr>
        <w:t>95％</w:t>
      </w:r>
      <w:r>
        <w:rPr>
          <w:i/>
          <w:sz w:val="24"/>
        </w:rPr>
        <w:t xml:space="preserve">,  </w:t>
      </w:r>
      <w:r>
        <w:rPr>
          <w:sz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sz w:val="24"/>
        </w:rPr>
      </w:pPr>
      <w:r>
        <w:rPr>
          <w:i/>
          <w:sz w:val="24"/>
        </w:rPr>
        <w:t>U</w:t>
      </w:r>
      <w:r>
        <w:rPr>
          <w:sz w:val="24"/>
        </w:rPr>
        <w:t>=</w:t>
      </w:r>
      <w:r>
        <w:rPr>
          <w:i/>
          <w:sz w:val="24"/>
        </w:rPr>
        <w:t>k</w:t>
      </w:r>
      <w:r>
        <w:rPr>
          <w:sz w:val="24"/>
        </w:rPr>
        <w:t>·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c</w:t>
      </w:r>
      <w:r>
        <w:rPr>
          <w:sz w:val="24"/>
        </w:rPr>
        <w:t xml:space="preserve"> =2×</w:t>
      </w:r>
      <w:r>
        <w:rPr>
          <w:rFonts w:hint="eastAsia"/>
          <w:sz w:val="24"/>
          <w:lang w:val="en-US" w:eastAsia="zh-CN"/>
        </w:rPr>
        <w:t>2.39%</w:t>
      </w:r>
      <w:r>
        <w:rPr>
          <w:sz w:val="24"/>
        </w:rPr>
        <w:t xml:space="preserve">= </w:t>
      </w:r>
      <w:r>
        <w:rPr>
          <w:rFonts w:hint="eastAsia"/>
          <w:sz w:val="24"/>
          <w:lang w:val="en-US" w:eastAsia="zh-CN"/>
        </w:rPr>
        <w:t>4.78%</w:t>
      </w:r>
      <w:r>
        <w:rPr>
          <w:rFonts w:hint="eastAsia"/>
          <w:sz w:val="24"/>
        </w:rPr>
        <w:t xml:space="preserve"> </w:t>
      </w:r>
    </w:p>
    <w:p>
      <w:pPr>
        <w:spacing w:line="360" w:lineRule="auto"/>
        <w:rPr>
          <w:sz w:val="24"/>
        </w:rPr>
      </w:pPr>
      <w:r>
        <w:rPr>
          <w:b/>
          <w:bCs/>
          <w:sz w:val="24"/>
        </w:rPr>
        <w:t xml:space="preserve">6、测量不确定度的报告与表示   </w:t>
      </w:r>
      <w:r>
        <w:rPr>
          <w:sz w:val="24"/>
        </w:rPr>
        <w:t xml:space="preserve">  </w:t>
      </w:r>
    </w:p>
    <w:p>
      <w:pPr>
        <w:widowControl/>
        <w:adjustRightIn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>可燃气体浓度约</w:t>
      </w:r>
      <w:r>
        <w:rPr>
          <w:rFonts w:hint="eastAsia"/>
          <w:sz w:val="24"/>
        </w:rPr>
        <w:t>为</w:t>
      </w:r>
      <w:r>
        <w:rPr>
          <w:rFonts w:hint="eastAsia"/>
          <w:sz w:val="24"/>
          <w:lang w:val="en-US" w:eastAsia="zh-CN"/>
        </w:rPr>
        <w:t>56%</w:t>
      </w:r>
      <w:r>
        <w:rPr>
          <w:rFonts w:hint="eastAsia"/>
          <w:sz w:val="24"/>
        </w:rPr>
        <w:t>时：</w:t>
      </w:r>
      <w:r>
        <w:rPr>
          <w:i/>
          <w:sz w:val="24"/>
        </w:rPr>
        <w:t>U</w:t>
      </w:r>
      <w:r>
        <w:rPr>
          <w:rFonts w:hint="eastAsia"/>
          <w:sz w:val="24"/>
        </w:rPr>
        <w:t>=</w:t>
      </w:r>
      <w:r>
        <w:rPr>
          <w:rFonts w:hint="eastAsia"/>
          <w:sz w:val="24"/>
          <w:lang w:val="en-US" w:eastAsia="zh-CN"/>
        </w:rPr>
        <w:t>4.78%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eastAsia="zh-CN"/>
        </w:rPr>
        <w:t>，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rFonts w:hint="eastAsia"/>
          <w:sz w:val="24"/>
        </w:rPr>
        <w:t>=2</w:t>
      </w:r>
    </w:p>
    <w:p>
      <w:pPr>
        <w:widowControl/>
        <w:adjustRightInd w:val="0"/>
        <w:spacing w:line="360" w:lineRule="auto"/>
        <w:ind w:firstLine="480" w:firstLineChars="200"/>
        <w:rPr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059CDEE"/>
    <w:multiLevelType w:val="singleLevel"/>
    <w:tmpl w:val="D059CDEE"/>
    <w:lvl w:ilvl="0" w:tentative="0">
      <w:start w:val="12"/>
      <w:numFmt w:val="upperLetter"/>
      <w:suff w:val="nothing"/>
      <w:lvlText w:val="%1-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27CAE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442D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4325B"/>
    <w:rsid w:val="005B1001"/>
    <w:rsid w:val="005B31F7"/>
    <w:rsid w:val="005D6B5E"/>
    <w:rsid w:val="005F29E5"/>
    <w:rsid w:val="00632AD3"/>
    <w:rsid w:val="00635031"/>
    <w:rsid w:val="00666500"/>
    <w:rsid w:val="006C42A7"/>
    <w:rsid w:val="007431A9"/>
    <w:rsid w:val="007860F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4356"/>
    <w:rsid w:val="00D264C4"/>
    <w:rsid w:val="00D31301"/>
    <w:rsid w:val="00D428D6"/>
    <w:rsid w:val="00E40954"/>
    <w:rsid w:val="00E4179B"/>
    <w:rsid w:val="00E527D8"/>
    <w:rsid w:val="00EA1332"/>
    <w:rsid w:val="00EA5452"/>
    <w:rsid w:val="00EA70DA"/>
    <w:rsid w:val="00EB3EBC"/>
    <w:rsid w:val="00EF3DDF"/>
    <w:rsid w:val="00F015B8"/>
    <w:rsid w:val="00F645B9"/>
    <w:rsid w:val="00F81777"/>
    <w:rsid w:val="00F95B2B"/>
    <w:rsid w:val="00FC5633"/>
    <w:rsid w:val="044770B2"/>
    <w:rsid w:val="05C570E8"/>
    <w:rsid w:val="07F3591A"/>
    <w:rsid w:val="0CAF6225"/>
    <w:rsid w:val="0CDC1E1E"/>
    <w:rsid w:val="0D3120CE"/>
    <w:rsid w:val="103546B6"/>
    <w:rsid w:val="106F3DD8"/>
    <w:rsid w:val="12AD7BDB"/>
    <w:rsid w:val="17111B0C"/>
    <w:rsid w:val="18791403"/>
    <w:rsid w:val="19E53581"/>
    <w:rsid w:val="1A4B39BB"/>
    <w:rsid w:val="1A653E1C"/>
    <w:rsid w:val="1B9D388C"/>
    <w:rsid w:val="1BBD4901"/>
    <w:rsid w:val="1F4C4200"/>
    <w:rsid w:val="1F722B81"/>
    <w:rsid w:val="21EF0DC2"/>
    <w:rsid w:val="223629B8"/>
    <w:rsid w:val="243056A1"/>
    <w:rsid w:val="24732D31"/>
    <w:rsid w:val="25312398"/>
    <w:rsid w:val="257C38C7"/>
    <w:rsid w:val="25BD5B23"/>
    <w:rsid w:val="27BE054C"/>
    <w:rsid w:val="2A525CA9"/>
    <w:rsid w:val="2A70330B"/>
    <w:rsid w:val="2AB8578C"/>
    <w:rsid w:val="2B4B4BD4"/>
    <w:rsid w:val="2C28712E"/>
    <w:rsid w:val="2C620D55"/>
    <w:rsid w:val="2E736B0E"/>
    <w:rsid w:val="2ECF1DA3"/>
    <w:rsid w:val="2F160B64"/>
    <w:rsid w:val="2FE72CCC"/>
    <w:rsid w:val="31E16B66"/>
    <w:rsid w:val="351957ED"/>
    <w:rsid w:val="35AE7103"/>
    <w:rsid w:val="360719D2"/>
    <w:rsid w:val="373A5911"/>
    <w:rsid w:val="38B22018"/>
    <w:rsid w:val="39A35F89"/>
    <w:rsid w:val="3A121D04"/>
    <w:rsid w:val="3A5F7CB0"/>
    <w:rsid w:val="3B3B6DF8"/>
    <w:rsid w:val="3D7708E6"/>
    <w:rsid w:val="42732272"/>
    <w:rsid w:val="433D191C"/>
    <w:rsid w:val="43BF0F0E"/>
    <w:rsid w:val="454C4A39"/>
    <w:rsid w:val="463069A0"/>
    <w:rsid w:val="490E5D78"/>
    <w:rsid w:val="4A02072C"/>
    <w:rsid w:val="4A546E21"/>
    <w:rsid w:val="4D63663A"/>
    <w:rsid w:val="4E1E74E9"/>
    <w:rsid w:val="4F745F83"/>
    <w:rsid w:val="517D5F39"/>
    <w:rsid w:val="520E18AC"/>
    <w:rsid w:val="52181816"/>
    <w:rsid w:val="538066BD"/>
    <w:rsid w:val="54A57465"/>
    <w:rsid w:val="55300465"/>
    <w:rsid w:val="55B96904"/>
    <w:rsid w:val="55FD1495"/>
    <w:rsid w:val="59F10F93"/>
    <w:rsid w:val="5A4763F3"/>
    <w:rsid w:val="5B061C74"/>
    <w:rsid w:val="5B9642B7"/>
    <w:rsid w:val="5CCF6287"/>
    <w:rsid w:val="5DD75F7C"/>
    <w:rsid w:val="609F7046"/>
    <w:rsid w:val="627D3DDC"/>
    <w:rsid w:val="640E0FC4"/>
    <w:rsid w:val="695828FB"/>
    <w:rsid w:val="6BD477EC"/>
    <w:rsid w:val="6CEF600F"/>
    <w:rsid w:val="6E827F52"/>
    <w:rsid w:val="6FCE3C4B"/>
    <w:rsid w:val="739A109D"/>
    <w:rsid w:val="7415715D"/>
    <w:rsid w:val="744F372E"/>
    <w:rsid w:val="76782D4F"/>
    <w:rsid w:val="7869696E"/>
    <w:rsid w:val="7AB02F7C"/>
    <w:rsid w:val="7D2B6D03"/>
    <w:rsid w:val="7D2D671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5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qFormat/>
    <w:uiPriority w:val="0"/>
    <w:pPr>
      <w:spacing w:line="240" w:lineRule="exact"/>
    </w:pPr>
    <w:rPr>
      <w:sz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字符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1">
    <w:name w:val="页眉 字符"/>
    <w:link w:val="6"/>
    <w:qFormat/>
    <w:uiPriority w:val="0"/>
    <w:rPr>
      <w:kern w:val="2"/>
      <w:sz w:val="18"/>
      <w:szCs w:val="18"/>
    </w:rPr>
  </w:style>
  <w:style w:type="paragraph" w:customStyle="1" w:styleId="12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3">
    <w:name w:val="正文文本 字符"/>
    <w:link w:val="4"/>
    <w:qFormat/>
    <w:uiPriority w:val="0"/>
    <w:rPr>
      <w:kern w:val="2"/>
      <w:sz w:val="18"/>
      <w:szCs w:val="24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标题 3 字符"/>
    <w:link w:val="3"/>
    <w:uiPriority w:val="9"/>
    <w:rPr>
      <w:rFonts w:ascii="宋体" w:hAnsi="宋体"/>
      <w:b/>
      <w:sz w:val="27"/>
      <w:szCs w:val="27"/>
    </w:rPr>
  </w:style>
  <w:style w:type="character" w:styleId="16">
    <w:name w:val="Placeholder Text"/>
    <w:basedOn w:val="9"/>
    <w:unhideWhenUsed/>
    <w:qFormat/>
    <w:uiPriority w:val="99"/>
    <w:rPr>
      <w:color w:val="808080"/>
    </w:rPr>
  </w:style>
  <w:style w:type="character" w:customStyle="1" w:styleId="17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212</Words>
  <Characters>1213</Characters>
  <Lines>10</Lines>
  <Paragraphs>2</Paragraphs>
  <TotalTime>1</TotalTime>
  <ScaleCrop>false</ScaleCrop>
  <LinksUpToDate>false</LinksUpToDate>
  <CharactersWithSpaces>1423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ASUS</cp:lastModifiedBy>
  <cp:lastPrinted>2019-11-25T08:04:00Z</cp:lastPrinted>
  <dcterms:modified xsi:type="dcterms:W3CDTF">2020-10-16T03:25:58Z</dcterms:modified>
  <dc:title>直读光谱仪测量中低合金钢中锰含量的测量不确定度评定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