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管理层、管理部、物流部、业务部</w:t>
            </w:r>
            <w:r>
              <w:rPr>
                <w:rFonts w:hint="eastAsia"/>
                <w:sz w:val="24"/>
                <w:szCs w:val="24"/>
              </w:rPr>
              <w:t>，主管领导：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徐文学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方艳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审核员：王央央；审核时间：2020年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5-6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 xml:space="preserve">企业基本情况 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1、查最高管理层及管理者代表（适用时）：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）组织的最高管理者：</w:t>
            </w:r>
            <w:r>
              <w:rPr>
                <w:rFonts w:hint="eastAsia" w:ascii="宋体" w:hAnsi="宋体"/>
                <w:szCs w:val="22"/>
                <w:u w:val="single"/>
                <w:lang w:val="en-US" w:eastAsia="zh-CN"/>
              </w:rPr>
              <w:t>周金坤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，与组织的文件：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一致，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</w:rPr>
              <w:t>不一致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任命管理者代表：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2"/>
                <w:u w:val="single"/>
                <w:lang w:val="en-US" w:eastAsia="zh-CN"/>
              </w:rPr>
              <w:t>徐文学</w:t>
            </w:r>
            <w:r>
              <w:rPr>
                <w:rFonts w:hint="eastAsia" w:ascii="宋体" w:hAnsi="宋体"/>
                <w:szCs w:val="22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，与组织的任命：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一致，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</w:rPr>
              <w:t>不一致</w:t>
            </w:r>
          </w:p>
          <w:p>
            <w:pPr>
              <w:adjustRightInd w:val="0"/>
              <w:spacing w:line="280" w:lineRule="exact"/>
              <w:jc w:val="left"/>
            </w:pPr>
            <w:r>
              <w:rPr>
                <w:rFonts w:hint="eastAsia" w:ascii="宋体" w:hAnsi="宋体"/>
              </w:rPr>
              <w:t>3）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任命安全事务代表：</w:t>
            </w:r>
            <w:r>
              <w:rPr>
                <w:rFonts w:hint="eastAsia" w:ascii="宋体" w:hAnsi="宋体"/>
                <w:szCs w:val="22"/>
                <w:u w:val="single"/>
                <w:lang w:val="en-US" w:eastAsia="zh-CN"/>
              </w:rPr>
              <w:t xml:space="preserve"> 张伟峰、方美平</w:t>
            </w:r>
            <w:r>
              <w:rPr>
                <w:rFonts w:hint="eastAsia" w:ascii="宋体" w:hAnsi="宋体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，与组织的任命：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一致，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</w:rPr>
              <w:t>不一致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2、体系人数：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）组织人数：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600 </w:t>
            </w:r>
            <w:r>
              <w:rPr>
                <w:rFonts w:hint="eastAsia" w:ascii="宋体" w:hAnsi="宋体"/>
              </w:rPr>
              <w:t>人；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）各体系人数：/0 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600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 xml:space="preserve">人；； 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当组织人数与体系人数不一致时，作出说明：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ascii="宋体" w:hAnsi="宋体"/>
                <w:szCs w:val="21"/>
              </w:rPr>
              <w:t>生产服务班次安排（班次及人数）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>一班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</w:p>
          <w:p>
            <w:pPr>
              <w:adjustRightInd w:val="0"/>
              <w:spacing w:line="280" w:lineRule="exact"/>
              <w:jc w:val="left"/>
            </w:pPr>
            <w:r>
              <w:rPr>
                <w:rFonts w:hint="eastAsia" w:ascii="宋体" w:hAnsi="宋体"/>
                <w:szCs w:val="21"/>
              </w:rPr>
              <w:t>非长期雇员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</w:rPr>
              <w:t>0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人。其它说明：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4、关键场所（针对E、S时，关注如车间、污水处理站、锅炉房、重要设备设施所在的场所等）为：</w:t>
            </w:r>
          </w:p>
          <w:p>
            <w:pPr>
              <w:adjustRightInd w:val="0"/>
              <w:spacing w:line="280" w:lineRule="exact"/>
              <w:ind w:firstLine="210" w:firstLineChars="100"/>
              <w:jc w:val="left"/>
              <w:rPr>
                <w:rFonts w:hint="eastAsia" w:asci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>生产车间、空压机房、配电房等</w:t>
            </w:r>
          </w:p>
          <w:p>
            <w:pPr>
              <w:adjustRightInd w:val="0"/>
              <w:spacing w:line="280" w:lineRule="exact"/>
              <w:jc w:val="left"/>
            </w:pPr>
            <w:r>
              <w:rPr>
                <w:rFonts w:hint="eastAsia" w:ascii="宋体" w:hAnsi="宋体"/>
                <w:szCs w:val="21"/>
              </w:rPr>
              <w:t>查部门及关键场所是否正常运行：■是　□否，说明：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widowControl/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5、体系覆盖产品、服务、活动范围为：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</w:p>
          <w:p>
            <w:pPr>
              <w:adjustRightIn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bookmarkStart w:id="0" w:name="审核范围"/>
            <w:r>
              <w:rPr>
                <w:rFonts w:hint="eastAsia" w:ascii="宋体" w:hAnsi="宋体"/>
                <w:szCs w:val="21"/>
              </w:rPr>
              <w:t>O：</w:t>
            </w:r>
            <w:bookmarkEnd w:id="0"/>
            <w:r>
              <w:t>转椅、休闲椅的生产所涉及的相关职业健康安全管理活动</w:t>
            </w:r>
          </w:p>
          <w:p>
            <w:pPr>
              <w:adjustRightInd w:val="0"/>
              <w:spacing w:line="280" w:lineRule="exact"/>
              <w:jc w:val="left"/>
            </w:pPr>
            <w:r>
              <w:rPr>
                <w:rFonts w:hint="eastAsia" w:ascii="宋体" w:hAnsi="宋体"/>
                <w:color w:val="333333"/>
                <w:szCs w:val="21"/>
                <w:highlight w:val="yellow"/>
              </w:rPr>
              <w:t>确认体系文件中描述的、与申请的、与实际的是否一致：</w:t>
            </w:r>
            <w:r>
              <w:rPr>
                <w:rFonts w:hint="eastAsia" w:ascii="宋体" w:hAnsi="宋体"/>
                <w:szCs w:val="21"/>
                <w:highlight w:val="yellow"/>
              </w:rPr>
              <w:t>■</w:t>
            </w:r>
            <w:r>
              <w:rPr>
                <w:rFonts w:hint="eastAsia" w:ascii="宋体" w:hAnsi="宋体"/>
                <w:highlight w:val="yellow"/>
              </w:rPr>
              <w:t>一致，</w:t>
            </w:r>
            <w:r>
              <w:rPr>
                <w:rFonts w:hint="eastAsia" w:ascii="宋体" w:hAnsi="宋体"/>
                <w:szCs w:val="21"/>
                <w:highlight w:val="yellow"/>
              </w:rPr>
              <w:t>□</w:t>
            </w:r>
            <w:r>
              <w:rPr>
                <w:rFonts w:hint="eastAsia" w:ascii="宋体" w:hAnsi="宋体"/>
                <w:highlight w:val="yellow"/>
              </w:rPr>
              <w:t>不一致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6、（</w:t>
            </w:r>
            <w:r>
              <w:rPr>
                <w:rFonts w:ascii="宋体" w:hAnsi="宋体"/>
                <w:color w:val="000000"/>
                <w:szCs w:val="21"/>
              </w:rPr>
              <w:t>QMS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EC</w:t>
            </w:r>
            <w:r>
              <w:rPr>
                <w:rFonts w:hint="eastAsia" w:ascii="宋体" w:hAnsi="宋体"/>
                <w:color w:val="000000"/>
                <w:szCs w:val="21"/>
              </w:rPr>
              <w:t>）有无删减</w:t>
            </w:r>
            <w:r>
              <w:rPr>
                <w:rFonts w:hint="eastAsia" w:ascii="宋体" w:hAnsi="宋体"/>
                <w:color w:val="1F497D"/>
                <w:szCs w:val="21"/>
              </w:rPr>
              <w:t>或不适用的条款、要求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>无　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□有，条款及要求：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　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    </w:t>
            </w:r>
          </w:p>
          <w:p>
            <w:pPr>
              <w:adjustRightInd w:val="0"/>
              <w:spacing w:line="280" w:lineRule="exact"/>
              <w:jc w:val="left"/>
              <w:rPr>
                <w:rFonts w:ascii="Arial" w:hAnsi="Arial" w:cs="Arial"/>
                <w:spacing w:val="-5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□删减</w:t>
            </w:r>
            <w:r>
              <w:rPr>
                <w:rFonts w:hint="eastAsia" w:ascii="宋体" w:hAnsi="宋体"/>
                <w:color w:val="1F497D"/>
                <w:szCs w:val="21"/>
              </w:rPr>
              <w:t>或不适用合理</w:t>
            </w:r>
            <w:r>
              <w:rPr>
                <w:rFonts w:hint="eastAsia" w:ascii="宋体" w:hAnsi="宋体"/>
                <w:color w:val="000000"/>
                <w:szCs w:val="21"/>
              </w:rPr>
              <w:t>，说明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　　　　</w:t>
            </w:r>
          </w:p>
          <w:p>
            <w:pPr>
              <w:adjustRightInd w:val="0"/>
              <w:spacing w:line="280" w:lineRule="exact"/>
              <w:jc w:val="left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□删减</w:t>
            </w:r>
            <w:r>
              <w:rPr>
                <w:rFonts w:hint="eastAsia" w:ascii="宋体" w:hAnsi="宋体"/>
                <w:color w:val="1F497D"/>
                <w:szCs w:val="21"/>
              </w:rPr>
              <w:t>或不适用</w:t>
            </w:r>
            <w:r>
              <w:rPr>
                <w:rFonts w:hint="eastAsia" w:ascii="宋体" w:hAnsi="宋体"/>
                <w:color w:val="000000"/>
                <w:szCs w:val="21"/>
              </w:rPr>
              <w:t>不</w:t>
            </w:r>
            <w:r>
              <w:rPr>
                <w:rFonts w:hint="eastAsia" w:ascii="宋体" w:hAnsi="宋体"/>
                <w:color w:val="1F497D"/>
                <w:szCs w:val="21"/>
              </w:rPr>
              <w:t>合理</w:t>
            </w:r>
            <w:r>
              <w:rPr>
                <w:rFonts w:hint="eastAsia" w:ascii="宋体" w:hAnsi="宋体"/>
                <w:color w:val="000000"/>
                <w:szCs w:val="21"/>
              </w:rPr>
              <w:t>，说明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　　　　　　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left"/>
            </w:pPr>
            <w:r>
              <w:rPr>
                <w:rFonts w:hint="eastAsia" w:ascii="宋体" w:hAnsi="宋体"/>
                <w:b/>
                <w:bCs/>
              </w:rPr>
              <w:t>管理体系文件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、组织从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>2020年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u w:val="single"/>
              </w:rPr>
              <w:t>月</w:t>
            </w:r>
            <w:r>
              <w:rPr>
                <w:rFonts w:hint="eastAsia" w:ascii="宋体" w:hAnsi="宋体"/>
              </w:rPr>
              <w:t>开始贯标工作：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■</w:t>
            </w:r>
            <w:r>
              <w:rPr>
                <w:rFonts w:hint="eastAsia" w:ascii="宋体" w:hAnsi="宋体"/>
                <w:szCs w:val="21"/>
              </w:rPr>
              <w:t>自行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□聘请咨询公司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人员：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left"/>
            </w:pP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</w:rPr>
              <w:t>建立的管理体系文件，包括：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手册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程序</w:t>
            </w:r>
            <w:r>
              <w:rPr>
                <w:rFonts w:hint="eastAsia" w:ascii="宋体" w:hAnsi="宋体"/>
                <w:szCs w:val="22"/>
              </w:rPr>
              <w:t xml:space="preserve"> ；■管理体系范围；■方针；■目标 ；■作业文件 ；■记录等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■必需的运行控制文件，如：</w:t>
            </w:r>
          </w:p>
          <w:p>
            <w:pPr>
              <w:adjustRightInd w:val="0"/>
              <w:spacing w:line="360" w:lineRule="auto"/>
              <w:ind w:firstLine="630" w:firstLineChars="300"/>
              <w:jc w:val="left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管理制度、作业指导书、检验规范。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left"/>
            </w:pP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hint="eastAsia" w:ascii="宋体" w:hAnsi="宋体"/>
                <w:szCs w:val="22"/>
              </w:rPr>
              <w:t>、该组织管理体系于  20</w:t>
            </w:r>
            <w:r>
              <w:rPr>
                <w:rFonts w:ascii="宋体" w:hAnsi="宋体"/>
                <w:szCs w:val="22"/>
              </w:rPr>
              <w:t>19</w:t>
            </w:r>
            <w:r>
              <w:rPr>
                <w:rFonts w:hint="eastAsia" w:ascii="宋体" w:hAnsi="宋体"/>
                <w:szCs w:val="22"/>
              </w:rPr>
              <w:t>年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2"/>
              </w:rPr>
              <w:t>月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2"/>
              </w:rPr>
              <w:t>日 开始正式运行，管理体系文件评价见文件审核报告。验证文件评审报告所提出问题的纠正：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Cs w:val="22"/>
              </w:rPr>
              <w:t xml:space="preserve">文件评审未提出问题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szCs w:val="22"/>
              </w:rPr>
              <w:t>验证修订的文件资料，已纠正，符合；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Cs w:val="22"/>
              </w:rPr>
              <w:t xml:space="preserve">纠正仍存在问题，具体是：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Cs w:val="22"/>
              </w:rPr>
              <w:t xml:space="preserve">需要补充的文件问题有：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4、结合该组织现场实际情况、内审、管理评审实施情况、体系文件的实施情况，确认组织管理体系运行时间：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已超过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个月</w:t>
            </w:r>
          </w:p>
          <w:p>
            <w:pPr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□不足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月（此情况下审核组可中断审核，当营业执照不足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个月时，可认为体系运行不足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月。中断审核前需要向审核部汇报并获得批准。）</w:t>
            </w:r>
          </w:p>
          <w:p>
            <w:pPr>
              <w:adjustRightInd w:val="0"/>
              <w:spacing w:line="360" w:lineRule="auto"/>
              <w:ind w:firstLine="630" w:firstLineChars="300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3、查组织考虑和确定的风险和机遇、及确定的应对措施：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--查是否有针对性的分析、考虑：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提供《风险和机遇评估分析表》，确定了企业的风险和机遇。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--查风险和机遇及措施的确定情况：</w:t>
            </w:r>
          </w:p>
          <w:p>
            <w:pPr>
              <w:adjustRightInd w:val="0"/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提供《风险和机遇评估分析表》，针对确定的风险和机遇明确了控制措施，同时也确定了责任部门、时间期限等。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/>
                <w:b/>
                <w:szCs w:val="21"/>
              </w:rPr>
              <w:t>相关法律法规及其它要求的遵守情况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</w:rPr>
              <w:t>组织提供了有效资质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证明</w:t>
            </w:r>
            <w:r>
              <w:rPr>
                <w:rFonts w:hint="eastAsia" w:ascii="宋体" w:hAnsi="宋体"/>
              </w:rPr>
              <w:t>，包括：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>组织的</w:t>
            </w:r>
            <w:r>
              <w:rPr>
                <w:rFonts w:hint="eastAsia" w:ascii="宋体" w:hAnsi="宋体"/>
                <w:color w:val="000000"/>
              </w:rPr>
              <w:t>营业执照；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color w:val="000000"/>
              </w:rPr>
              <w:t>生产许可证；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排污许可证；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color w:val="000000"/>
              </w:rPr>
              <w:t>环评报告；</w:t>
            </w:r>
            <w:r>
              <w:rPr>
                <w:rFonts w:hint="eastAsia" w:ascii="宋体" w:hAnsi="宋体"/>
              </w:rPr>
              <w:t>□安评报告；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color w:val="000000"/>
              </w:rPr>
              <w:t>三同时验收报告；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安全生产许可证；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危险化学品销售许可证；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非药品类易制毒化学品经营备案证明；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运输许可证；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3C</w:t>
            </w:r>
            <w:r>
              <w:rPr>
                <w:rFonts w:hint="eastAsia" w:ascii="宋体" w:hAnsi="宋体"/>
                <w:color w:val="000000"/>
                <w:szCs w:val="21"/>
              </w:rPr>
              <w:t>证书；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QS</w:t>
            </w:r>
            <w:r>
              <w:rPr>
                <w:rFonts w:hint="eastAsia" w:ascii="宋体" w:hAnsi="宋体"/>
                <w:color w:val="000000"/>
                <w:szCs w:val="21"/>
              </w:rPr>
              <w:t>证书；</w:t>
            </w:r>
            <w:r>
              <w:rPr>
                <w:rFonts w:hint="eastAsia" w:ascii="宋体" w:hAnsi="宋体"/>
              </w:rPr>
              <w:t>□其他</w:t>
            </w:r>
            <w:r>
              <w:rPr>
                <w:rFonts w:ascii="宋体" w:hAnsi="宋体"/>
                <w:u w:val="single"/>
              </w:rPr>
              <w:t xml:space="preserve">                                         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□未提供</w:t>
            </w:r>
            <w:r>
              <w:rPr>
                <w:rFonts w:ascii="宋体" w:hAnsi="宋体"/>
                <w:u w:val="single"/>
              </w:rPr>
              <w:t xml:space="preserve">                                                 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说明：</w:t>
            </w:r>
            <w:r>
              <w:rPr>
                <w:rFonts w:ascii="宋体" w:hAnsi="宋体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</w:rPr>
              <w:t>□有怀疑，包括</w:t>
            </w:r>
            <w:r>
              <w:rPr>
                <w:rFonts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核实记录：</w:t>
            </w:r>
            <w:r>
              <w:rPr>
                <w:rFonts w:ascii="宋体" w:hAnsi="宋体"/>
                <w:u w:val="single"/>
              </w:rPr>
              <w:t xml:space="preserve">                     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szCs w:val="21"/>
                <w:highlight w:val="none"/>
              </w:rPr>
              <w:t>、组织识别了适用的法律、法规、标准和规范，主要包括：</w:t>
            </w:r>
            <w:r>
              <w:rPr>
                <w:rFonts w:ascii="宋体" w:hAnsi="宋体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中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华人民共和国安全生产法、劳动法、职业病防治法、《用人单位职业病危害告知与警示标识管理规范》、GBZ158-2013《工作场所职业病危害警示标识》、GBZ188-2014《职业健康监护技术规范》、GBZ2.1-2019《工作场所有害因素职业接触限值 第1部分：化学有害因素》、GBZ2.2-2017《工作场所有害因素职业接触限值 第2部分：物理因素》等</w:t>
            </w:r>
            <w:r>
              <w:rPr>
                <w:rFonts w:ascii="宋体" w:hAnsi="宋体"/>
                <w:szCs w:val="21"/>
                <w:highlight w:val="none"/>
                <w:u w:val="single"/>
              </w:rPr>
              <w:t xml:space="preserve">                     </w:t>
            </w:r>
            <w:r>
              <w:rPr>
                <w:rFonts w:ascii="宋体" w:hAnsi="宋体"/>
                <w:szCs w:val="21"/>
                <w:highlight w:val="yellow"/>
                <w:u w:val="single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Cs w:val="21"/>
                <w:highlight w:val="yellow"/>
                <w:u w:val="single"/>
              </w:rPr>
              <w:t>　　</w:t>
            </w:r>
            <w:r>
              <w:rPr>
                <w:rFonts w:ascii="宋体" w:hAnsi="宋体"/>
                <w:szCs w:val="21"/>
                <w:highlight w:val="yellow"/>
                <w:u w:val="single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3、组织的产品质量、环境影响、职业健康安全受到相关方的投诉</w:t>
            </w:r>
            <w:r>
              <w:rPr>
                <w:rFonts w:ascii="宋体" w:hAnsi="宋体"/>
                <w:szCs w:val="21"/>
              </w:rPr>
              <w:t>: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■否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□是，说明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t>　　　　　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3、OHSMS: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a)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涉及办公和仓库</w:t>
            </w:r>
            <w:r>
              <w:rPr>
                <w:rFonts w:hint="eastAsia" w:ascii="宋体" w:hAnsi="宋体"/>
                <w:szCs w:val="21"/>
              </w:rPr>
              <w:t xml:space="preserve">重大危险源： </w:t>
            </w:r>
          </w:p>
          <w:p>
            <w:pPr>
              <w:adjustRightInd w:val="0"/>
              <w:spacing w:line="360" w:lineRule="auto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u w:val="single"/>
              </w:rPr>
              <w:t>职业病伤害、触电、火灾</w:t>
            </w:r>
            <w:r>
              <w:rPr>
                <w:rFonts w:ascii="宋体"/>
                <w:szCs w:val="21"/>
                <w:u w:val="single"/>
              </w:rPr>
              <w:t xml:space="preserve">              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b)</w:t>
            </w:r>
            <w:r>
              <w:rPr>
                <w:rFonts w:hint="eastAsia" w:ascii="宋体" w:hAnsi="宋体"/>
                <w:szCs w:val="21"/>
              </w:rPr>
              <w:t xml:space="preserve"> 运行控制情况:</w:t>
            </w:r>
            <w:r>
              <w:rPr>
                <w:rFonts w:hint="eastAsia" w:asci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  <w:u w:val="single"/>
              </w:rPr>
              <w:t>良好。</w:t>
            </w:r>
            <w:r>
              <w:rPr>
                <w:rFonts w:ascii="宋体" w:hAnsi="宋体"/>
                <w:u w:val="single"/>
              </w:rPr>
              <w:t xml:space="preserve">       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/>
                <w:szCs w:val="21"/>
              </w:rPr>
              <w:t>管理体系的方针、目标/指标/措施方案及实现情况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5.2/6.1/6.2</w:t>
            </w: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1、管理体系的</w:t>
            </w:r>
            <w:r>
              <w:rPr>
                <w:rFonts w:hint="eastAsia" w:ascii="宋体" w:hAnsi="宋体"/>
                <w:color w:val="4F81BD"/>
                <w:szCs w:val="21"/>
              </w:rPr>
              <w:t>方针：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■</w:t>
            </w:r>
            <w:r>
              <w:rPr>
                <w:rFonts w:hint="eastAsia" w:ascii="宋体" w:hAnsi="宋体"/>
              </w:rPr>
              <w:t>适宜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不适宜：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目标、指标、措施方案：</w:t>
            </w:r>
          </w:p>
          <w:p>
            <w:pPr>
              <w:adjustRightInd w:val="0"/>
              <w:spacing w:line="360" w:lineRule="auto"/>
              <w:ind w:firstLine="420" w:firstLineChars="200"/>
              <w:jc w:val="left"/>
              <w:rPr>
                <w:rFonts w:ascii="宋体" w:hAnsi="宋体"/>
                <w:color w:val="4F81BD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进行了分解，制定了管理方案　　　　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4F81BD"/>
                <w:szCs w:val="21"/>
              </w:rPr>
              <w:t>a.在各职能、层次、过程的建立情况，确定实现目标/指标的方案情况及实现情况：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  <w:u w:val="single"/>
              </w:rPr>
              <w:t>可以实现。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>　　　　　　　　　　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　　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b.是否存在不适宜情况：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>无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/>
                <w:b/>
                <w:bCs/>
                <w:szCs w:val="21"/>
              </w:rPr>
              <w:t>组织内部审核策划和实施情况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9.2</w:t>
            </w:r>
          </w:p>
        </w:tc>
        <w:tc>
          <w:tcPr>
            <w:tcW w:w="10004" w:type="dxa"/>
          </w:tcPr>
          <w:p>
            <w:pPr>
              <w:pStyle w:val="12"/>
              <w:numPr>
                <w:ilvl w:val="0"/>
                <w:numId w:val="1"/>
              </w:numPr>
              <w:adjustRightInd w:val="0"/>
              <w:spacing w:line="360" w:lineRule="auto"/>
              <w:ind w:left="0" w:firstLine="0" w:firstLineChars="0"/>
              <w:jc w:val="left"/>
              <w:textAlignment w:val="baseline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规定的内审频次：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hint="eastAsia" w:ascii="宋体" w:hAnsi="宋体"/>
                <w:u w:val="single"/>
              </w:rPr>
              <w:t>　　　　　</w:t>
            </w:r>
            <w:r>
              <w:rPr>
                <w:rFonts w:ascii="宋体" w:hAnsi="宋体"/>
                <w:u w:val="single"/>
              </w:rPr>
              <w:t xml:space="preserve"> </w:t>
            </w: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、本次内审于</w:t>
            </w:r>
            <w:r>
              <w:rPr>
                <w:rFonts w:hint="eastAsia" w:ascii="宋体" w:hAnsi="宋体"/>
                <w:u w:val="single"/>
              </w:rPr>
              <w:t>20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8-9</w:t>
            </w:r>
            <w:r>
              <w:rPr>
                <w:rFonts w:hint="eastAsia" w:ascii="宋体" w:hAnsi="宋体"/>
              </w:rPr>
              <w:t>日实施</w:t>
            </w:r>
          </w:p>
          <w:p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t>3</w:t>
            </w:r>
            <w:r>
              <w:rPr>
                <w:rFonts w:hint="eastAsia"/>
              </w:rPr>
              <w:t>、覆盖标准条款：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r>
              <w:rPr>
                <w:rFonts w:hint="eastAsia"/>
                <w:u w:val="single"/>
              </w:rPr>
              <w:t>　　　　　　　</w:t>
            </w:r>
            <w:r>
              <w:rPr>
                <w:u w:val="single"/>
              </w:rPr>
              <w:t xml:space="preserve">                    </w:t>
            </w:r>
          </w:p>
          <w:p>
            <w:pPr>
              <w:adjustRightInd w:val="0"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覆盖职能部门、分场所：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完全　□不完全：缺少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u w:val="single"/>
              </w:rPr>
              <w:t xml:space="preserve">                     </w:t>
            </w:r>
          </w:p>
          <w:p>
            <w:pPr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时间分配：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合理</w:t>
            </w:r>
            <w:r>
              <w:t xml:space="preserve">  </w:t>
            </w:r>
            <w:r>
              <w:rPr>
                <w:rFonts w:hint="eastAsia"/>
              </w:rPr>
              <w:t>□不合理：　</w:t>
            </w:r>
            <w:r>
              <w:rPr>
                <w:rFonts w:hint="eastAsia"/>
                <w:u w:val="single"/>
              </w:rPr>
              <w:t>　　　　　　　　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  <w:u w:val="single"/>
              </w:rPr>
              <w:t>　　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/>
              </w:rPr>
              <w:t>内审组人员分工：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合理，具备公正性</w:t>
            </w:r>
            <w:r>
              <w:t xml:space="preserve">  </w:t>
            </w:r>
            <w:r>
              <w:rPr>
                <w:rFonts w:hint="eastAsia"/>
              </w:rPr>
              <w:t>□不合理：</w:t>
            </w:r>
            <w:r>
              <w:rPr>
                <w:rFonts w:hint="eastAsia"/>
                <w:u w:val="single"/>
              </w:rPr>
              <w:t>　　　　　　</w:t>
            </w:r>
            <w:r>
              <w:rPr>
                <w:u w:val="single"/>
              </w:rPr>
              <w:t xml:space="preserve">             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、内审报告对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/>
              </w:rPr>
              <w:t>QMS</w:t>
            </w:r>
            <w:bookmarkStart w:id="1" w:name="_GoBack"/>
            <w:bookmarkEnd w:id="1"/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/>
              </w:rPr>
              <w:t xml:space="preserve">EMS  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ascii="宋体" w:hAnsi="宋体"/>
              </w:rPr>
              <w:t>OHSMS</w:t>
            </w:r>
            <w:r>
              <w:rPr>
                <w:rFonts w:hint="eastAsia" w:ascii="宋体" w:hAnsi="宋体"/>
              </w:rPr>
              <w:t>的有效性和符合性的结论：</w:t>
            </w:r>
            <w:r>
              <w:rPr>
                <w:rFonts w:hint="eastAsia" w:ascii="宋体" w:hAnsi="宋体"/>
                <w:u w:val="single"/>
              </w:rPr>
              <w:t>　　　　</w:t>
            </w:r>
            <w:r>
              <w:rPr>
                <w:rFonts w:ascii="宋体" w:hAnsi="宋体"/>
                <w:u w:val="single"/>
              </w:rPr>
              <w:t xml:space="preserve">      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u w:val="single"/>
              </w:rPr>
              <w:t>　　公司的管理体系符合标准要求，体系运行有效。　　　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/>
                <w:b/>
                <w:bCs/>
                <w:szCs w:val="21"/>
              </w:rPr>
              <w:t>组织进行管理评审的情况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9.3</w:t>
            </w:r>
          </w:p>
        </w:tc>
        <w:tc>
          <w:tcPr>
            <w:tcW w:w="10004" w:type="dxa"/>
          </w:tcPr>
          <w:p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hint="eastAsia" w:ascii="宋体" w:hAnsi="宋体"/>
              </w:rPr>
              <w:t>规定的管理评审频次：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一年一次</w:t>
            </w:r>
            <w: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hint="eastAsia" w:ascii="宋体" w:hAnsi="宋体"/>
                <w:u w:val="single"/>
              </w:rPr>
              <w:t>　　　　　</w:t>
            </w:r>
            <w:r>
              <w:rPr>
                <w:rFonts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numPr>
                <w:ilvl w:val="0"/>
                <w:numId w:val="2"/>
              </w:numPr>
              <w:adjustRightInd w:val="0"/>
              <w:spacing w:line="360" w:lineRule="auto"/>
              <w:jc w:val="left"/>
              <w:textAlignment w:val="baseline"/>
              <w:rPr>
                <w:rFonts w:ascii="宋体"/>
              </w:rPr>
            </w:pPr>
            <w:r>
              <w:rPr>
                <w:rFonts w:hint="eastAsia" w:ascii="宋体" w:hAnsi="宋体"/>
              </w:rPr>
              <w:t>本次管理评审于</w:t>
            </w:r>
            <w:r>
              <w:rPr>
                <w:rFonts w:hint="eastAsia" w:ascii="宋体" w:hAnsi="宋体"/>
                <w:u w:val="single"/>
              </w:rPr>
              <w:t>　20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20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21</w:t>
            </w:r>
            <w:r>
              <w:rPr>
                <w:rFonts w:hint="eastAsia" w:ascii="宋体" w:hAnsi="宋体"/>
                <w:u w:val="single"/>
              </w:rPr>
              <w:t>　</w:t>
            </w:r>
            <w:r>
              <w:rPr>
                <w:rFonts w:hint="eastAsia" w:ascii="宋体" w:hAnsi="宋体"/>
              </w:rPr>
              <w:t>日实施，由最高管理者：许振红主持，实施方式：</w:t>
            </w:r>
            <w:r>
              <w:rPr>
                <w:rFonts w:hint="eastAsia" w:ascii="宋体" w:hAnsi="宋体"/>
                <w:u w:val="single"/>
              </w:rPr>
              <w:t>　会议　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评审输入内容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ascii="宋体" w:hAnsi="宋体"/>
              </w:rPr>
              <w:t>完整、充分　□不完全：</w:t>
            </w:r>
            <w:r>
              <w:rPr>
                <w:rFonts w:ascii="宋体" w:hAnsi="宋体"/>
                <w:u w:val="single"/>
              </w:rPr>
              <w:t xml:space="preserve">    </w:t>
            </w:r>
          </w:p>
          <w:p>
            <w:pPr>
              <w:pStyle w:val="2"/>
              <w:spacing w:after="0" w:line="360" w:lineRule="auto"/>
              <w:ind w:left="0" w:left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、管理评审报告对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/>
              </w:rPr>
              <w:t>QMS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/>
              </w:rPr>
              <w:t>EMS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/>
              </w:rPr>
              <w:t>OHSMS</w:t>
            </w:r>
            <w:r>
              <w:rPr>
                <w:rFonts w:hint="eastAsia" w:ascii="宋体" w:hAnsi="宋体"/>
              </w:rPr>
              <w:t>的适宜性、充分性和有效性的结论：</w:t>
            </w:r>
            <w:r>
              <w:rPr>
                <w:rFonts w:ascii="宋体" w:hAnsi="宋体"/>
                <w:u w:val="single"/>
              </w:rPr>
              <w:t>职业健康</w:t>
            </w:r>
            <w:r>
              <w:rPr>
                <w:rFonts w:hint="eastAsia" w:ascii="宋体" w:hAnsi="宋体"/>
                <w:u w:val="single"/>
              </w:rPr>
              <w:t>安全管理体系运行是有效的，资源提供是充分的，方针目标是适宜的。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4D6C6DE1"/>
    <w:multiLevelType w:val="multilevel"/>
    <w:tmpl w:val="4D6C6DE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9D9"/>
    <w:rsid w:val="00077F03"/>
    <w:rsid w:val="00113BEC"/>
    <w:rsid w:val="001F3F0A"/>
    <w:rsid w:val="00354FF0"/>
    <w:rsid w:val="003A50E6"/>
    <w:rsid w:val="00A429D9"/>
    <w:rsid w:val="00B27209"/>
    <w:rsid w:val="00B35626"/>
    <w:rsid w:val="00C56653"/>
    <w:rsid w:val="00FE7DAC"/>
    <w:rsid w:val="0F69290C"/>
    <w:rsid w:val="0FAB454F"/>
    <w:rsid w:val="1450286F"/>
    <w:rsid w:val="16595F6D"/>
    <w:rsid w:val="261850BF"/>
    <w:rsid w:val="28C704C0"/>
    <w:rsid w:val="29722743"/>
    <w:rsid w:val="2FC706E6"/>
    <w:rsid w:val="35C45E89"/>
    <w:rsid w:val="36EE6CB3"/>
    <w:rsid w:val="3F857D2F"/>
    <w:rsid w:val="42631BB8"/>
    <w:rsid w:val="464C7519"/>
    <w:rsid w:val="46F0681D"/>
    <w:rsid w:val="51467314"/>
    <w:rsid w:val="55016CFA"/>
    <w:rsid w:val="599D0BA2"/>
    <w:rsid w:val="69D16164"/>
    <w:rsid w:val="726D3411"/>
    <w:rsid w:val="73AD6600"/>
    <w:rsid w:val="775843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spacing w:after="120"/>
      <w:ind w:left="420" w:left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592</Words>
  <Characters>3380</Characters>
  <Lines>28</Lines>
  <Paragraphs>7</Paragraphs>
  <TotalTime>0</TotalTime>
  <ScaleCrop>false</ScaleCrop>
  <LinksUpToDate>false</LinksUpToDate>
  <CharactersWithSpaces>3965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2020-10-09T06:27:28Z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