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ascii="隶书" w:hAnsi="宋体" w:eastAsia="隶书"/>
          <w:bCs/>
          <w:color w:val="000000"/>
          <w:sz w:val="36"/>
          <w:szCs w:val="36"/>
        </w:rPr>
      </w:pPr>
    </w:p>
    <w:p>
      <w:pPr>
        <w:spacing w:line="360" w:lineRule="auto"/>
        <w:rPr>
          <w:b/>
        </w:rPr>
      </w:pPr>
      <w:r>
        <w:rPr>
          <w:rFonts w:hint="eastAsia"/>
          <w:b/>
        </w:rPr>
        <w:t>公司名称：</w:t>
      </w:r>
      <w:bookmarkStart w:id="0" w:name="组织名称"/>
      <w:r>
        <w:rPr>
          <w:sz w:val="21"/>
          <w:szCs w:val="21"/>
        </w:rPr>
        <w:t>嘉瑞福（浙江）家具有限公司</w:t>
      </w:r>
      <w:bookmarkEnd w:id="0"/>
      <w:r>
        <w:rPr>
          <w:rFonts w:hint="eastAsia"/>
          <w:b/>
          <w:u w:val="single"/>
        </w:rPr>
        <w:t xml:space="preserve">  </w:t>
      </w:r>
      <w:r>
        <w:rPr>
          <w:rFonts w:hint="eastAsia"/>
          <w:b/>
        </w:rPr>
        <w:t xml:space="preserve">                                                </w:t>
      </w:r>
      <w:r>
        <w:rPr>
          <w:rFonts w:hint="eastAsia" w:ascii="宋体" w:hAnsi="宋体"/>
        </w:rPr>
        <w:t xml:space="preserve"> </w:t>
      </w:r>
      <w:r>
        <w:rPr>
          <w:rFonts w:hint="eastAsia"/>
          <w:b/>
        </w:rPr>
        <w:t xml:space="preserve">     </w:t>
      </w:r>
      <w:r>
        <w:rPr>
          <w:rFonts w:hint="eastAsia" w:ascii="宋体" w:hAnsi="宋体"/>
        </w:rPr>
        <w:t>■</w:t>
      </w:r>
      <w:r>
        <w:rPr>
          <w:rFonts w:hint="eastAsia"/>
          <w:b/>
        </w:rPr>
        <w:t>OHSMS</w:t>
      </w:r>
    </w:p>
    <w:p>
      <w:pPr>
        <w:spacing w:before="156" w:beforeLines="50" w:after="156" w:afterLines="50"/>
        <w:rPr>
          <w:rFonts w:ascii="宋体" w:hAnsi="宋体"/>
        </w:rPr>
      </w:pPr>
      <w:r>
        <w:rPr>
          <w:rFonts w:hint="eastAsia" w:ascii="宋体" w:hAnsi="宋体"/>
        </w:rPr>
        <w:t>审核区域:</w:t>
      </w:r>
      <w:r>
        <w:rPr>
          <w:rFonts w:hint="eastAsia" w:ascii="宋体" w:hAnsi="宋体"/>
          <w:lang w:val="en-US" w:eastAsia="zh-CN"/>
        </w:rPr>
        <w:t>技术部、生产部、业务部</w:t>
      </w:r>
      <w:r>
        <w:rPr>
          <w:rFonts w:hint="eastAsia" w:ascii="宋体" w:hAnsi="宋体"/>
        </w:rPr>
        <w:t xml:space="preserve">、品质部                    </w:t>
      </w:r>
    </w:p>
    <w:p>
      <w:pPr>
        <w:spacing w:before="156" w:beforeLines="50" w:after="156" w:afterLines="50"/>
        <w:rPr>
          <w:rFonts w:ascii="宋体" w:hAnsi="宋体"/>
        </w:rPr>
      </w:pPr>
      <w:r>
        <w:rPr>
          <w:rFonts w:hint="eastAsia" w:ascii="宋体" w:hAnsi="宋体"/>
        </w:rPr>
        <w:t xml:space="preserve">审核员：   </w:t>
      </w:r>
      <w:r>
        <w:rPr>
          <w:rFonts w:hint="eastAsia" w:ascii="宋体" w:hAnsi="宋体"/>
          <w:lang w:val="en-US" w:eastAsia="zh-CN"/>
        </w:rPr>
        <w:t>林兵 应红艳</w:t>
      </w:r>
      <w:r>
        <w:rPr>
          <w:rFonts w:hint="eastAsia" w:ascii="宋体" w:hAnsi="宋体"/>
        </w:rPr>
        <w:t xml:space="preserve">                                               审核时间:  2020 年</w:t>
      </w:r>
      <w:r>
        <w:rPr>
          <w:rFonts w:hint="eastAsia" w:ascii="宋体" w:hAnsi="宋体"/>
          <w:lang w:val="en-US" w:eastAsia="zh-CN"/>
        </w:rPr>
        <w:t>10</w:t>
      </w:r>
      <w:r>
        <w:rPr>
          <w:rFonts w:hint="eastAsia" w:ascii="宋体" w:hAnsi="宋体"/>
        </w:rPr>
        <w:t>月</w:t>
      </w:r>
      <w:r>
        <w:rPr>
          <w:rFonts w:hint="eastAsia" w:ascii="宋体" w:hAnsi="宋体"/>
          <w:lang w:val="en-US" w:eastAsia="zh-CN"/>
        </w:rPr>
        <w:t>5-6</w:t>
      </w:r>
      <w:r>
        <w:rPr>
          <w:rFonts w:hint="eastAsia" w:ascii="宋体" w:hAnsi="宋体"/>
        </w:rPr>
        <w:t>日</w:t>
      </w:r>
    </w:p>
    <w:tbl>
      <w:tblPr>
        <w:tblStyle w:val="6"/>
        <w:tblpPr w:leftFromText="180" w:rightFromText="180" w:vertAnchor="text" w:horzAnchor="margin" w:tblpX="-135" w:tblpY="80"/>
        <w:tblW w:w="14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0" w:type="dxa"/>
        </w:tblCellMar>
      </w:tblPr>
      <w:tblGrid>
        <w:gridCol w:w="568"/>
        <w:gridCol w:w="781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1188" w:hRule="atLeast"/>
        </w:trPr>
        <w:tc>
          <w:tcPr>
            <w:tcW w:w="568" w:type="dxa"/>
            <w:vAlign w:val="center"/>
          </w:tcPr>
          <w:p>
            <w:pPr>
              <w:ind w:left="-105" w:leftChars="-50"/>
              <w:jc w:val="center"/>
              <w:rPr>
                <w:rFonts w:ascii="宋体" w:hAnsi="宋体"/>
                <w:b/>
                <w:szCs w:val="21"/>
              </w:rPr>
            </w:pPr>
            <w:r>
              <w:rPr>
                <w:rFonts w:hint="eastAsia" w:ascii="宋体" w:hAnsi="宋体"/>
                <w:b/>
                <w:szCs w:val="21"/>
              </w:rPr>
              <w:t>审</w:t>
            </w:r>
          </w:p>
          <w:p>
            <w:pPr>
              <w:ind w:left="-105" w:leftChars="-50"/>
              <w:jc w:val="center"/>
              <w:rPr>
                <w:rFonts w:ascii="宋体" w:hAnsi="宋体"/>
                <w:b/>
                <w:szCs w:val="21"/>
              </w:rPr>
            </w:pPr>
            <w:r>
              <w:rPr>
                <w:rFonts w:hint="eastAsia" w:ascii="宋体" w:hAnsi="宋体"/>
                <w:b/>
                <w:szCs w:val="21"/>
              </w:rPr>
              <w:t xml:space="preserve"> 核</w:t>
            </w:r>
          </w:p>
          <w:p>
            <w:pPr>
              <w:ind w:left="-105" w:leftChars="-50"/>
              <w:jc w:val="center"/>
              <w:rPr>
                <w:rFonts w:ascii="宋体" w:hAnsi="宋体"/>
                <w:b/>
                <w:szCs w:val="21"/>
              </w:rPr>
            </w:pPr>
            <w:r>
              <w:rPr>
                <w:rFonts w:hint="eastAsia" w:ascii="宋体" w:hAnsi="宋体"/>
                <w:b/>
                <w:szCs w:val="21"/>
              </w:rPr>
              <w:t xml:space="preserve"> 提</w:t>
            </w:r>
          </w:p>
          <w:p>
            <w:pPr>
              <w:ind w:left="-105" w:leftChars="-50"/>
              <w:jc w:val="center"/>
              <w:rPr>
                <w:rFonts w:ascii="仿宋_GB2312" w:hAnsi="Times" w:eastAsia="仿宋_GB2312"/>
                <w:b/>
                <w:bCs/>
                <w:szCs w:val="21"/>
              </w:rPr>
            </w:pPr>
            <w:r>
              <w:rPr>
                <w:rFonts w:hint="eastAsia" w:ascii="宋体" w:hAnsi="宋体"/>
                <w:b/>
                <w:szCs w:val="21"/>
              </w:rPr>
              <w:t xml:space="preserve"> 示</w:t>
            </w:r>
          </w:p>
        </w:tc>
        <w:tc>
          <w:tcPr>
            <w:tcW w:w="7810" w:type="dxa"/>
            <w:tcBorders>
              <w:right w:val="nil"/>
            </w:tcBorders>
          </w:tcPr>
          <w:p>
            <w:pPr>
              <w:spacing w:line="0" w:lineRule="atLeast"/>
              <w:rPr>
                <w:rFonts w:ascii="宋体" w:hAnsi="宋体"/>
                <w:szCs w:val="21"/>
              </w:rPr>
            </w:pPr>
            <w:r>
              <w:rPr>
                <w:rFonts w:hint="eastAsia" w:ascii="宋体" w:hAnsi="宋体"/>
                <w:szCs w:val="21"/>
              </w:rPr>
              <w:t>О涉及的管理体系要求、主管的过程要求、参与/协同实施的要求</w:t>
            </w:r>
          </w:p>
          <w:p>
            <w:pPr>
              <w:tabs>
                <w:tab w:val="left" w:pos="6375"/>
              </w:tabs>
              <w:spacing w:line="0" w:lineRule="atLeast"/>
              <w:rPr>
                <w:rFonts w:ascii="宋体" w:hAnsi="宋体"/>
                <w:szCs w:val="21"/>
              </w:rPr>
            </w:pPr>
            <w:r>
              <w:rPr>
                <w:rFonts w:hint="eastAsia" w:ascii="宋体" w:hAnsi="宋体"/>
                <w:szCs w:val="21"/>
              </w:rPr>
              <w:t>О过程模式/流程、环境因素/影响、危险源/风险评估及控制方案</w:t>
            </w:r>
          </w:p>
          <w:p>
            <w:pPr>
              <w:tabs>
                <w:tab w:val="left" w:pos="5337"/>
              </w:tabs>
              <w:spacing w:line="0" w:lineRule="atLeast"/>
              <w:rPr>
                <w:rFonts w:ascii="宋体" w:hAnsi="宋体"/>
                <w:szCs w:val="21"/>
              </w:rPr>
            </w:pPr>
            <w:r>
              <w:rPr>
                <w:rFonts w:hint="eastAsia" w:ascii="宋体" w:hAnsi="宋体"/>
                <w:szCs w:val="21"/>
              </w:rPr>
              <w:t>О职责和权限</w:t>
            </w:r>
          </w:p>
          <w:p>
            <w:pPr>
              <w:tabs>
                <w:tab w:val="left" w:pos="5974"/>
              </w:tabs>
              <w:spacing w:line="0" w:lineRule="atLeast"/>
              <w:rPr>
                <w:rFonts w:ascii="宋体" w:hAnsi="宋体"/>
                <w:szCs w:val="21"/>
              </w:rPr>
            </w:pPr>
            <w:r>
              <w:rPr>
                <w:rFonts w:hint="eastAsia" w:ascii="宋体" w:hAnsi="宋体"/>
                <w:szCs w:val="21"/>
              </w:rPr>
              <w:t>О目标分解及实施</w:t>
            </w:r>
          </w:p>
          <w:p>
            <w:pPr>
              <w:tabs>
                <w:tab w:val="left" w:pos="5337"/>
              </w:tabs>
              <w:spacing w:line="0" w:lineRule="atLeast"/>
              <w:rPr>
                <w:rFonts w:ascii="宋体" w:hAnsi="宋体"/>
                <w:szCs w:val="21"/>
              </w:rPr>
            </w:pPr>
            <w:r>
              <w:rPr>
                <w:rFonts w:hint="eastAsia" w:ascii="宋体" w:hAnsi="宋体"/>
                <w:szCs w:val="21"/>
              </w:rPr>
              <w:t>О资源配置：人力、设备设施、工作环境</w:t>
            </w:r>
          </w:p>
          <w:p>
            <w:pPr>
              <w:tabs>
                <w:tab w:val="left" w:pos="5337"/>
              </w:tabs>
              <w:spacing w:line="0" w:lineRule="atLeast"/>
              <w:rPr>
                <w:rFonts w:ascii="宋体" w:hAnsi="宋体"/>
                <w:szCs w:val="21"/>
              </w:rPr>
            </w:pPr>
            <w:r>
              <w:rPr>
                <w:rFonts w:hint="eastAsia" w:ascii="宋体" w:hAnsi="宋体"/>
                <w:szCs w:val="21"/>
              </w:rPr>
              <w:t>О信息、数据及沟通</w:t>
            </w:r>
          </w:p>
          <w:p>
            <w:pPr>
              <w:tabs>
                <w:tab w:val="left" w:pos="5337"/>
              </w:tabs>
              <w:spacing w:line="0" w:lineRule="atLeast"/>
              <w:rPr>
                <w:rFonts w:ascii="仿宋_GB2312" w:eastAsia="仿宋_GB2312"/>
                <w:sz w:val="18"/>
              </w:rPr>
            </w:pPr>
            <w:r>
              <w:rPr>
                <w:rFonts w:hint="eastAsia" w:ascii="宋体" w:hAnsi="宋体"/>
                <w:szCs w:val="21"/>
              </w:rPr>
              <w:t>О审核范围现场确认</w:t>
            </w:r>
          </w:p>
        </w:tc>
        <w:tc>
          <w:tcPr>
            <w:tcW w:w="6030" w:type="dxa"/>
          </w:tcPr>
          <w:p>
            <w:pPr>
              <w:spacing w:line="0" w:lineRule="atLeast"/>
              <w:rPr>
                <w:rFonts w:ascii="宋体" w:hAnsi="宋体"/>
                <w:szCs w:val="21"/>
              </w:rPr>
            </w:pPr>
            <w:r>
              <w:rPr>
                <w:rFonts w:hint="eastAsia" w:ascii="宋体" w:hAnsi="宋体"/>
                <w:szCs w:val="21"/>
              </w:rPr>
              <w:t>О现场文件审查</w:t>
            </w:r>
          </w:p>
          <w:p>
            <w:pPr>
              <w:spacing w:line="0" w:lineRule="atLeast"/>
              <w:rPr>
                <w:rFonts w:ascii="宋体" w:hAnsi="宋体"/>
                <w:szCs w:val="21"/>
              </w:rPr>
            </w:pPr>
            <w:r>
              <w:rPr>
                <w:rFonts w:hint="eastAsia" w:ascii="宋体" w:hAnsi="宋体"/>
                <w:szCs w:val="21"/>
              </w:rPr>
              <w:t>完整性、充分性、适宜性、有效性及控制</w:t>
            </w:r>
          </w:p>
          <w:p>
            <w:pPr>
              <w:spacing w:line="0" w:lineRule="atLeast"/>
              <w:rPr>
                <w:rFonts w:ascii="宋体" w:hAnsi="宋体"/>
                <w:szCs w:val="21"/>
              </w:rPr>
            </w:pPr>
            <w:r>
              <w:rPr>
                <w:rFonts w:hint="eastAsia" w:ascii="宋体" w:hAnsi="宋体"/>
                <w:szCs w:val="21"/>
              </w:rPr>
              <w:t>О记录表式、填写、控制</w:t>
            </w:r>
          </w:p>
          <w:p>
            <w:pPr>
              <w:spacing w:line="0" w:lineRule="atLeast"/>
              <w:rPr>
                <w:rFonts w:ascii="宋体" w:hAnsi="宋体"/>
                <w:szCs w:val="21"/>
              </w:rPr>
            </w:pPr>
            <w:r>
              <w:rPr>
                <w:rFonts w:hint="eastAsia" w:ascii="宋体" w:hAnsi="宋体"/>
                <w:szCs w:val="21"/>
              </w:rPr>
              <w:t>О监视和测量</w:t>
            </w:r>
          </w:p>
          <w:p>
            <w:pPr>
              <w:spacing w:line="0" w:lineRule="atLeast"/>
              <w:rPr>
                <w:rFonts w:ascii="宋体" w:hAnsi="宋体"/>
                <w:szCs w:val="21"/>
              </w:rPr>
            </w:pPr>
            <w:r>
              <w:rPr>
                <w:rFonts w:hint="eastAsia" w:ascii="宋体" w:hAnsi="宋体"/>
                <w:szCs w:val="21"/>
              </w:rPr>
              <w:t>О不合格处置</w:t>
            </w:r>
          </w:p>
          <w:p>
            <w:pPr>
              <w:spacing w:line="0" w:lineRule="atLeast"/>
              <w:rPr>
                <w:rFonts w:ascii="仿宋_GB2312" w:eastAsia="仿宋_GB2312"/>
                <w:sz w:val="18"/>
              </w:rPr>
            </w:pPr>
            <w:r>
              <w:rPr>
                <w:rFonts w:hint="eastAsia" w:ascii="宋体" w:hAnsi="宋体"/>
                <w:szCs w:val="21"/>
              </w:rPr>
              <w:t>О分析和持续改进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375" w:hRule="atLeast"/>
        </w:trPr>
        <w:tc>
          <w:tcPr>
            <w:tcW w:w="14408" w:type="dxa"/>
            <w:gridSpan w:val="3"/>
          </w:tcPr>
          <w:p>
            <w:pPr>
              <w:spacing w:line="0" w:lineRule="atLeast"/>
              <w:rPr>
                <w:rFonts w:ascii="宋体" w:hAnsi="宋体"/>
                <w:szCs w:val="21"/>
              </w:rPr>
            </w:pPr>
            <w:r>
              <w:rPr>
                <w:rFonts w:ascii="宋体" w:hAnsi="宋体"/>
                <w:b/>
                <w:szCs w:val="21"/>
              </w:rPr>
              <w:pict>
                <v:line id="Line 217" o:spid="_x0000_s1026" o:spt="20" style="position:absolute;left:0pt;margin-left:342pt;margin-top:7.5pt;height:0pt;width:0.05pt;z-index:251658240;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v:path arrowok="t"/>
                  <v:fill focussize="0,0"/>
                  <v:stroke/>
                  <v:imagedata o:title=""/>
                  <o:lock v:ext="edit"/>
                </v:line>
              </w:pict>
            </w:r>
            <w:r>
              <w:rPr>
                <w:rFonts w:hint="eastAsia" w:ascii="宋体" w:hAnsi="宋体"/>
                <w:b/>
                <w:szCs w:val="21"/>
              </w:rPr>
              <w:t>评估：</w:t>
            </w:r>
            <w:r>
              <w:rPr>
                <w:rFonts w:hint="eastAsia" w:ascii="宋体" w:hAnsi="宋体"/>
                <w:szCs w:val="21"/>
              </w:rPr>
              <w:t>1.符合准则要求; 2.基本符合准则要求（存在轻微问题，可接受），口头通知受审核方;3.未达到准则要求</w:t>
            </w:r>
          </w:p>
          <w:p>
            <w:pPr>
              <w:spacing w:line="0" w:lineRule="atLeast"/>
              <w:rPr>
                <w:rFonts w:ascii="宋体" w:hAnsi="宋体"/>
                <w:szCs w:val="21"/>
              </w:rPr>
            </w:pPr>
            <w:r>
              <w:rPr>
                <w:rFonts w:hint="eastAsia" w:ascii="宋体" w:hAnsi="宋体"/>
                <w:b/>
                <w:szCs w:val="21"/>
              </w:rPr>
              <w:t>注：</w:t>
            </w:r>
            <w:r>
              <w:rPr>
                <w:rFonts w:hint="eastAsia" w:ascii="宋体" w:hAnsi="宋体"/>
                <w:szCs w:val="21"/>
              </w:rPr>
              <w:t>应记录符合的与不符合的审核证据，应提供完整、准确、清晰的审核记录。</w:t>
            </w:r>
          </w:p>
          <w:p>
            <w:pPr>
              <w:spacing w:line="0" w:lineRule="atLeast"/>
              <w:rPr>
                <w:rFonts w:hint="eastAsia" w:ascii="宋体" w:hAnsi="宋体"/>
                <w:szCs w:val="21"/>
              </w:rPr>
            </w:pPr>
            <w:r>
              <w:rPr>
                <w:rFonts w:hint="eastAsia" w:ascii="宋体" w:hAnsi="宋体"/>
                <w:szCs w:val="21"/>
              </w:rPr>
              <w:t>实习审核员承担部分现场审核记录工作时，同组的级别审核员应在记录首页签字确认。</w:t>
            </w:r>
          </w:p>
          <w:p>
            <w:pPr>
              <w:spacing w:line="0" w:lineRule="atLeast"/>
              <w:rPr>
                <w:rFonts w:hint="eastAsia" w:ascii="宋体" w:hAnsi="宋体"/>
                <w:szCs w:val="21"/>
              </w:rPr>
            </w:pPr>
          </w:p>
        </w:tc>
      </w:tr>
    </w:tbl>
    <w:p>
      <w:pPr>
        <w:rPr>
          <w:vanish/>
        </w:rPr>
      </w:pPr>
    </w:p>
    <w:tbl>
      <w:tblPr>
        <w:tblStyle w:val="6"/>
        <w:tblW w:w="14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29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675" w:type="dxa"/>
            <w:vAlign w:val="center"/>
          </w:tcPr>
          <w:p>
            <w:pPr>
              <w:adjustRightInd w:val="0"/>
              <w:spacing w:line="280" w:lineRule="exact"/>
              <w:jc w:val="center"/>
            </w:pPr>
            <w:r>
              <w:rPr>
                <w:rFonts w:hint="eastAsia"/>
              </w:rPr>
              <w:t>序号</w:t>
            </w:r>
          </w:p>
        </w:tc>
        <w:tc>
          <w:tcPr>
            <w:tcW w:w="12297" w:type="dxa"/>
            <w:vAlign w:val="center"/>
          </w:tcPr>
          <w:p>
            <w:pPr>
              <w:adjustRightInd w:val="0"/>
              <w:spacing w:line="280" w:lineRule="exact"/>
              <w:jc w:val="center"/>
            </w:pPr>
            <w:r>
              <w:rPr>
                <w:rFonts w:hint="eastAsia"/>
              </w:rPr>
              <w:t>检查记录</w:t>
            </w:r>
          </w:p>
        </w:tc>
        <w:tc>
          <w:tcPr>
            <w:tcW w:w="1400" w:type="dxa"/>
          </w:tcPr>
          <w:p>
            <w:pPr>
              <w:adjustRightInd w:val="0"/>
              <w:spacing w:line="280" w:lineRule="exact"/>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vMerge w:val="restart"/>
          </w:tcPr>
          <w:p>
            <w:pPr>
              <w:adjustRightInd w:val="0"/>
              <w:spacing w:line="360" w:lineRule="auto"/>
              <w:jc w:val="left"/>
            </w:pPr>
            <w:r>
              <w:rPr>
                <w:rFonts w:hint="eastAsia"/>
              </w:rPr>
              <w:t>1</w:t>
            </w:r>
          </w:p>
        </w:tc>
        <w:tc>
          <w:tcPr>
            <w:tcW w:w="12297" w:type="dxa"/>
          </w:tcPr>
          <w:p>
            <w:pPr>
              <w:adjustRightInd w:val="0"/>
              <w:spacing w:line="360" w:lineRule="auto"/>
              <w:jc w:val="left"/>
            </w:pPr>
            <w:r>
              <w:rPr>
                <w:rFonts w:hint="eastAsia" w:ascii="宋体" w:hAnsi="宋体"/>
                <w:b/>
                <w:szCs w:val="21"/>
              </w:rPr>
              <w:t>重要过程及重要因素的确定（包括组织的环境（2015版）、产品</w:t>
            </w:r>
            <w:r>
              <w:rPr>
                <w:rFonts w:ascii="宋体" w:hAnsi="宋体"/>
                <w:b/>
                <w:szCs w:val="21"/>
              </w:rPr>
              <w:t>/</w:t>
            </w:r>
            <w:r>
              <w:rPr>
                <w:rFonts w:hint="eastAsia" w:ascii="宋体" w:hAnsi="宋体"/>
                <w:b/>
                <w:szCs w:val="21"/>
              </w:rPr>
              <w:t>服务实现过程、外包过程，环境因素、危险源识别与评价等）</w:t>
            </w:r>
          </w:p>
        </w:tc>
        <w:tc>
          <w:tcPr>
            <w:tcW w:w="1400" w:type="dxa"/>
          </w:tcPr>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szCs w:val="21"/>
              </w:rPr>
            </w:pPr>
            <w:r>
              <w:rPr>
                <w:rFonts w:hint="eastAsia"/>
                <w:szCs w:val="21"/>
              </w:rPr>
              <w:t>1、（2015版Q）与组织目标和战略方向相关并影响其实现管理体系预期结果的各种外部和内部因素:</w:t>
            </w:r>
          </w:p>
          <w:p>
            <w:pPr>
              <w:adjustRightInd w:val="0"/>
              <w:spacing w:line="360" w:lineRule="auto"/>
              <w:jc w:val="left"/>
              <w:rPr>
                <w:szCs w:val="21"/>
              </w:rPr>
            </w:pPr>
            <w:r>
              <w:rPr>
                <w:rFonts w:hint="eastAsia"/>
                <w:szCs w:val="21"/>
              </w:rPr>
              <w:t>1）确定情况：</w:t>
            </w:r>
          </w:p>
          <w:p>
            <w:pPr>
              <w:adjustRightInd w:val="0"/>
              <w:spacing w:line="360" w:lineRule="auto"/>
              <w:jc w:val="left"/>
              <w:rPr>
                <w:szCs w:val="21"/>
              </w:rPr>
            </w:pPr>
            <w:r>
              <w:rPr>
                <w:rFonts w:hint="eastAsia"/>
                <w:szCs w:val="21"/>
              </w:rPr>
              <w:t>提供《组织的内外重要环境因素分析表》，确定了公司相关的内外部因素。</w:t>
            </w:r>
          </w:p>
          <w:p>
            <w:pPr>
              <w:adjustRightInd w:val="0"/>
              <w:spacing w:line="360" w:lineRule="auto"/>
              <w:jc w:val="left"/>
              <w:rPr>
                <w:szCs w:val="21"/>
              </w:rPr>
            </w:pPr>
            <w:r>
              <w:rPr>
                <w:rFonts w:hint="eastAsia"/>
                <w:szCs w:val="21"/>
              </w:rPr>
              <w:t>2）监视和评审情况：</w:t>
            </w:r>
          </w:p>
          <w:p>
            <w:pPr>
              <w:adjustRightInd w:val="0"/>
              <w:spacing w:line="360" w:lineRule="auto"/>
              <w:jc w:val="left"/>
              <w:rPr>
                <w:rFonts w:ascii="宋体" w:hAnsi="宋体"/>
                <w:b/>
                <w:szCs w:val="21"/>
              </w:rPr>
            </w:pPr>
            <w:r>
              <w:rPr>
                <w:rFonts w:hint="eastAsia"/>
                <w:szCs w:val="21"/>
              </w:rPr>
              <w:t xml:space="preserve">   每年监视评审一次，一般是从网络获取。</w:t>
            </w:r>
            <w:r>
              <w:rPr>
                <w:rFonts w:hint="eastAsia"/>
                <w:color w:val="4F81BD"/>
                <w:szCs w:val="21"/>
              </w:rPr>
              <w:t xml:space="preserve">   </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2、（2015版E/2018版S）与组织宗旨相关并影响其实现管理体系预期结果的各种外部和内部问题的确定情况：</w:t>
            </w:r>
          </w:p>
          <w:p>
            <w:pPr>
              <w:adjustRightInd w:val="0"/>
              <w:spacing w:line="360" w:lineRule="auto"/>
              <w:jc w:val="left"/>
              <w:rPr>
                <w:rFonts w:ascii="宋体" w:hAnsi="宋体"/>
                <w:szCs w:val="21"/>
              </w:rPr>
            </w:pPr>
            <w:r>
              <w:rPr>
                <w:rFonts w:hint="eastAsia" w:ascii="宋体" w:hAnsi="宋体"/>
                <w:szCs w:val="21"/>
              </w:rPr>
              <w:t>提供《内外环境因素》，确定了公司相关的内外部因素。</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3、（2015版QE/2018版S）查组织考虑和确定的风险和机遇、及确定的应对措施：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color w:val="4F81BD"/>
                <w:szCs w:val="21"/>
              </w:rPr>
            </w:pPr>
            <w:r>
              <w:rPr>
                <w:rFonts w:hint="eastAsia" w:ascii="宋体" w:hAnsi="宋体"/>
                <w:szCs w:val="21"/>
              </w:rPr>
              <w:t>提供《风险和机遇评估表》，针对确定的风险和机遇明确了控制措施，同时也确定了责任部门、时间期限等。</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spacing w:line="360" w:lineRule="auto"/>
              <w:ind w:firstLine="420" w:firstLineChars="200"/>
              <w:rPr>
                <w:rFonts w:ascii="宋体" w:hAnsi="宋体"/>
                <w:szCs w:val="21"/>
              </w:rPr>
            </w:pPr>
            <w:r>
              <w:rPr>
                <w:rFonts w:hint="eastAsia" w:ascii="宋体" w:hAnsi="宋体"/>
                <w:szCs w:val="21"/>
              </w:rPr>
              <w:t xml:space="preserve">    </w:t>
            </w:r>
            <w:r>
              <w:rPr>
                <w:rFonts w:hint="eastAsia" w:eastAsia="宋体"/>
                <w:b/>
                <w:sz w:val="20"/>
                <w:lang w:eastAsia="zh-CN"/>
              </w:rPr>
              <w:drawing>
                <wp:inline distT="0" distB="0" distL="114300" distR="114300">
                  <wp:extent cx="3386455" cy="771525"/>
                  <wp:effectExtent l="0" t="0" r="4445" b="9525"/>
                  <wp:docPr id="2" name="图片 2" descr="微信截图_2020100808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01008085717"/>
                          <pic:cNvPicPr>
                            <a:picLocks noChangeAspect="1"/>
                          </pic:cNvPicPr>
                        </pic:nvPicPr>
                        <pic:blipFill>
                          <a:blip r:embed="rId6">
                            <a:lum contrast="42000"/>
                          </a:blip>
                          <a:stretch>
                            <a:fillRect/>
                          </a:stretch>
                        </pic:blipFill>
                        <pic:spPr>
                          <a:xfrm>
                            <a:off x="0" y="0"/>
                            <a:ext cx="3386455" cy="771525"/>
                          </a:xfrm>
                          <a:prstGeom prst="rect">
                            <a:avLst/>
                          </a:prstGeom>
                        </pic:spPr>
                      </pic:pic>
                    </a:graphicData>
                  </a:graphic>
                </wp:inline>
              </w:drawing>
            </w:r>
          </w:p>
          <w:p>
            <w:pPr>
              <w:rPr>
                <w:rFonts w:ascii="宋体" w:hAnsi="宋体"/>
                <w:szCs w:val="21"/>
              </w:rPr>
            </w:pPr>
            <w:r>
              <w:rPr>
                <w:rFonts w:hint="eastAsia" w:ascii="宋体" w:hAnsi="宋体"/>
                <w:szCs w:val="21"/>
              </w:rPr>
              <w:t xml:space="preserve"> </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/EC/MD</w:t>
            </w:r>
            <w:r>
              <w:rPr>
                <w:rFonts w:hint="eastAsia" w:ascii="宋体" w:hAnsi="宋体"/>
                <w:szCs w:val="21"/>
              </w:rPr>
              <w:t>）：</w:t>
            </w:r>
          </w:p>
          <w:p>
            <w:pPr>
              <w:adjustRightInd w:val="0"/>
              <w:spacing w:line="360" w:lineRule="auto"/>
              <w:ind w:firstLine="315" w:firstLineChars="150"/>
              <w:jc w:val="left"/>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喷胶粘合过程；</w:t>
            </w:r>
          </w:p>
          <w:p>
            <w:pPr>
              <w:adjustRightInd w:val="0"/>
              <w:spacing w:line="360" w:lineRule="auto"/>
              <w:ind w:firstLine="315" w:firstLineChars="150"/>
              <w:jc w:val="left"/>
              <w:rPr>
                <w:color w:val="4F81BD"/>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400" w:type="dxa"/>
          </w:tcPr>
          <w:p>
            <w:pPr>
              <w:tabs>
                <w:tab w:val="left" w:pos="1305"/>
              </w:tabs>
            </w:pPr>
          </w:p>
          <w:p>
            <w:pPr>
              <w:tabs>
                <w:tab w:val="left" w:pos="1305"/>
              </w:tabs>
            </w:pPr>
          </w:p>
          <w:p>
            <w:pPr>
              <w:tabs>
                <w:tab w:val="left" w:pos="1305"/>
              </w:tabs>
            </w:pPr>
          </w:p>
          <w:p>
            <w:pPr>
              <w:tabs>
                <w:tab w:val="left" w:pos="1305"/>
              </w:tabs>
            </w:pPr>
          </w:p>
          <w:p>
            <w:pPr>
              <w:tabs>
                <w:tab w:val="left" w:pos="1305"/>
              </w:tabs>
            </w:pPr>
          </w:p>
          <w:p>
            <w:pPr>
              <w:tabs>
                <w:tab w:val="left" w:pos="1305"/>
              </w:tabs>
            </w:pPr>
            <w:r>
              <w:rPr>
                <w:rFonts w:hint="eastAsia"/>
              </w:rPr>
              <w:t>Ok</w:t>
            </w:r>
          </w:p>
          <w:p>
            <w:pPr>
              <w:tabs>
                <w:tab w:val="left" w:pos="1305"/>
              </w:tabs>
            </w:pPr>
          </w:p>
          <w:p>
            <w:pPr>
              <w:tabs>
                <w:tab w:val="left" w:pos="1305"/>
              </w:tabs>
            </w:pPr>
          </w:p>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szCs w:val="21"/>
              </w:rPr>
              <w:t>无</w:t>
            </w:r>
            <w:r>
              <w:rPr>
                <w:rFonts w:ascii="宋体" w:hAnsi="宋体"/>
                <w:szCs w:val="21"/>
              </w:rPr>
              <w:t xml:space="preserve"> </w:t>
            </w:r>
            <w:r>
              <w:rPr>
                <w:rFonts w:hint="eastAsia" w:ascii="宋体" w:hAnsi="宋体"/>
                <w:szCs w:val="21"/>
              </w:rPr>
              <w:t xml:space="preserve">  □有，说明具体的外包过程</w:t>
            </w:r>
            <w:r>
              <w:rPr>
                <w:rFonts w:hint="eastAsia" w:ascii="宋体" w:hAnsi="宋体"/>
                <w:color w:val="4F81BD"/>
                <w:szCs w:val="21"/>
              </w:rPr>
              <w:t>及管理控制情况</w:t>
            </w:r>
            <w:r>
              <w:rPr>
                <w:rFonts w:hint="eastAsia" w:ascii="宋体" w:hAnsi="宋体"/>
                <w:color w:val="4F81BD"/>
              </w:rPr>
              <w:t>：</w:t>
            </w:r>
          </w:p>
          <w:p>
            <w:pPr>
              <w:tabs>
                <w:tab w:val="left" w:pos="1305"/>
              </w:tabs>
              <w:rPr>
                <w:rFonts w:ascii="宋体" w:hAnsi="宋体"/>
              </w:rPr>
            </w:pPr>
            <w:r>
              <w:rPr>
                <w:rFonts w:hint="eastAsia" w:ascii="宋体" w:hAnsi="宋体"/>
              </w:rPr>
              <w:t xml:space="preserve">   </w:t>
            </w:r>
            <w:r>
              <w:rPr>
                <w:rFonts w:hint="eastAsia" w:ascii="宋体" w:hAnsi="宋体"/>
                <w:u w:val="single"/>
              </w:rPr>
              <w:t xml:space="preserve"> </w:t>
            </w:r>
          </w:p>
        </w:tc>
        <w:tc>
          <w:tcPr>
            <w:tcW w:w="1400" w:type="dxa"/>
          </w:tcPr>
          <w:p>
            <w:pPr>
              <w:tabs>
                <w:tab w:val="left" w:pos="1305"/>
              </w:tabs>
            </w:pPr>
          </w:p>
          <w:p>
            <w:pPr>
              <w:tabs>
                <w:tab w:val="left" w:pos="1305"/>
              </w:tabs>
            </w:pPr>
          </w:p>
          <w:p>
            <w:pPr>
              <w:tabs>
                <w:tab w:val="left" w:pos="1305"/>
              </w:tabs>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rPr>
            </w:pPr>
          </w:p>
        </w:tc>
        <w:tc>
          <w:tcPr>
            <w:tcW w:w="1400" w:type="dxa"/>
          </w:tcPr>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办公过程、采购过程、销售过程、生产过程、检验过程</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rPr>
              <w:t>4</w:t>
            </w:r>
            <w:r>
              <w:rPr>
                <w:rFonts w:ascii="宋体" w:hAnsi="宋体"/>
                <w:u w:val="single"/>
              </w:rPr>
              <w:t xml:space="preserve">  </w:t>
            </w:r>
            <w:r>
              <w:rPr>
                <w:rFonts w:hint="eastAsia" w:ascii="宋体" w:hAnsi="宋体"/>
              </w:rPr>
              <w:t>项，包括：</w:t>
            </w:r>
          </w:p>
          <w:p>
            <w:pPr>
              <w:adjustRightInd w:val="0"/>
              <w:spacing w:line="360" w:lineRule="auto"/>
              <w:ind w:firstLine="630" w:firstLineChars="300"/>
              <w:jc w:val="left"/>
              <w:rPr>
                <w:rFonts w:ascii="宋体"/>
              </w:rPr>
            </w:pPr>
            <w:r>
              <w:rPr>
                <w:rFonts w:hint="eastAsia" w:ascii="宋体" w:hAnsi="宋体"/>
                <w:u w:val="single"/>
              </w:rPr>
              <w:t>职业病伤害</w:t>
            </w:r>
            <w:bookmarkStart w:id="1" w:name="_GoBack"/>
            <w:r>
              <w:rPr>
                <w:rFonts w:hint="eastAsia" w:ascii="宋体" w:hAnsi="宋体"/>
                <w:u w:val="single"/>
                <w:lang w:eastAsia="zh-CN"/>
              </w:rPr>
              <w:t>（</w:t>
            </w:r>
            <w:r>
              <w:rPr>
                <w:rFonts w:hint="eastAsia" w:ascii="宋体" w:hAnsi="宋体"/>
                <w:u w:val="single"/>
                <w:lang w:val="en-US" w:eastAsia="zh-CN"/>
              </w:rPr>
              <w:t>化学伤害、粉尘、噪声</w:t>
            </w:r>
            <w:r>
              <w:rPr>
                <w:rFonts w:hint="eastAsia" w:ascii="宋体" w:hAnsi="宋体"/>
                <w:u w:val="single"/>
                <w:lang w:eastAsia="zh-CN"/>
              </w:rPr>
              <w:t>）</w:t>
            </w:r>
            <w:bookmarkEnd w:id="1"/>
            <w:r>
              <w:rPr>
                <w:rFonts w:hint="eastAsia" w:ascii="宋体" w:hAnsi="宋体"/>
                <w:u w:val="single"/>
              </w:rPr>
              <w:t>、触电、火灾等。</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Cs w:val="21"/>
              </w:rPr>
              <w:t>□齐全</w:t>
            </w:r>
          </w:p>
          <w:p>
            <w:pPr>
              <w:adjustRightInd w:val="0"/>
              <w:spacing w:line="360" w:lineRule="auto"/>
              <w:jc w:val="left"/>
              <w:rPr>
                <w:rFonts w:ascii="宋体" w:hAnsi="宋体"/>
              </w:rPr>
            </w:pPr>
            <w:r>
              <w:rPr>
                <w:rFonts w:hint="eastAsia" w:ascii="宋体" w:hAnsi="宋体"/>
                <w:sz w:val="18"/>
                <w:szCs w:val="18"/>
              </w:rPr>
              <w:t>■</w:t>
            </w:r>
            <w:r>
              <w:rPr>
                <w:rFonts w:hint="eastAsia" w:ascii="宋体" w:hAnsi="宋体"/>
                <w:szCs w:val="21"/>
              </w:rPr>
              <w:t>有遗漏，遗漏部分有：</w:t>
            </w:r>
            <w:r>
              <w:rPr>
                <w:rFonts w:hint="eastAsia"/>
                <w:color w:val="000000"/>
                <w:sz w:val="24"/>
                <w:szCs w:val="24"/>
              </w:rPr>
              <w:t xml:space="preserve"> 机械伤害</w:t>
            </w:r>
          </w:p>
        </w:tc>
        <w:tc>
          <w:tcPr>
            <w:tcW w:w="1400" w:type="dxa"/>
          </w:tcPr>
          <w:p>
            <w:pPr>
              <w:tabs>
                <w:tab w:val="left" w:pos="1305"/>
              </w:tabs>
            </w:pPr>
            <w:r>
              <w:rPr>
                <w:rFonts w:hint="eastAsia"/>
              </w:rPr>
              <w:t xml:space="preserve">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tcPr>
          <w:p>
            <w:pPr>
              <w:adjustRightInd w:val="0"/>
              <w:spacing w:line="360" w:lineRule="auto"/>
              <w:jc w:val="left"/>
            </w:pPr>
            <w:r>
              <w:rPr>
                <w:rFonts w:hint="eastAsia"/>
              </w:rPr>
              <w:t>2</w:t>
            </w:r>
          </w:p>
        </w:tc>
        <w:tc>
          <w:tcPr>
            <w:tcW w:w="12297" w:type="dxa"/>
          </w:tcPr>
          <w:p>
            <w:pPr>
              <w:adjustRightInd w:val="0"/>
              <w:spacing w:line="360" w:lineRule="auto"/>
              <w:jc w:val="left"/>
            </w:pPr>
            <w:r>
              <w:rPr>
                <w:rFonts w:hint="eastAsia" w:ascii="宋体" w:hAnsi="宋体"/>
                <w:b/>
                <w:szCs w:val="21"/>
              </w:rPr>
              <w:t>运行控制和关键绩效：</w:t>
            </w: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u w:val="single"/>
              </w:rPr>
            </w:pPr>
            <w:r>
              <w:rPr>
                <w:rFonts w:ascii="宋体" w:hAnsi="宋体"/>
                <w:szCs w:val="21"/>
              </w:rPr>
              <w:t>1</w:t>
            </w:r>
            <w:r>
              <w:rPr>
                <w:rFonts w:hint="eastAsia" w:ascii="宋体" w:hAnsi="宋体"/>
                <w:szCs w:val="21"/>
              </w:rPr>
              <w:t>、（</w:t>
            </w:r>
            <w:r>
              <w:rPr>
                <w:rFonts w:hint="eastAsia" w:ascii="宋体" w:hAnsi="宋体"/>
              </w:rPr>
              <w:t>Q/EC/MD）产品</w:t>
            </w:r>
            <w:r>
              <w:rPr>
                <w:rFonts w:ascii="宋体" w:hAnsi="宋体"/>
              </w:rPr>
              <w:t>/</w:t>
            </w:r>
            <w:r>
              <w:rPr>
                <w:rFonts w:hint="eastAsia" w:ascii="宋体" w:hAnsi="宋体"/>
              </w:rPr>
              <w:t>服务执行标准为：</w:t>
            </w:r>
            <w:r>
              <w:rPr>
                <w:rFonts w:ascii="宋体" w:hAnsi="宋体"/>
                <w:szCs w:val="22"/>
                <w:u w:val="single"/>
              </w:rPr>
              <w:fldChar w:fldCharType="begin"/>
            </w:r>
            <w:r>
              <w:rPr>
                <w:rFonts w:ascii="宋体" w:hAnsi="宋体"/>
                <w:szCs w:val="22"/>
                <w:u w:val="single"/>
              </w:rPr>
              <w:instrText xml:space="preserve"> HYPERLINK "http://www.stdmis.cn/Database/javascript:__doPostBack('ctl00$ctl00$ContentPlaceHolder1$ContentPlaceHolder1$rptStandard$ctl06$lbtnDetail','')" \o "点击查看标准详细信息" </w:instrText>
            </w:r>
            <w:r>
              <w:rPr>
                <w:rFonts w:ascii="宋体" w:hAnsi="宋体"/>
                <w:szCs w:val="22"/>
                <w:u w:val="single"/>
              </w:rPr>
              <w:fldChar w:fldCharType="separate"/>
            </w:r>
            <w:r>
              <w:rPr>
                <w:rFonts w:ascii="宋体" w:hAnsi="宋体"/>
                <w:szCs w:val="22"/>
                <w:u w:val="single"/>
              </w:rPr>
              <w:t>QB/T 2280-2016</w:t>
            </w:r>
            <w:r>
              <w:rPr>
                <w:rFonts w:ascii="宋体" w:hAnsi="宋体"/>
                <w:szCs w:val="22"/>
                <w:u w:val="single"/>
              </w:rPr>
              <w:fldChar w:fldCharType="end"/>
            </w:r>
            <w:r>
              <w:rPr>
                <w:rFonts w:hint="eastAsia" w:ascii="宋体" w:hAnsi="宋体"/>
                <w:szCs w:val="22"/>
                <w:u w:val="single"/>
                <w:lang w:eastAsia="zh-CN"/>
              </w:rPr>
              <w:t>《</w:t>
            </w:r>
            <w:r>
              <w:rPr>
                <w:rFonts w:hint="eastAsia" w:ascii="宋体" w:hAnsi="宋体"/>
                <w:szCs w:val="22"/>
                <w:u w:val="single"/>
                <w:lang w:val="en-US" w:eastAsia="zh-CN"/>
              </w:rPr>
              <w:t>办公家具 办公椅</w:t>
            </w:r>
            <w:r>
              <w:rPr>
                <w:rFonts w:hint="eastAsia" w:ascii="宋体" w:hAnsi="宋体"/>
                <w:szCs w:val="22"/>
                <w:u w:val="single"/>
                <w:lang w:eastAsia="zh-CN"/>
              </w:rPr>
              <w:t>》</w:t>
            </w:r>
            <w:r>
              <w:rPr>
                <w:rFonts w:hint="eastAsia" w:ascii="宋体" w:hAnsi="宋体"/>
                <w:szCs w:val="22"/>
                <w:u w:val="single"/>
                <w:lang w:val="en-US" w:eastAsia="zh-CN"/>
              </w:rPr>
              <w:t xml:space="preserve"> </w:t>
            </w:r>
            <w:r>
              <w:rPr>
                <w:rFonts w:ascii="宋体" w:hAnsi="宋体"/>
                <w:szCs w:val="22"/>
                <w:u w:val="single"/>
              </w:rPr>
              <w:fldChar w:fldCharType="begin"/>
            </w:r>
            <w:r>
              <w:rPr>
                <w:rFonts w:ascii="宋体" w:hAnsi="宋体"/>
                <w:szCs w:val="22"/>
                <w:u w:val="single"/>
              </w:rPr>
              <w:instrText xml:space="preserve"> HYPERLINK "http://www.stdmis.cn/Database/javascript:__doPostBack('ctl00$ctl00$ContentPlaceHolder1$ContentPlaceHolder1$rptStandard$ctl07$lbtnDetail','')" \o "点击查看标准详细信息" </w:instrText>
            </w:r>
            <w:r>
              <w:rPr>
                <w:rFonts w:ascii="宋体" w:hAnsi="宋体"/>
                <w:szCs w:val="22"/>
                <w:u w:val="single"/>
              </w:rPr>
              <w:fldChar w:fldCharType="separate"/>
            </w:r>
            <w:r>
              <w:rPr>
                <w:rFonts w:ascii="宋体" w:hAnsi="宋体"/>
                <w:szCs w:val="22"/>
                <w:u w:val="single"/>
              </w:rPr>
              <w:t>T/ZZB 0458-2018</w:t>
            </w:r>
            <w:r>
              <w:rPr>
                <w:rFonts w:ascii="宋体" w:hAnsi="宋体"/>
                <w:szCs w:val="22"/>
                <w:u w:val="single"/>
              </w:rPr>
              <w:fldChar w:fldCharType="end"/>
            </w:r>
            <w:r>
              <w:rPr>
                <w:rFonts w:hint="eastAsia" w:ascii="宋体" w:hAnsi="宋体"/>
                <w:szCs w:val="22"/>
                <w:u w:val="single"/>
                <w:lang w:eastAsia="zh-CN"/>
              </w:rPr>
              <w:t>《</w:t>
            </w:r>
            <w:r>
              <w:rPr>
                <w:rFonts w:hint="eastAsia" w:ascii="宋体" w:hAnsi="宋体"/>
                <w:szCs w:val="22"/>
                <w:u w:val="single"/>
                <w:lang w:val="en-US" w:eastAsia="zh-CN"/>
              </w:rPr>
              <w:t>双网面塑框转椅</w:t>
            </w:r>
            <w:r>
              <w:rPr>
                <w:rFonts w:hint="eastAsia" w:ascii="宋体" w:hAnsi="宋体"/>
                <w:szCs w:val="22"/>
                <w:u w:val="single"/>
                <w:lang w:eastAsia="zh-CN"/>
              </w:rPr>
              <w:t>》</w:t>
            </w:r>
            <w:r>
              <w:rPr>
                <w:rFonts w:ascii="宋体" w:hAnsi="宋体"/>
                <w:szCs w:val="22"/>
                <w:u w:val="single"/>
              </w:rPr>
              <w:t xml:space="preserve">    </w:t>
            </w:r>
            <w:r>
              <w:rPr>
                <w:rFonts w:ascii="宋体" w:hAnsi="宋体"/>
                <w:u w:val="single"/>
              </w:rPr>
              <w:t xml:space="preserve">     </w:t>
            </w:r>
          </w:p>
          <w:p>
            <w:pPr>
              <w:adjustRightInd w:val="0"/>
              <w:spacing w:line="360" w:lineRule="auto"/>
              <w:jc w:val="left"/>
              <w:rPr>
                <w:rFonts w:ascii="宋体" w:hAnsi="宋体"/>
                <w:u w:val="single"/>
              </w:rPr>
            </w:pPr>
          </w:p>
          <w:p>
            <w:pPr>
              <w:adjustRightInd w:val="0"/>
              <w:spacing w:line="360" w:lineRule="auto"/>
              <w:jc w:val="left"/>
              <w:rPr>
                <w:rFonts w:ascii="宋体" w:hAnsi="宋体"/>
              </w:rPr>
            </w:pPr>
            <w:r>
              <w:rPr>
                <w:rFonts w:hint="eastAsia" w:ascii="宋体" w:hAnsi="宋体"/>
              </w:rPr>
              <w:t>b.最终产品质量情况：</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ascii="宋体" w:hAnsi="宋体"/>
                <w:b/>
                <w:szCs w:val="21"/>
              </w:rPr>
            </w:pPr>
            <w:r>
              <w:rPr>
                <w:rFonts w:hint="eastAsia" w:ascii="宋体" w:hAnsi="宋体"/>
                <w:b/>
                <w:szCs w:val="21"/>
              </w:rPr>
              <w:t xml:space="preserve">       能满足顾客的要求，顾客反应良好，质量较好。</w:t>
            </w:r>
          </w:p>
        </w:tc>
        <w:tc>
          <w:tcPr>
            <w:tcW w:w="1400" w:type="dxa"/>
          </w:tcPr>
          <w:p>
            <w:pPr>
              <w:adjustRightInd w:val="0"/>
              <w:spacing w:line="360" w:lineRule="auto"/>
              <w:jc w:val="left"/>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ascii="宋体" w:hAnsi="宋体"/>
                <w:szCs w:val="21"/>
                <w:u w:val="single"/>
              </w:rPr>
              <w:t xml:space="preserve"> </w:t>
            </w:r>
            <w:r>
              <w:rPr>
                <w:rFonts w:hint="eastAsia" w:ascii="宋体" w:hAnsi="宋体"/>
                <w:szCs w:val="21"/>
                <w:u w:val="single"/>
              </w:rPr>
              <w:t xml:space="preserve"> </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 xml:space="preserve"> </w:t>
            </w:r>
          </w:p>
          <w:p>
            <w:pPr>
              <w:adjustRightInd w:val="0"/>
              <w:spacing w:line="360" w:lineRule="auto"/>
              <w:jc w:val="left"/>
              <w:rPr>
                <w:rFonts w:ascii="宋体" w:hAnsi="宋体"/>
              </w:rPr>
            </w:pPr>
            <w:r>
              <w:rPr>
                <w:rFonts w:hint="eastAsia" w:ascii="宋体" w:hAnsi="宋体"/>
              </w:rPr>
              <w:t>--存在问题：</w:t>
            </w:r>
          </w:p>
          <w:p>
            <w:pPr>
              <w:adjustRightInd w:val="0"/>
              <w:spacing w:line="360" w:lineRule="auto"/>
              <w:jc w:val="left"/>
              <w:rPr>
                <w:rFonts w:ascii="宋体" w:hAnsi="宋体"/>
                <w:szCs w:val="21"/>
              </w:rPr>
            </w:pPr>
            <w:r>
              <w:rPr>
                <w:rFonts w:hint="eastAsia" w:ascii="宋体" w:hAnsi="宋体"/>
                <w:szCs w:val="21"/>
                <w:u w:val="single"/>
              </w:rPr>
              <w:t xml:space="preserve"> </w:t>
            </w:r>
          </w:p>
        </w:tc>
        <w:tc>
          <w:tcPr>
            <w:tcW w:w="1400" w:type="dxa"/>
          </w:tcPr>
          <w:p>
            <w:pPr>
              <w:adjustRightInd w:val="0"/>
              <w:spacing w:line="360" w:lineRule="auto"/>
              <w:jc w:val="lef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 xml:space="preserve">a)重大危险源： </w:t>
            </w:r>
          </w:p>
          <w:p>
            <w:pPr>
              <w:adjustRightInd w:val="0"/>
              <w:spacing w:line="360" w:lineRule="auto"/>
              <w:jc w:val="left"/>
              <w:rPr>
                <w:rFonts w:ascii="宋体" w:hAnsi="宋体"/>
                <w:szCs w:val="21"/>
              </w:rPr>
            </w:pPr>
            <w:r>
              <w:rPr>
                <w:rFonts w:hint="eastAsia" w:ascii="宋体"/>
                <w:u w:val="single"/>
              </w:rPr>
              <w:t>主要存在触电、职业病伤害、机械伤害、火灾、爆炸等重大危险源</w:t>
            </w:r>
            <w:r>
              <w:rPr>
                <w:rFonts w:hint="eastAsia" w:ascii="宋体"/>
                <w:szCs w:val="21"/>
                <w:u w:val="single"/>
              </w:rPr>
              <w:t>。</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运行控制情况:</w:t>
            </w:r>
            <w:r>
              <w:rPr>
                <w:rFonts w:hint="eastAsia" w:ascii="宋体"/>
                <w:u w:val="single"/>
              </w:rPr>
              <w:t xml:space="preserve"> </w:t>
            </w:r>
            <w:r>
              <w:rPr>
                <w:rFonts w:hint="eastAsia" w:ascii="宋体" w:hAnsi="宋体"/>
                <w:u w:val="single"/>
              </w:rPr>
              <w:t>企业通日常检查、制定安全消防管理要求，控制重大风险的发生。</w:t>
            </w:r>
          </w:p>
          <w:p>
            <w:pPr>
              <w:adjustRightInd w:val="0"/>
              <w:spacing w:line="360" w:lineRule="auto"/>
              <w:jc w:val="left"/>
              <w:rPr>
                <w:rFonts w:ascii="宋体" w:hAnsi="宋体"/>
                <w:szCs w:val="21"/>
              </w:rPr>
            </w:pPr>
            <w:r>
              <w:rPr>
                <w:rFonts w:ascii="宋体" w:hAnsi="宋体"/>
                <w:szCs w:val="21"/>
                <w:u w:val="single"/>
              </w:rPr>
              <w:t xml:space="preserve"> </w:t>
            </w:r>
          </w:p>
        </w:tc>
        <w:tc>
          <w:tcPr>
            <w:tcW w:w="1400"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4、查应急预案：</w:t>
            </w:r>
          </w:p>
          <w:p>
            <w:pPr>
              <w:adjustRightInd w:val="0"/>
              <w:spacing w:line="360" w:lineRule="auto"/>
              <w:jc w:val="left"/>
              <w:rPr>
                <w:rFonts w:ascii="宋体" w:hAnsi="宋体"/>
                <w:szCs w:val="21"/>
              </w:rPr>
            </w:pPr>
            <w:r>
              <w:rPr>
                <w:rFonts w:hint="eastAsia" w:ascii="宋体" w:hAnsi="宋体"/>
                <w:szCs w:val="21"/>
              </w:rPr>
              <w:t xml:space="preserve">  有火灾、机械伤害等应急预案，并进行了演练。</w:t>
            </w:r>
          </w:p>
        </w:tc>
        <w:tc>
          <w:tcPr>
            <w:tcW w:w="1400" w:type="dxa"/>
          </w:tcPr>
          <w:p>
            <w:pPr>
              <w:adjustRightInd w:val="0"/>
              <w:spacing w:line="360" w:lineRule="auto"/>
              <w:jc w:val="left"/>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none" w:color="auto" w:sz="0" w:space="1"/>
      </w:pBdr>
      <w:spacing w:line="320" w:lineRule="exact"/>
      <w:ind w:firstLine="720" w:firstLineChars="400"/>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8"/>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B681D"/>
    <w:rsid w:val="000C3ED3"/>
    <w:rsid w:val="00105A91"/>
    <w:rsid w:val="0017552D"/>
    <w:rsid w:val="001A2D7F"/>
    <w:rsid w:val="001A7F36"/>
    <w:rsid w:val="001B046E"/>
    <w:rsid w:val="001D337D"/>
    <w:rsid w:val="001D4C22"/>
    <w:rsid w:val="001F66CC"/>
    <w:rsid w:val="0022253B"/>
    <w:rsid w:val="00337922"/>
    <w:rsid w:val="00337A3B"/>
    <w:rsid w:val="00340867"/>
    <w:rsid w:val="00380837"/>
    <w:rsid w:val="003A2059"/>
    <w:rsid w:val="003C32F3"/>
    <w:rsid w:val="003D5A07"/>
    <w:rsid w:val="00410914"/>
    <w:rsid w:val="0041320E"/>
    <w:rsid w:val="00415094"/>
    <w:rsid w:val="00415B1B"/>
    <w:rsid w:val="00443FD1"/>
    <w:rsid w:val="00451A33"/>
    <w:rsid w:val="004B05CD"/>
    <w:rsid w:val="004C0A15"/>
    <w:rsid w:val="004D7DA2"/>
    <w:rsid w:val="004E2167"/>
    <w:rsid w:val="005010A9"/>
    <w:rsid w:val="005317D0"/>
    <w:rsid w:val="00535804"/>
    <w:rsid w:val="00536930"/>
    <w:rsid w:val="00564E53"/>
    <w:rsid w:val="00604383"/>
    <w:rsid w:val="0063008F"/>
    <w:rsid w:val="00644FE2"/>
    <w:rsid w:val="006522FC"/>
    <w:rsid w:val="0067640C"/>
    <w:rsid w:val="006C013F"/>
    <w:rsid w:val="006E678B"/>
    <w:rsid w:val="006F2303"/>
    <w:rsid w:val="006F3492"/>
    <w:rsid w:val="00704C48"/>
    <w:rsid w:val="00707079"/>
    <w:rsid w:val="00720D57"/>
    <w:rsid w:val="007659CA"/>
    <w:rsid w:val="00767D1E"/>
    <w:rsid w:val="00767D6A"/>
    <w:rsid w:val="007757F3"/>
    <w:rsid w:val="007770E5"/>
    <w:rsid w:val="00777A1C"/>
    <w:rsid w:val="0078015D"/>
    <w:rsid w:val="007A0A3C"/>
    <w:rsid w:val="007B6770"/>
    <w:rsid w:val="007E6AEB"/>
    <w:rsid w:val="007F4EAA"/>
    <w:rsid w:val="00806119"/>
    <w:rsid w:val="00824194"/>
    <w:rsid w:val="00871C15"/>
    <w:rsid w:val="00894A3E"/>
    <w:rsid w:val="008973EE"/>
    <w:rsid w:val="008C7631"/>
    <w:rsid w:val="008C7D6A"/>
    <w:rsid w:val="008E151F"/>
    <w:rsid w:val="008E438A"/>
    <w:rsid w:val="00963B80"/>
    <w:rsid w:val="00971600"/>
    <w:rsid w:val="00977BD1"/>
    <w:rsid w:val="009900C1"/>
    <w:rsid w:val="00991DF1"/>
    <w:rsid w:val="009973B4"/>
    <w:rsid w:val="009D4AA2"/>
    <w:rsid w:val="009F7EED"/>
    <w:rsid w:val="00A165E5"/>
    <w:rsid w:val="00A36241"/>
    <w:rsid w:val="00A36AEB"/>
    <w:rsid w:val="00A5047B"/>
    <w:rsid w:val="00A83A12"/>
    <w:rsid w:val="00AF0AAB"/>
    <w:rsid w:val="00B258C1"/>
    <w:rsid w:val="00B372C3"/>
    <w:rsid w:val="00B76169"/>
    <w:rsid w:val="00BC5B80"/>
    <w:rsid w:val="00BD5DC0"/>
    <w:rsid w:val="00BD7DA6"/>
    <w:rsid w:val="00BF597E"/>
    <w:rsid w:val="00C51A36"/>
    <w:rsid w:val="00C55228"/>
    <w:rsid w:val="00C65DCB"/>
    <w:rsid w:val="00C8266A"/>
    <w:rsid w:val="00CA6BEB"/>
    <w:rsid w:val="00CE315A"/>
    <w:rsid w:val="00D06F59"/>
    <w:rsid w:val="00D15479"/>
    <w:rsid w:val="00D22989"/>
    <w:rsid w:val="00D6037E"/>
    <w:rsid w:val="00D8388C"/>
    <w:rsid w:val="00D95304"/>
    <w:rsid w:val="00DA6B59"/>
    <w:rsid w:val="00DC6669"/>
    <w:rsid w:val="00DE147C"/>
    <w:rsid w:val="00E305F2"/>
    <w:rsid w:val="00EB0164"/>
    <w:rsid w:val="00ED0F62"/>
    <w:rsid w:val="00ED624B"/>
    <w:rsid w:val="00F00A6D"/>
    <w:rsid w:val="00F71ED3"/>
    <w:rsid w:val="108219C2"/>
    <w:rsid w:val="19142F08"/>
    <w:rsid w:val="219514F4"/>
    <w:rsid w:val="44061484"/>
    <w:rsid w:val="485948CC"/>
    <w:rsid w:val="49240F79"/>
    <w:rsid w:val="4A696F93"/>
    <w:rsid w:val="55653B27"/>
    <w:rsid w:val="5EA12B9A"/>
    <w:rsid w:val="60E0365C"/>
    <w:rsid w:val="620B4CEB"/>
    <w:rsid w:val="6A6C18BC"/>
    <w:rsid w:val="78BC3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style>
  <w:style w:type="character" w:styleId="9">
    <w:name w:val="FollowedHyperlink"/>
    <w:basedOn w:val="7"/>
    <w:semiHidden/>
    <w:unhideWhenUsed/>
    <w:qFormat/>
    <w:uiPriority w:val="99"/>
    <w:rPr>
      <w:color w:val="3366CC"/>
      <w:u w:val="none"/>
    </w:rPr>
  </w:style>
  <w:style w:type="character" w:styleId="10">
    <w:name w:val="Emphasis"/>
    <w:basedOn w:val="7"/>
    <w:qFormat/>
    <w:uiPriority w:val="20"/>
    <w:rPr>
      <w:color w:val="FD7012"/>
    </w:rPr>
  </w:style>
  <w:style w:type="character" w:styleId="11">
    <w:name w:val="HTML Definition"/>
    <w:basedOn w:val="7"/>
    <w:semiHidden/>
    <w:unhideWhenUsed/>
    <w:qFormat/>
    <w:uiPriority w:val="99"/>
  </w:style>
  <w:style w:type="character" w:styleId="12">
    <w:name w:val="HTML Variable"/>
    <w:basedOn w:val="7"/>
    <w:semiHidden/>
    <w:unhideWhenUsed/>
    <w:uiPriority w:val="99"/>
  </w:style>
  <w:style w:type="character" w:styleId="13">
    <w:name w:val="Hyperlink"/>
    <w:basedOn w:val="7"/>
    <w:semiHidden/>
    <w:unhideWhenUsed/>
    <w:qFormat/>
    <w:uiPriority w:val="99"/>
    <w:rPr>
      <w:color w:val="3366CC"/>
      <w:u w:val="none"/>
    </w:rPr>
  </w:style>
  <w:style w:type="character" w:styleId="14">
    <w:name w:val="HTML Cite"/>
    <w:basedOn w:val="7"/>
    <w:semiHidden/>
    <w:unhideWhenUsed/>
    <w:qFormat/>
    <w:uiPriority w:val="99"/>
  </w:style>
  <w:style w:type="character" w:customStyle="1" w:styleId="15">
    <w:name w:val="页眉 Char"/>
    <w:basedOn w:val="7"/>
    <w:link w:val="5"/>
    <w:qFormat/>
    <w:uiPriority w:val="99"/>
    <w:rPr>
      <w:rFonts w:ascii="Times New Roman" w:hAnsi="Times New Roman" w:eastAsia="宋体" w:cs="Times New Roman"/>
      <w:sz w:val="18"/>
      <w:szCs w:val="18"/>
    </w:rPr>
  </w:style>
  <w:style w:type="character" w:customStyle="1" w:styleId="16">
    <w:name w:val="页脚 Char"/>
    <w:basedOn w:val="7"/>
    <w:link w:val="4"/>
    <w:qFormat/>
    <w:uiPriority w:val="99"/>
    <w:rPr>
      <w:rFonts w:ascii="Times New Roman" w:hAnsi="Times New Roman" w:eastAsia="宋体" w:cs="Times New Roman"/>
      <w:sz w:val="18"/>
      <w:szCs w:val="18"/>
    </w:rPr>
  </w:style>
  <w:style w:type="character" w:customStyle="1" w:styleId="17">
    <w:name w:val="批注框文本 Char"/>
    <w:basedOn w:val="7"/>
    <w:link w:val="3"/>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列出段落1"/>
    <w:basedOn w:val="1"/>
    <w:qFormat/>
    <w:uiPriority w:val="99"/>
    <w:pPr>
      <w:ind w:firstLine="420" w:firstLineChars="200"/>
    </w:pPr>
    <w:rPr>
      <w:rFonts w:ascii="Calibri" w:hAnsi="Calibri"/>
      <w:szCs w:val="22"/>
    </w:rPr>
  </w:style>
  <w:style w:type="character" w:customStyle="1" w:styleId="20">
    <w:name w:val="page_num"/>
    <w:basedOn w:val="7"/>
    <w:qFormat/>
    <w:uiPriority w:val="0"/>
    <w:rPr>
      <w:b/>
      <w:color w:va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Words>
  <Characters>1470</Characters>
  <Lines>12</Lines>
  <Paragraphs>3</Paragraphs>
  <TotalTime>0</TotalTime>
  <ScaleCrop>false</ScaleCrop>
  <LinksUpToDate>false</LinksUpToDate>
  <CharactersWithSpaces>1724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cp:lastPrinted>2019-06-14T02:57:00Z</cp:lastPrinted>
  <dcterms:modified xsi:type="dcterms:W3CDTF">2020-10-09T06:54:57Z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