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6"/>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江西潘峰家居有限公司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15"/>
            <w:r>
              <w:rPr>
                <w:rFonts w:hint="eastAsia"/>
                <w:b/>
                <w:szCs w:val="21"/>
              </w:rPr>
              <w:t>■</w:t>
            </w:r>
            <w:bookmarkEnd w:id="1"/>
            <w:r>
              <w:rPr>
                <w:b/>
                <w:spacing w:val="-2"/>
                <w:szCs w:val="21"/>
              </w:rPr>
              <w:t>QMS</w:t>
            </w:r>
            <w:bookmarkStart w:id="2" w:name="QJ勾选"/>
            <w:r>
              <w:rPr>
                <w:rFonts w:hint="eastAsia"/>
                <w:b/>
                <w:szCs w:val="21"/>
              </w:rPr>
              <w:t>□</w:t>
            </w:r>
            <w:bookmarkEnd w:id="2"/>
            <w:r>
              <w:rPr>
                <w:rFonts w:hint="eastAsia"/>
                <w:b/>
                <w:szCs w:val="21"/>
              </w:rPr>
              <w:t>5</w:t>
            </w:r>
            <w:r>
              <w:rPr>
                <w:b/>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p>
          <w:p>
            <w:bookmarkStart w:id="5" w:name="审核类型"/>
            <w:r>
              <w:rPr>
                <w:rFonts w:hint="eastAsia"/>
                <w:b/>
                <w:szCs w:val="21"/>
              </w:rPr>
              <w:t>Q:监查1,E:监查1,O:监查1</w:t>
            </w:r>
            <w:bookmarkEnd w:id="5"/>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12" w:hRule="exact"/>
          <w:jc w:val="center"/>
        </w:trPr>
        <w:tc>
          <w:tcPr>
            <w:tcW w:w="900" w:type="dxa"/>
            <w:tcBorders>
              <w:right w:val="single" w:color="auto" w:sz="4" w:space="0"/>
            </w:tcBorders>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w:t>
            </w:r>
          </w:p>
        </w:tc>
        <w:tc>
          <w:tcPr>
            <w:tcW w:w="6990" w:type="dxa"/>
            <w:gridSpan w:val="2"/>
            <w:tcBorders>
              <w:left w:val="single" w:color="auto" w:sz="4" w:space="0"/>
              <w:right w:val="single" w:color="auto" w:sz="4" w:space="0"/>
            </w:tcBorders>
            <w:vAlign w:val="center"/>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查组织编制了有关职业健康安全体系涉及的对采购过程的相关要求和规定（含程序文件）、 但对承包商选择、评价、再选择的要求中包含对“职业健康安全绩效”要求的信息不够明确；</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另</w:t>
            </w:r>
            <w:r>
              <w:rPr>
                <w:rFonts w:hint="eastAsia" w:ascii="Times New Roman" w:hAnsi="Times New Roman" w:eastAsia="宋体" w:cs="Times New Roman"/>
                <w:szCs w:val="22"/>
                <w:lang w:val="en-US" w:eastAsia="zh-CN"/>
              </w:rPr>
              <w:t>查《供方调查评价表》其中包含的“职业健康安全准则”内容及评价结果——内容不够具体</w:t>
            </w:r>
            <w:bookmarkStart w:id="6" w:name="_GoBack"/>
            <w:bookmarkEnd w:id="6"/>
            <w:r>
              <w:rPr>
                <w:rFonts w:hint="eastAsia" w:ascii="Times New Roman" w:hAnsi="Times New Roman" w:eastAsia="宋体" w:cs="Times New Roman"/>
                <w:szCs w:val="22"/>
                <w:lang w:val="en-US" w:eastAsia="zh-CN"/>
              </w:rPr>
              <w:t>充分；</w:t>
            </w:r>
          </w:p>
        </w:tc>
        <w:tc>
          <w:tcPr>
            <w:tcW w:w="2033" w:type="dxa"/>
            <w:tcBorders>
              <w:left w:val="single" w:color="auto" w:sz="4" w:space="0"/>
            </w:tcBorders>
            <w:vAlign w:val="center"/>
          </w:tcPr>
          <w:p>
            <w:pPr>
              <w:jc w:val="center"/>
              <w:rPr>
                <w:rFonts w:ascii="方正仿宋简体" w:eastAsia="方正仿宋简体"/>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sz w:val="18"/>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sz w:val="18"/>
      </w:rPr>
      <w:t>北京国标联合认证有限公司</w:t>
    </w:r>
    <w:r>
      <w:rPr>
        <w:rStyle w:val="10"/>
        <w:rFonts w:hint="default"/>
        <w:sz w:val="18"/>
      </w:rPr>
      <w:tab/>
    </w:r>
    <w:r>
      <w:rPr>
        <w:rStyle w:val="10"/>
        <w:rFonts w:hint="default"/>
        <w:sz w:val="18"/>
      </w:rPr>
      <w:tab/>
    </w:r>
    <w:r>
      <w:rPr>
        <w:rStyle w:val="10"/>
        <w:rFonts w:hint="default"/>
        <w:sz w:val="18"/>
      </w:rPr>
      <w:tab/>
    </w:r>
  </w:p>
  <w:p>
    <w:pPr>
      <w:pStyle w:val="4"/>
      <w:pBdr>
        <w:bottom w:val="none" w:color="auto" w:sz="0" w:space="0"/>
      </w:pBdr>
      <w:spacing w:line="320" w:lineRule="exact"/>
      <w:jc w:val="left"/>
    </w:pPr>
    <w:r>
      <w:pict>
        <v:shape id="_x0000_s2049" o:spid="_x0000_s2049" o:spt="202" type="#_x0000_t202" style="position:absolute;left:0pt;margin-left:350.25pt;margin-top:2.2pt;height:20.2pt;width:13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8</w:t>
                </w:r>
                <w:r>
                  <w:rPr>
                    <w:rFonts w:hint="eastAsia"/>
                    <w:sz w:val="18"/>
                    <w:szCs w:val="18"/>
                  </w:rPr>
                  <w:t xml:space="preserve"> 观察项(03版)</w:t>
                </w:r>
              </w:p>
            </w:txbxContent>
          </v:textbox>
        </v:shape>
      </w:pict>
    </w:r>
    <w:r>
      <w:rPr>
        <w:rStyle w:val="10"/>
        <w:rFonts w:hint="default"/>
        <w:sz w:val="18"/>
      </w:rPr>
      <w:t xml:space="preserve">        </w:t>
    </w:r>
    <w:r>
      <w:rPr>
        <w:rStyle w:val="10"/>
        <w:rFonts w:hint="default"/>
        <w:w w:val="90"/>
        <w:sz w:val="18"/>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r>
      <w:pict>
        <v:shape id="_x0000_s2050" o:spid="_x0000_s2050" o:spt="32" type="#_x0000_t32" style="position:absolute;left:0pt;margin-left:-0.05pt;margin-top:10.65pt;height:0pt;width:489.05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12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rFonts w:ascii="Times New Roman" w:hAnsi="Times New Roman" w:eastAsia="宋体" w:cs="Times New Roman"/>
      <w:kern w:val="2"/>
      <w:sz w:val="18"/>
      <w:szCs w:val="18"/>
    </w:rPr>
  </w:style>
  <w:style w:type="character" w:customStyle="1" w:styleId="9">
    <w:name w:val="页脚 字符"/>
    <w:basedOn w:val="7"/>
    <w:link w:val="3"/>
    <w:qFormat/>
    <w:uiPriority w:val="99"/>
    <w:rPr>
      <w:rFonts w:ascii="Times New Roman" w:hAnsi="Times New Roman" w:eastAsia="宋体" w:cs="Times New Roman"/>
      <w:kern w:val="2"/>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25</Words>
  <Characters>143</Characters>
  <Lines>1</Lines>
  <Paragraphs>1</Paragraphs>
  <TotalTime>2</TotalTime>
  <ScaleCrop>false</ScaleCrop>
  <LinksUpToDate>false</LinksUpToDate>
  <CharactersWithSpaces>167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TonyJiang</cp:lastModifiedBy>
  <dcterms:modified xsi:type="dcterms:W3CDTF">2020-10-13T07:24:29Z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