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抽样计划</w:t>
            </w:r>
          </w:p>
        </w:tc>
        <w:tc>
          <w:tcPr>
            <w:tcW w:w="1276"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涉及条款</w:t>
            </w:r>
          </w:p>
        </w:tc>
        <w:tc>
          <w:tcPr>
            <w:tcW w:w="10606"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受审核部</w:t>
            </w:r>
            <w:bookmarkStart w:id="0" w:name="_GoBack"/>
            <w:bookmarkEnd w:id="0"/>
            <w:r>
              <w:rPr>
                <w:rFonts w:hint="eastAsia" w:asciiTheme="minorEastAsia" w:hAnsiTheme="minorEastAsia" w:eastAsiaTheme="minorEastAsia" w:cstheme="minorEastAsia"/>
                <w:sz w:val="24"/>
                <w:szCs w:val="24"/>
              </w:rPr>
              <w:t>门：</w:t>
            </w:r>
            <w:r>
              <w:rPr>
                <w:rFonts w:hint="eastAsia" w:asciiTheme="minorEastAsia" w:hAnsiTheme="minorEastAsia" w:eastAsiaTheme="minorEastAsia" w:cstheme="minorEastAsia"/>
                <w:sz w:val="24"/>
                <w:szCs w:val="24"/>
                <w:lang w:val="en-US" w:eastAsia="zh-CN"/>
              </w:rPr>
              <w:t>行政部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Cs w:val="24"/>
                <w:highlight w:val="none"/>
                <w:lang w:val="en-US" w:eastAsia="zh-CN"/>
              </w:rPr>
              <w:t>吴燕</w:t>
            </w:r>
            <w:r>
              <w:rPr>
                <w:rFonts w:hint="eastAsia" w:asciiTheme="minorEastAsia" w:hAnsiTheme="minorEastAsia" w:eastAsiaTheme="minorEastAsia" w:cstheme="minorEastAsia"/>
                <w:sz w:val="24"/>
                <w:szCs w:val="24"/>
              </w:rPr>
              <w:t xml:space="preserve">     陪同人员：</w:t>
            </w:r>
            <w:r>
              <w:rPr>
                <w:rFonts w:hint="eastAsia" w:asciiTheme="minorEastAsia" w:hAnsiTheme="minorEastAsia" w:eastAsiaTheme="minorEastAsia" w:cstheme="minorEastAsia"/>
                <w:sz w:val="24"/>
                <w:szCs w:val="24"/>
                <w:lang w:val="en-US" w:eastAsia="zh-CN"/>
              </w:rPr>
              <w:t>罗泽兵</w:t>
            </w:r>
          </w:p>
        </w:tc>
        <w:tc>
          <w:tcPr>
            <w:tcW w:w="1585"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0606" w:type="dxa"/>
            <w:vAlign w:val="center"/>
          </w:tcPr>
          <w:p>
            <w:pPr>
              <w:spacing w:before="12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审核员： </w:t>
            </w:r>
            <w:r>
              <w:rPr>
                <w:rFonts w:hint="eastAsia" w:asciiTheme="minorEastAsia" w:hAnsiTheme="minorEastAsia" w:eastAsiaTheme="minorEastAsia" w:cstheme="minorEastAsia"/>
                <w:sz w:val="24"/>
                <w:szCs w:val="24"/>
                <w:lang w:eastAsia="zh-CN"/>
              </w:rPr>
              <w:t>王景玲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审核时间：20</w:t>
            </w:r>
            <w:r>
              <w:rPr>
                <w:rFonts w:hint="eastAsia" w:asciiTheme="minorEastAsia" w:hAnsiTheme="minorEastAsia" w:eastAsiaTheme="minorEastAsia" w:cstheme="minorEastAsia"/>
                <w:sz w:val="24"/>
                <w:szCs w:val="24"/>
                <w:lang w:val="en-US" w:eastAsia="zh-CN"/>
              </w:rPr>
              <w:t>20年10月13日--14日</w:t>
            </w:r>
          </w:p>
        </w:tc>
        <w:tc>
          <w:tcPr>
            <w:tcW w:w="1585" w:type="dxa"/>
            <w:vMerge w:val="continue"/>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0606"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审核条款：</w:t>
            </w:r>
            <w:r>
              <w:rPr>
                <w:rFonts w:hint="eastAsia" w:ascii="宋体" w:hAnsi="宋体" w:cs="Arial"/>
                <w:sz w:val="21"/>
                <w:szCs w:val="21"/>
              </w:rPr>
              <w:t>QMS: 5.3组织的岗位、职责和权限、6.2质量目标、7.1.2人员、7.1.6组织知识、7.2能力、7.3意识、7.5.1形成文件的信息总则、7.5.2形成文件的信息的创建和更新、7.5.3形成文件的信息的控制、</w:t>
            </w:r>
            <w:r>
              <w:rPr>
                <w:rFonts w:hint="eastAsia" w:ascii="宋体" w:hAnsi="宋体" w:cs="Arial"/>
                <w:spacing w:val="-6"/>
                <w:sz w:val="21"/>
                <w:szCs w:val="21"/>
              </w:rPr>
              <w:t>9.1.1监视、测量、分析和评价总则</w:t>
            </w:r>
            <w:r>
              <w:rPr>
                <w:rFonts w:hint="eastAsia" w:ascii="宋体" w:hAnsi="宋体" w:cs="Arial"/>
                <w:sz w:val="21"/>
                <w:szCs w:val="21"/>
              </w:rPr>
              <w:t>、9.1.3分析与评价、9.2 内部审核、10.2不合格和纠正措施</w:t>
            </w:r>
          </w:p>
        </w:tc>
        <w:tc>
          <w:tcPr>
            <w:tcW w:w="1585" w:type="dxa"/>
            <w:vMerge w:val="continue"/>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1242" w:type="dxa"/>
            <w:vAlign w:val="center"/>
          </w:tcPr>
          <w:p>
            <w:pPr>
              <w:spacing w:line="360" w:lineRule="auto"/>
              <w:rPr>
                <w:rFonts w:hint="eastAsia" w:asciiTheme="minorEastAsia" w:hAnsiTheme="minorEastAsia" w:eastAsiaTheme="minorEastAsia" w:cstheme="minorEastAsia"/>
                <w:b/>
                <w:sz w:val="24"/>
                <w:szCs w:val="24"/>
              </w:rPr>
            </w:pPr>
            <w:r>
              <w:rPr>
                <w:rFonts w:hint="eastAsia" w:ascii="宋体" w:hAnsi="宋体" w:cs="Arial"/>
                <w:sz w:val="21"/>
                <w:szCs w:val="21"/>
              </w:rPr>
              <w:t>组织的岗位、职责和权限</w:t>
            </w: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宋体" w:hAnsi="宋体" w:cs="Arial"/>
                <w:sz w:val="21"/>
                <w:szCs w:val="21"/>
                <w:u w:val="none"/>
              </w:rPr>
              <w:t>:</w:t>
            </w:r>
            <w:r>
              <w:rPr>
                <w:rFonts w:hint="eastAsia" w:asciiTheme="minorEastAsia" w:hAnsiTheme="minorEastAsia" w:eastAsiaTheme="minorEastAsia" w:cstheme="minorEastAsia"/>
                <w:sz w:val="24"/>
                <w:szCs w:val="24"/>
              </w:rPr>
              <w:t>5.3</w:t>
            </w:r>
          </w:p>
        </w:tc>
        <w:tc>
          <w:tcPr>
            <w:tcW w:w="10606" w:type="dxa"/>
          </w:tcPr>
          <w:p>
            <w:pPr>
              <w:spacing w:before="215" w:beforeLines="69" w:line="240" w:lineRule="auto"/>
              <w:rPr>
                <w:rFonts w:hint="eastAsia"/>
              </w:rPr>
            </w:pPr>
            <w:r>
              <w:rPr>
                <w:rFonts w:hint="eastAsia"/>
              </w:rPr>
              <w:t>现场审核了解到</w:t>
            </w:r>
            <w:r>
              <w:rPr>
                <w:rFonts w:hint="eastAsia"/>
                <w:lang w:val="en-US" w:eastAsia="zh-CN"/>
              </w:rPr>
              <w:t>行政部门</w:t>
            </w:r>
            <w:r>
              <w:rPr>
                <w:rFonts w:hint="eastAsia"/>
              </w:rPr>
              <w:t>主要负责：</w:t>
            </w:r>
          </w:p>
          <w:p>
            <w:pPr>
              <w:spacing w:before="215" w:beforeLines="69" w:line="240" w:lineRule="auto"/>
              <w:rPr>
                <w:rFonts w:hint="eastAsia"/>
              </w:rPr>
            </w:pPr>
            <w:r>
              <w:rPr>
                <w:rFonts w:hint="eastAsia"/>
              </w:rPr>
              <w:t>1）文件发放、回收的管理；</w:t>
            </w:r>
          </w:p>
          <w:p>
            <w:pPr>
              <w:spacing w:before="215" w:beforeLines="69" w:line="240" w:lineRule="auto"/>
              <w:rPr>
                <w:rFonts w:hint="eastAsia"/>
              </w:rPr>
            </w:pPr>
            <w:r>
              <w:rPr>
                <w:rFonts w:hint="eastAsia"/>
              </w:rPr>
              <w:t>2）负责人员的选择，并根据各部门的需求进行安排，编制相应的岗位工作入职要求；</w:t>
            </w:r>
          </w:p>
          <w:p>
            <w:pPr>
              <w:spacing w:before="215" w:beforeLines="69" w:line="240" w:lineRule="auto"/>
              <w:rPr>
                <w:rFonts w:hint="eastAsia"/>
              </w:rPr>
            </w:pPr>
            <w:r>
              <w:rPr>
                <w:rFonts w:hint="eastAsia"/>
              </w:rPr>
              <w:t>3）组织对各类人员进行有针对性的培训、考核及评价工作，不断提高质量、环境、职业安全健康意识素质和技能；</w:t>
            </w:r>
          </w:p>
          <w:p>
            <w:pPr>
              <w:spacing w:before="215" w:beforeLines="69" w:line="240" w:lineRule="auto"/>
              <w:rPr>
                <w:rFonts w:hint="eastAsia"/>
              </w:rPr>
            </w:pPr>
            <w:r>
              <w:rPr>
                <w:rFonts w:hint="eastAsia"/>
              </w:rPr>
              <w:t>4）负责法律、法规及其他要求的获取及识别其适用性，并负责法律、法规及其他要求的发放；</w:t>
            </w:r>
          </w:p>
          <w:p>
            <w:pPr>
              <w:spacing w:before="215" w:beforeLines="69" w:line="240" w:lineRule="auto"/>
              <w:rPr>
                <w:rFonts w:hint="eastAsia"/>
              </w:rPr>
            </w:pPr>
            <w:r>
              <w:rPr>
                <w:rFonts w:hint="eastAsia"/>
                <w:lang w:val="en-US" w:eastAsia="zh-CN"/>
              </w:rPr>
              <w:t>5</w:t>
            </w:r>
            <w:r>
              <w:rPr>
                <w:rFonts w:hint="eastAsia"/>
              </w:rPr>
              <w:t>）负责监督检查工作场所的工作环境情况；</w:t>
            </w:r>
          </w:p>
          <w:p>
            <w:pPr>
              <w:spacing w:before="215" w:beforeLines="69" w:line="240" w:lineRule="auto"/>
              <w:rPr>
                <w:rFonts w:hint="eastAsia"/>
              </w:rPr>
            </w:pPr>
            <w:r>
              <w:rPr>
                <w:rFonts w:hint="eastAsia"/>
                <w:lang w:val="en-US" w:eastAsia="zh-CN"/>
              </w:rPr>
              <w:t>6</w:t>
            </w:r>
            <w:r>
              <w:rPr>
                <w:rFonts w:hint="eastAsia"/>
              </w:rPr>
              <w:t>）负责公司范围内的应急准备和相应计划的制定及可行性的应急演练。</w:t>
            </w:r>
          </w:p>
          <w:p>
            <w:pPr>
              <w:spacing w:before="215" w:beforeLines="69" w:line="240" w:lineRule="auto"/>
              <w:rPr>
                <w:rFonts w:hint="eastAsia"/>
              </w:rPr>
            </w:pPr>
            <w:r>
              <w:rPr>
                <w:rFonts w:hint="eastAsia"/>
                <w:lang w:val="en-US" w:eastAsia="zh-CN"/>
              </w:rPr>
              <w:t>7</w:t>
            </w:r>
            <w:r>
              <w:rPr>
                <w:rFonts w:hint="eastAsia"/>
              </w:rPr>
              <w:t>）负责监督检查公司各职能部门有关层次上的管理目标的分解、实施及管理方案的制定、检查与实施。</w:t>
            </w:r>
          </w:p>
          <w:p>
            <w:pPr>
              <w:spacing w:before="215" w:beforeLines="69" w:line="240" w:lineRule="auto"/>
              <w:rPr>
                <w:rFonts w:hint="eastAsia"/>
              </w:rPr>
            </w:pPr>
            <w:r>
              <w:rPr>
                <w:rFonts w:hint="eastAsia"/>
                <w:lang w:val="en-US" w:eastAsia="zh-CN"/>
              </w:rPr>
              <w:t>8</w:t>
            </w:r>
            <w:r>
              <w:rPr>
                <w:rFonts w:hint="eastAsia"/>
              </w:rPr>
              <w:t>）负责收集、整理和保管本部门的质量记录以及相关数据收集、传递和交流；</w:t>
            </w:r>
          </w:p>
          <w:p>
            <w:pPr>
              <w:spacing w:before="215" w:beforeLines="69" w:line="240" w:lineRule="auto"/>
              <w:rPr>
                <w:rFonts w:hint="eastAsia"/>
              </w:rPr>
            </w:pPr>
            <w:r>
              <w:rPr>
                <w:rFonts w:hint="eastAsia"/>
                <w:lang w:val="en-US" w:eastAsia="zh-CN"/>
              </w:rPr>
              <w:t>9</w:t>
            </w:r>
            <w:r>
              <w:rPr>
                <w:rFonts w:hint="eastAsia"/>
              </w:rPr>
              <w:t>）收集、整理和保管本部门的质量记录、对相关的数据收集传递和交流；</w:t>
            </w:r>
          </w:p>
          <w:p>
            <w:pPr>
              <w:spacing w:before="215" w:beforeLines="69" w:line="240" w:lineRule="auto"/>
              <w:rPr>
                <w:rFonts w:hint="eastAsia"/>
              </w:rPr>
            </w:pPr>
            <w:r>
              <w:rPr>
                <w:rFonts w:hint="eastAsia"/>
              </w:rPr>
              <w:t>1</w:t>
            </w:r>
            <w:r>
              <w:rPr>
                <w:rFonts w:hint="eastAsia"/>
                <w:lang w:val="en-US" w:eastAsia="zh-CN"/>
              </w:rPr>
              <w:t>0</w:t>
            </w:r>
            <w:r>
              <w:rPr>
                <w:rFonts w:hint="eastAsia"/>
              </w:rPr>
              <w:t>）公司固定资产（基础设施）账务管理；</w:t>
            </w:r>
          </w:p>
          <w:p>
            <w:pPr>
              <w:spacing w:before="215" w:beforeLines="69" w:line="240" w:lineRule="auto"/>
              <w:rPr>
                <w:rFonts w:hint="eastAsia"/>
              </w:rPr>
            </w:pPr>
            <w:r>
              <w:rPr>
                <w:rFonts w:hint="eastAsia"/>
              </w:rPr>
              <w:t>1</w:t>
            </w:r>
            <w:r>
              <w:rPr>
                <w:rFonts w:hint="eastAsia"/>
                <w:lang w:val="en-US" w:eastAsia="zh-CN"/>
              </w:rPr>
              <w:t>1</w:t>
            </w:r>
            <w:r>
              <w:rPr>
                <w:rFonts w:hint="eastAsia"/>
              </w:rPr>
              <w:t>）参与质量、环境、职业健康安全管理方案中的经济、技术、成本分析活动；</w:t>
            </w:r>
          </w:p>
          <w:p>
            <w:pPr>
              <w:spacing w:before="215" w:beforeLines="69" w:line="240" w:lineRule="auto"/>
              <w:rPr>
                <w:rFonts w:hint="eastAsia"/>
              </w:rPr>
            </w:pPr>
            <w:r>
              <w:rPr>
                <w:rFonts w:hint="eastAsia"/>
              </w:rPr>
              <w:t>1</w:t>
            </w:r>
            <w:r>
              <w:rPr>
                <w:rFonts w:hint="eastAsia"/>
                <w:lang w:val="en-US" w:eastAsia="zh-CN"/>
              </w:rPr>
              <w:t>2</w:t>
            </w:r>
            <w:r>
              <w:rPr>
                <w:rFonts w:hint="eastAsia"/>
              </w:rPr>
              <w:t>）为建立、实施并持续改进管理体系提供资金支持。手册中职能分配表已经明确规定。</w:t>
            </w:r>
          </w:p>
          <w:p>
            <w:pPr>
              <w:pStyle w:val="2"/>
              <w:rPr>
                <w:rFonts w:hint="eastAsia"/>
              </w:rPr>
            </w:pPr>
            <w:r>
              <w:rPr>
                <w:rFonts w:hint="eastAsia" w:ascii="Times New Roman" w:hAnsi="Times New Roman" w:eastAsia="宋体" w:cs="Times New Roman"/>
                <w:bCs w:val="0"/>
                <w:spacing w:val="0"/>
                <w:kern w:val="2"/>
                <w:sz w:val="21"/>
                <w:szCs w:val="22"/>
                <w:lang w:val="en-US" w:eastAsia="zh-CN" w:bidi="ar-SA"/>
              </w:rPr>
              <w:t>与部门负责人吴燕沟通，描述的职责和权限与一体化管理体系的职能分配表基本一致。</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宋体" w:hAnsi="宋体" w:cs="Arial"/>
                <w:sz w:val="21"/>
                <w:szCs w:val="21"/>
              </w:rPr>
              <w:t>质量目标</w:t>
            </w: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宋体" w:hAnsi="宋体" w:cs="Arial"/>
                <w:sz w:val="21"/>
                <w:szCs w:val="21"/>
                <w:u w:val="none"/>
              </w:rPr>
              <w:t>:</w:t>
            </w:r>
            <w:r>
              <w:rPr>
                <w:rFonts w:hint="eastAsia" w:asciiTheme="minorEastAsia" w:hAnsiTheme="minorEastAsia" w:eastAsiaTheme="minorEastAsia" w:cstheme="minorEastAsia"/>
                <w:sz w:val="24"/>
                <w:szCs w:val="24"/>
              </w:rPr>
              <w:t>6.2</w:t>
            </w:r>
          </w:p>
        </w:tc>
        <w:tc>
          <w:tcPr>
            <w:tcW w:w="10606" w:type="dxa"/>
            <w:vAlign w:val="center"/>
          </w:tcPr>
          <w:p>
            <w:pPr>
              <w:autoSpaceDE w:val="0"/>
              <w:autoSpaceDN w:val="0"/>
              <w:spacing w:line="36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查行政部目标：</w:t>
            </w:r>
          </w:p>
          <w:p>
            <w:pPr>
              <w:numPr>
                <w:ilvl w:val="0"/>
                <w:numId w:val="0"/>
              </w:numPr>
              <w:autoSpaceDE w:val="0"/>
              <w:autoSpaceDN w:val="0"/>
              <w:spacing w:line="36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1.文件使用有效率100%；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2.培训合格率达100%；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3.触电、火灾事故为0；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4.固废分类处置率100%；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5.环保、安全资金提供及时率100%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部门目标完成情况：</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1.文件受控100%（有效使用数÷总数×100%）；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2.培训合格100%；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3.触电、火灾事故为0；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4.固废分类处置率100%；</w:t>
            </w:r>
          </w:p>
          <w:p>
            <w:pPr>
              <w:pStyle w:val="2"/>
              <w:numPr>
                <w:ilvl w:val="0"/>
                <w:numId w:val="0"/>
              </w:num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5.环保、安全资金提供及时率100%</w:t>
            </w:r>
          </w:p>
          <w:p>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考核情况：经查</w:t>
            </w:r>
            <w:r>
              <w:rPr>
                <w:rFonts w:hint="eastAsia" w:eastAsiaTheme="minorEastAsia"/>
                <w:sz w:val="21"/>
                <w:szCs w:val="21"/>
              </w:rPr>
              <w:t>2020.</w:t>
            </w:r>
            <w:r>
              <w:rPr>
                <w:rFonts w:hint="eastAsia" w:eastAsiaTheme="minorEastAsia"/>
                <w:sz w:val="21"/>
                <w:szCs w:val="21"/>
                <w:lang w:val="en-US" w:eastAsia="zh-CN"/>
              </w:rPr>
              <w:t>9</w:t>
            </w:r>
            <w:r>
              <w:rPr>
                <w:rFonts w:hint="eastAsia" w:eastAsiaTheme="minorEastAsia"/>
                <w:sz w:val="21"/>
                <w:szCs w:val="21"/>
              </w:rPr>
              <w:t>.2</w:t>
            </w:r>
            <w:r>
              <w:rPr>
                <w:rFonts w:hint="eastAsia" w:eastAsiaTheme="minorEastAsia"/>
                <w:sz w:val="21"/>
                <w:szCs w:val="21"/>
                <w:lang w:val="en-US" w:eastAsia="zh-CN"/>
              </w:rPr>
              <w:t>9</w:t>
            </w:r>
            <w:r>
              <w:rPr>
                <w:rFonts w:hint="eastAsia" w:eastAsiaTheme="minorEastAsia"/>
                <w:sz w:val="21"/>
                <w:szCs w:val="21"/>
              </w:rPr>
              <w:t>质</w:t>
            </w:r>
            <w:r>
              <w:rPr>
                <w:rFonts w:hint="eastAsia" w:asciiTheme="minorEastAsia" w:hAnsiTheme="minorEastAsia" w:eastAsiaTheme="minorEastAsia" w:cstheme="minorEastAsia"/>
                <w:sz w:val="21"/>
                <w:szCs w:val="21"/>
              </w:rPr>
              <w:t>量目标分解考核表，各目标达成要求。</w:t>
            </w:r>
            <w:r>
              <w:rPr>
                <w:rFonts w:hint="eastAsia" w:asciiTheme="minorEastAsia" w:hAnsiTheme="minorEastAsia" w:eastAsiaTheme="minorEastAsia" w:cstheme="minorEastAsia"/>
                <w:sz w:val="21"/>
                <w:szCs w:val="21"/>
                <w:lang w:val="en-US" w:eastAsia="zh-CN"/>
              </w:rPr>
              <w:t xml:space="preserve"> </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adjustRightInd w:val="0"/>
              <w:snapToGrid w:val="0"/>
              <w:jc w:val="both"/>
              <w:rPr>
                <w:rFonts w:hint="eastAsia" w:ascii="宋体" w:hAnsi="宋体" w:cs="Arial"/>
                <w:sz w:val="21"/>
                <w:szCs w:val="21"/>
              </w:rPr>
            </w:pPr>
            <w:r>
              <w:rPr>
                <w:rFonts w:hint="eastAsia" w:ascii="Times New Roman" w:cs="Times New Roman" w:hAnsiTheme="minorEastAsia" w:eastAsiaTheme="minorEastAsia"/>
                <w:sz w:val="21"/>
                <w:szCs w:val="21"/>
              </w:rPr>
              <w:t>人员</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Q:7.1.</w:t>
            </w:r>
            <w:r>
              <w:rPr>
                <w:rFonts w:hint="eastAsia" w:ascii="宋体" w:hAnsi="宋体" w:cs="Arial"/>
                <w:sz w:val="21"/>
                <w:szCs w:val="21"/>
                <w:u w:val="none"/>
                <w:lang w:val="en-US" w:eastAsia="zh-CN"/>
              </w:rPr>
              <w:t>2</w:t>
            </w:r>
          </w:p>
        </w:tc>
        <w:tc>
          <w:tcPr>
            <w:tcW w:w="10606" w:type="dxa"/>
            <w:vAlign w:val="top"/>
          </w:tcPr>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编制文件编号：PFJJ-CX03-2020《人力资源控制程序》，规定了人力资源配备、培训计划与实施，考核与认可等予以规定。</w:t>
            </w:r>
          </w:p>
          <w:p>
            <w:pPr>
              <w:pStyle w:val="5"/>
              <w:widowControl/>
              <w:ind w:firstLine="460" w:firstLineChars="20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编制《人力资源管理规划》等三层作业文件，部门又根据自己部门的特点提供《各部门负责人职责和任职要求》及《绩效考核规定》，对员工的绩效进行考核，并与员工的工资相挂钩，查2020年6月26日的考核记录，考核结果基本达成设定的目标值，考核基本与办法保持一致。编制《岗位工作人员任职资格》，对总经理、管代、内审员、销售员、研发、技术、质量等岗位人员的任职要求从能力、意识、学历、经历、技能等方面作出规定。</w:t>
            </w:r>
          </w:p>
          <w:p>
            <w:pPr>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人员配置基本满足日常管理体系运行要求。</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jc w:val="both"/>
              <w:rPr>
                <w:rFonts w:hint="eastAsia" w:ascii="宋体" w:hAnsi="宋体" w:cs="Arial"/>
                <w:sz w:val="21"/>
                <w:szCs w:val="21"/>
              </w:rPr>
            </w:pPr>
            <w:r>
              <w:rPr>
                <w:rFonts w:hint="eastAsia" w:hAnsiTheme="minorEastAsia" w:eastAsiaTheme="minorEastAsia"/>
                <w:sz w:val="21"/>
                <w:szCs w:val="21"/>
              </w:rPr>
              <w:t>组织知识</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Q:7.1.6</w:t>
            </w:r>
          </w:p>
        </w:tc>
        <w:tc>
          <w:tcPr>
            <w:tcW w:w="10606" w:type="dxa"/>
            <w:vAlign w:val="top"/>
          </w:tcPr>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企业确定运行过程所需要的知识，包括内部知识、外部知识。</w:t>
            </w:r>
          </w:p>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经组织识别，组织内外部知识包括：外部知识、专业知识、管理经验、教训等。</w:t>
            </w:r>
          </w:p>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现场看到组织各部门层次基本有相应的管理制度、岗位职责、工作要求等组织内部知识。此外还通过文件发放、会议传达、专题培训等方式进行内部知识的获得、交流和更新等。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企业知识在部门管理基本符合标准要求。</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jc w:val="both"/>
              <w:rPr>
                <w:rFonts w:hint="eastAsia" w:ascii="宋体" w:hAnsi="宋体" w:cs="Arial"/>
                <w:sz w:val="21"/>
                <w:szCs w:val="21"/>
              </w:rPr>
            </w:pPr>
            <w:r>
              <w:rPr>
                <w:rFonts w:hint="eastAsia" w:hAnsiTheme="minorEastAsia" w:eastAsiaTheme="minorEastAsia"/>
                <w:sz w:val="21"/>
                <w:szCs w:val="21"/>
              </w:rPr>
              <w:t>人力资源、能力、意识</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Q:7.2、7.3</w:t>
            </w:r>
          </w:p>
        </w:tc>
        <w:tc>
          <w:tcPr>
            <w:tcW w:w="10606" w:type="dxa"/>
            <w:vAlign w:val="top"/>
          </w:tcPr>
          <w:p>
            <w:pPr>
              <w:spacing w:line="360" w:lineRule="auto"/>
              <w:ind w:firstLine="420"/>
            </w:pPr>
            <w:r>
              <w:t>编制执行</w:t>
            </w:r>
            <w:r>
              <w:rPr>
                <w:rFonts w:hint="eastAsia"/>
                <w:lang w:val="en-US" w:eastAsia="zh-CN"/>
              </w:rPr>
              <w:t>PFJJ-CX03-2020</w:t>
            </w:r>
            <w:r>
              <w:t>《人力资源控制程序》，规定了人力资源配备、培训计划与实施，考核与认可等予以规定。</w:t>
            </w:r>
          </w:p>
          <w:p>
            <w:pPr>
              <w:spacing w:line="360" w:lineRule="auto"/>
              <w:ind w:firstLine="420"/>
            </w:pPr>
            <w:r>
              <w:t>企业配置了适宜的人员：如管理人员、技术人员、销售人员、</w:t>
            </w:r>
            <w:r>
              <w:rPr>
                <w:rFonts w:hint="eastAsia"/>
                <w:lang w:eastAsia="zh-CN"/>
              </w:rPr>
              <w:t>生产人员、</w:t>
            </w:r>
            <w:r>
              <w:t>采购人员、检验人员、库管员等；人员配置基本满足日常管理体系运行要求。</w:t>
            </w:r>
          </w:p>
          <w:p>
            <w:pPr>
              <w:spacing w:line="360" w:lineRule="auto"/>
              <w:ind w:firstLine="420"/>
            </w:pPr>
            <w:r>
              <w:rPr>
                <w:rFonts w:hint="eastAsia"/>
                <w:lang w:eastAsia="zh-CN"/>
              </w:rPr>
              <w:t>办公室</w:t>
            </w:r>
            <w:r>
              <w:t>对各岗位人员进行能力考核，根据结果采取措施，通常是采取培训方式。</w:t>
            </w:r>
          </w:p>
          <w:p>
            <w:pPr>
              <w:spacing w:line="360" w:lineRule="auto"/>
              <w:ind w:firstLine="420"/>
            </w:pPr>
            <w:r>
              <w:t>查到“</w:t>
            </w:r>
            <w:r>
              <w:rPr>
                <w:rFonts w:hint="eastAsia"/>
              </w:rPr>
              <w:t>2020</w:t>
            </w:r>
            <w:r>
              <w:t xml:space="preserve">年度培训计划”，编制: </w:t>
            </w:r>
            <w:r>
              <w:rPr>
                <w:rFonts w:hint="eastAsia"/>
                <w:lang w:val="en-US" w:eastAsia="zh-CN"/>
              </w:rPr>
              <w:t>行政部</w:t>
            </w:r>
            <w:r>
              <w:t xml:space="preserve">  批准: </w:t>
            </w:r>
            <w:r>
              <w:rPr>
                <w:rFonts w:hint="eastAsia"/>
                <w:lang w:eastAsia="zh-CN"/>
              </w:rPr>
              <w:t>潘峰</w:t>
            </w:r>
            <w:r>
              <w:rPr>
                <w:rFonts w:hint="eastAsia"/>
              </w:rPr>
              <w:t xml:space="preserve"> </w:t>
            </w:r>
            <w:r>
              <w:t>，日期: 20</w:t>
            </w:r>
            <w:r>
              <w:rPr>
                <w:rFonts w:hint="eastAsia"/>
              </w:rPr>
              <w:t>20</w:t>
            </w:r>
            <w:r>
              <w:t>年</w:t>
            </w:r>
            <w:r>
              <w:rPr>
                <w:rFonts w:hint="eastAsia"/>
                <w:lang w:val="en-US" w:eastAsia="zh-CN"/>
              </w:rPr>
              <w:t>3</w:t>
            </w:r>
            <w:r>
              <w:t>月</w:t>
            </w:r>
            <w:r>
              <w:rPr>
                <w:rFonts w:hint="eastAsia"/>
                <w:lang w:val="en-US" w:eastAsia="zh-CN"/>
              </w:rPr>
              <w:t>2</w:t>
            </w:r>
            <w:r>
              <w:t>日。培训内容涉及：标准、体系文件、内审员、岗位技能、</w:t>
            </w:r>
            <w:r>
              <w:rPr>
                <w:rFonts w:hint="eastAsia"/>
              </w:rPr>
              <w:t>生产过程安全控制培训</w:t>
            </w:r>
            <w:r>
              <w:t>、相关法规等。</w:t>
            </w:r>
          </w:p>
          <w:p>
            <w:pPr>
              <w:spacing w:line="360" w:lineRule="auto"/>
              <w:ind w:firstLine="420"/>
            </w:pPr>
            <w:r>
              <w:t>抽查：《培训记录及培训效果评价表》，</w:t>
            </w:r>
          </w:p>
          <w:p>
            <w:pPr>
              <w:pStyle w:val="5"/>
              <w:widowControl/>
              <w:spacing w:line="360" w:lineRule="auto"/>
              <w:ind w:firstLine="420" w:firstLineChars="200"/>
              <w:rPr>
                <w:rFonts w:hint="eastAsia"/>
                <w:lang w:val="en-US" w:eastAsia="zh-CN"/>
              </w:rPr>
            </w:pPr>
            <w:r>
              <w:t>1、</w:t>
            </w:r>
            <w:r>
              <w:rPr>
                <w:rFonts w:hint="eastAsia"/>
                <w:lang w:val="en-US" w:eastAsia="zh-CN"/>
              </w:rPr>
              <w:t>2020年3月20日  培训人员：潘峰、</w:t>
            </w:r>
            <w:r>
              <w:rPr>
                <w:rFonts w:hint="eastAsia"/>
                <w:lang w:eastAsia="zh-CN"/>
              </w:rPr>
              <w:t>罗泽兵</w:t>
            </w:r>
            <w:r>
              <w:rPr>
                <w:rFonts w:hint="eastAsia"/>
                <w:lang w:val="en-US" w:eastAsia="zh-CN"/>
              </w:rPr>
              <w:t>、吴燕、</w:t>
            </w:r>
            <w:r>
              <w:rPr>
                <w:rFonts w:hint="eastAsia"/>
                <w:lang w:eastAsia="zh-CN"/>
              </w:rPr>
              <w:t>李传久、潘永军</w:t>
            </w:r>
            <w:r>
              <w:rPr>
                <w:rFonts w:hint="eastAsia"/>
                <w:lang w:val="en-US" w:eastAsia="zh-CN"/>
              </w:rPr>
              <w:t>。培训内容：GB/T 45001-2020/ISO 45001:2018标准知识、概念培训，培训有效性评价：培训取得预期效果。 评价人：李老师</w:t>
            </w:r>
          </w:p>
          <w:p>
            <w:pPr>
              <w:pStyle w:val="5"/>
              <w:widowControl/>
              <w:spacing w:line="360" w:lineRule="auto"/>
              <w:ind w:firstLine="420" w:firstLineChars="200"/>
              <w:rPr>
                <w:rFonts w:hint="eastAsia"/>
                <w:lang w:val="en-US" w:eastAsia="zh-CN"/>
              </w:rPr>
            </w:pPr>
            <w:r>
              <w:t>2、2020</w:t>
            </w:r>
            <w:r>
              <w:rPr>
                <w:rFonts w:hint="eastAsia"/>
                <w:lang w:val="en-US" w:eastAsia="zh-CN"/>
              </w:rPr>
              <w:t>年5月22日  培训人员：潘峰、</w:t>
            </w:r>
            <w:r>
              <w:rPr>
                <w:rFonts w:hint="eastAsia"/>
                <w:lang w:eastAsia="zh-CN"/>
              </w:rPr>
              <w:t>罗泽兵</w:t>
            </w:r>
            <w:r>
              <w:rPr>
                <w:rFonts w:hint="eastAsia"/>
                <w:lang w:val="en-US" w:eastAsia="zh-CN"/>
              </w:rPr>
              <w:t>、吴燕、</w:t>
            </w:r>
            <w:r>
              <w:rPr>
                <w:rFonts w:hint="eastAsia"/>
                <w:lang w:eastAsia="zh-CN"/>
              </w:rPr>
              <w:t>李传久、潘永军</w:t>
            </w:r>
            <w:r>
              <w:rPr>
                <w:rFonts w:hint="eastAsia"/>
                <w:lang w:val="en-US" w:eastAsia="zh-CN"/>
              </w:rPr>
              <w:t>。培训内容：</w:t>
            </w:r>
            <w:r>
              <w:rPr>
                <w:rFonts w:hint="eastAsia"/>
              </w:rPr>
              <w:t>管理手册、程序文件</w:t>
            </w:r>
            <w:r>
              <w:rPr>
                <w:rFonts w:hint="eastAsia"/>
                <w:lang w:val="en-US" w:eastAsia="zh-CN"/>
              </w:rPr>
              <w:t>，培训有效性评价：培训取得预期效果。 评价人：李老师</w:t>
            </w:r>
          </w:p>
          <w:p>
            <w:pPr>
              <w:pStyle w:val="5"/>
              <w:widowControl/>
              <w:spacing w:line="360" w:lineRule="auto"/>
              <w:ind w:firstLine="420" w:firstLineChars="200"/>
            </w:pPr>
            <w:r>
              <w:rPr>
                <w:rFonts w:hint="eastAsia"/>
                <w:lang w:val="en-US" w:eastAsia="zh-CN"/>
              </w:rPr>
              <w:t>3</w:t>
            </w:r>
            <w:r>
              <w:rPr>
                <w:rFonts w:hint="eastAsia"/>
              </w:rPr>
              <w:t>、</w:t>
            </w:r>
            <w:r>
              <w:t>2020</w:t>
            </w:r>
            <w:r>
              <w:rPr>
                <w:rFonts w:hint="eastAsia"/>
                <w:lang w:val="en-US" w:eastAsia="zh-CN"/>
              </w:rPr>
              <w:t>年8月10日 培训人员：潘峰、吴燕、</w:t>
            </w:r>
            <w:r>
              <w:rPr>
                <w:rFonts w:hint="eastAsia"/>
                <w:lang w:eastAsia="zh-CN"/>
              </w:rPr>
              <w:t>李传久、潘永军</w:t>
            </w:r>
            <w:r>
              <w:rPr>
                <w:rFonts w:hint="eastAsia"/>
                <w:lang w:val="en-US" w:eastAsia="zh-CN"/>
              </w:rPr>
              <w:t>。培训内容：</w:t>
            </w:r>
            <w:r>
              <w:rPr>
                <w:rFonts w:hint="eastAsia"/>
              </w:rPr>
              <w:t>岗位技能培训</w:t>
            </w:r>
            <w:r>
              <w:rPr>
                <w:rFonts w:hint="eastAsia"/>
                <w:lang w:val="en-US" w:eastAsia="zh-CN"/>
              </w:rPr>
              <w:t>，培训有效性评价：培训取得预期效果。 评价人：李老师</w:t>
            </w:r>
            <w:r>
              <w:t>。</w:t>
            </w:r>
          </w:p>
          <w:p>
            <w:pPr>
              <w:pStyle w:val="5"/>
              <w:widowControl/>
              <w:spacing w:line="360" w:lineRule="auto"/>
              <w:ind w:firstLine="420" w:firstLineChars="200"/>
            </w:pPr>
            <w:r>
              <w:rPr>
                <w:rFonts w:hint="eastAsia"/>
              </w:rPr>
              <w:t>并提供相应的培训记录，及人员签到表和培训效果评价。</w:t>
            </w:r>
          </w:p>
          <w:p>
            <w:pPr>
              <w:spacing w:line="360" w:lineRule="auto"/>
              <w:ind w:firstLine="420"/>
            </w:pPr>
            <w: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pStyle w:val="2"/>
              <w:spacing w:line="360" w:lineRule="auto"/>
              <w:ind w:firstLine="420" w:firstLineChars="200"/>
              <w:rPr>
                <w:rFonts w:hint="eastAsia" w:ascii="宋体" w:hAnsi="Courier New" w:eastAsia="宋体" w:cs="Times New Roman"/>
                <w:bCs w:val="0"/>
                <w:spacing w:val="0"/>
                <w:kern w:val="2"/>
                <w:sz w:val="21"/>
                <w:szCs w:val="21"/>
                <w:lang w:val="en-US" w:eastAsia="zh-CN" w:bidi="ar-SA"/>
              </w:rPr>
            </w:pPr>
            <w:r>
              <w:rPr>
                <w:rFonts w:hint="eastAsia" w:ascii="宋体" w:hAnsi="Courier New" w:eastAsia="宋体" w:cs="Times New Roman"/>
                <w:bCs w:val="0"/>
                <w:spacing w:val="0"/>
                <w:kern w:val="2"/>
                <w:sz w:val="21"/>
                <w:szCs w:val="21"/>
                <w:lang w:val="en-US" w:eastAsia="zh-CN" w:bidi="ar-SA"/>
              </w:rPr>
              <w:t>目前公司人员比较稳定，人员没有变化，没有新员工，故，没有新员工培训记录</w:t>
            </w:r>
          </w:p>
          <w:p>
            <w:pPr>
              <w:tabs>
                <w:tab w:val="center" w:pos="3169"/>
              </w:tabs>
              <w:spacing w:line="360" w:lineRule="auto"/>
              <w:ind w:firstLine="420" w:firstLineChars="200"/>
              <w:jc w:val="left"/>
              <w:rPr>
                <w:rFonts w:hint="eastAsia" w:ascii="宋体" w:hAnsi="Courier New" w:eastAsia="宋体" w:cs="Times New Roman"/>
                <w:bCs w:val="0"/>
                <w:spacing w:val="0"/>
                <w:kern w:val="2"/>
                <w:sz w:val="21"/>
                <w:szCs w:val="21"/>
                <w:lang w:val="en-US" w:eastAsia="zh-CN" w:bidi="ar-SA"/>
              </w:rPr>
            </w:pPr>
            <w:r>
              <w:rPr>
                <w:rFonts w:hint="eastAsia" w:ascii="宋体" w:hAnsi="Courier New" w:eastAsia="宋体" w:cs="Times New Roman"/>
                <w:bCs w:val="0"/>
                <w:spacing w:val="0"/>
                <w:kern w:val="2"/>
                <w:sz w:val="21"/>
                <w:szCs w:val="21"/>
                <w:lang w:val="en-US" w:eastAsia="zh-CN" w:bidi="ar-SA"/>
              </w:rPr>
              <w:t>企业已对人力资源的管理、控制进行了策划，并已实施控制，针对体系知识的系统深入学习进行了现场交流。</w:t>
            </w:r>
          </w:p>
          <w:p>
            <w:pPr>
              <w:pStyle w:val="2"/>
              <w:rPr>
                <w:rFonts w:hint="eastAsia"/>
              </w:rPr>
            </w:pP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cs="Arial"/>
                <w:sz w:val="21"/>
                <w:szCs w:val="21"/>
              </w:rPr>
            </w:pPr>
            <w:r>
              <w:rPr>
                <w:rFonts w:hAnsiTheme="minorEastAsia" w:eastAsiaTheme="minorEastAsia"/>
                <w:color w:val="000000" w:themeColor="text1"/>
                <w:sz w:val="21"/>
                <w:szCs w:val="21"/>
              </w:rPr>
              <w:t>形成文件的信息</w:t>
            </w:r>
          </w:p>
        </w:tc>
        <w:tc>
          <w:tcPr>
            <w:tcW w:w="1276" w:type="dxa"/>
            <w:vAlign w:val="top"/>
          </w:tcPr>
          <w:p>
            <w:pPr>
              <w:spacing w:line="360" w:lineRule="auto"/>
              <w:rPr>
                <w:rFonts w:hint="eastAsia" w:asciiTheme="minorEastAsia" w:hAnsiTheme="minorEastAsia" w:eastAsiaTheme="minorEastAsia" w:cstheme="minorEastAsia"/>
                <w:sz w:val="24"/>
                <w:szCs w:val="24"/>
              </w:rPr>
            </w:pPr>
            <w:r>
              <w:rPr>
                <w:rFonts w:hint="eastAsia" w:ascii="宋体" w:hAnsi="宋体" w:cs="Arial"/>
                <w:sz w:val="21"/>
                <w:szCs w:val="21"/>
                <w:u w:val="none"/>
                <w:lang w:val="en-US" w:eastAsia="zh-CN"/>
              </w:rPr>
              <w:t>Q:7.5</w:t>
            </w:r>
          </w:p>
        </w:tc>
        <w:tc>
          <w:tcPr>
            <w:tcW w:w="10606" w:type="dxa"/>
            <w:vAlign w:val="top"/>
          </w:tcPr>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20" w:firstLineChars="200"/>
              <w:rPr>
                <w:rFonts w:hint="eastAsia" w:ascii="Times New Roman" w:cs="Times New Roman" w:hAnsiTheme="minorEastAsia" w:eastAsiaTheme="minorEastAsia"/>
                <w:color w:val="000000" w:themeColor="text1"/>
                <w:sz w:val="21"/>
                <w:szCs w:val="21"/>
                <w:lang w:eastAsia="zh-CN"/>
              </w:rPr>
            </w:pPr>
            <w:r>
              <w:rPr>
                <w:rFonts w:hAnsiTheme="minorEastAsia" w:eastAsiaTheme="minorEastAsia"/>
                <w:color w:val="000000" w:themeColor="text1"/>
                <w:sz w:val="21"/>
                <w:szCs w:val="21"/>
              </w:rPr>
              <w:t>组织策划的体系文件主要包括：</w:t>
            </w:r>
            <w:r>
              <w:rPr>
                <w:rFonts w:hint="eastAsia" w:hAnsiTheme="minorEastAsia" w:eastAsiaTheme="minorEastAsia"/>
                <w:color w:val="000000" w:themeColor="text1"/>
                <w:sz w:val="21"/>
                <w:szCs w:val="21"/>
                <w:lang w:val="en-US" w:eastAsia="zh-CN"/>
              </w:rPr>
              <w:t>编号</w:t>
            </w:r>
            <w:r>
              <w:rPr>
                <w:rFonts w:hint="eastAsia" w:ascii="Times New Roman" w:cs="Times New Roman" w:hAnsiTheme="minorEastAsia" w:eastAsiaTheme="minorEastAsia"/>
                <w:color w:val="000000" w:themeColor="text1"/>
                <w:sz w:val="21"/>
                <w:szCs w:val="21"/>
                <w:lang w:eastAsia="zh-CN"/>
              </w:rPr>
              <w:t>PFJJ</w:t>
            </w:r>
            <w:r>
              <w:rPr>
                <w:rFonts w:ascii="Times New Roman" w:cs="Times New Roman" w:hAnsiTheme="minorEastAsia" w:eastAsiaTheme="minorEastAsia"/>
                <w:color w:val="000000" w:themeColor="text1"/>
                <w:sz w:val="21"/>
                <w:szCs w:val="21"/>
              </w:rPr>
              <w:t>-</w:t>
            </w:r>
            <w:r>
              <w:rPr>
                <w:rFonts w:hint="eastAsia" w:ascii="Times New Roman" w:cs="Times New Roman" w:hAnsiTheme="minorEastAsia" w:eastAsiaTheme="minorEastAsia"/>
                <w:color w:val="000000" w:themeColor="text1"/>
                <w:sz w:val="21"/>
                <w:szCs w:val="21"/>
              </w:rPr>
              <w:t>SC</w:t>
            </w:r>
            <w:r>
              <w:rPr>
                <w:rFonts w:ascii="Times New Roman" w:cs="Times New Roman" w:hAnsiTheme="minorEastAsia" w:eastAsiaTheme="minorEastAsia"/>
                <w:color w:val="000000" w:themeColor="text1"/>
                <w:sz w:val="21"/>
                <w:szCs w:val="21"/>
              </w:rPr>
              <w:t>-20</w:t>
            </w:r>
            <w:r>
              <w:rPr>
                <w:rFonts w:hint="eastAsia" w:ascii="Times New Roman" w:cs="Times New Roman" w:hAnsiTheme="minorEastAsia" w:eastAsiaTheme="minorEastAsia"/>
                <w:color w:val="000000" w:themeColor="text1"/>
                <w:sz w:val="21"/>
                <w:szCs w:val="21"/>
              </w:rPr>
              <w:t>20</w:t>
            </w:r>
            <w:r>
              <w:rPr>
                <w:rFonts w:hAnsiTheme="minorEastAsia" w:eastAsiaTheme="minorEastAsia"/>
                <w:color w:val="000000" w:themeColor="text1"/>
                <w:sz w:val="21"/>
                <w:szCs w:val="21"/>
              </w:rPr>
              <w:t>《管理手册》</w:t>
            </w:r>
            <w:r>
              <w:rPr>
                <w:rFonts w:hint="eastAsia" w:ascii="Times New Roman" w:cs="Times New Roman" w:hAnsiTheme="minorEastAsia" w:eastAsiaTheme="minorEastAsia"/>
                <w:color w:val="000000" w:themeColor="text1"/>
                <w:sz w:val="21"/>
                <w:szCs w:val="21"/>
                <w:lang w:eastAsia="zh-CN"/>
              </w:rPr>
              <w:t>，版本：</w:t>
            </w:r>
            <w:r>
              <w:rPr>
                <w:rFonts w:hint="eastAsia" w:ascii="Times New Roman" w:cs="Times New Roman" w:hAnsiTheme="minorEastAsia" w:eastAsiaTheme="minorEastAsia"/>
                <w:color w:val="000000" w:themeColor="text1"/>
                <w:sz w:val="21"/>
                <w:szCs w:val="21"/>
                <w:lang w:val="en-US" w:eastAsia="zh-CN"/>
              </w:rPr>
              <w:t>C</w:t>
            </w:r>
            <w:r>
              <w:rPr>
                <w:rFonts w:hint="eastAsia" w:ascii="Times New Roman" w:cs="Times New Roman" w:hAnsiTheme="minorEastAsia" w:eastAsiaTheme="minorEastAsia"/>
                <w:color w:val="000000" w:themeColor="text1"/>
                <w:sz w:val="21"/>
                <w:szCs w:val="21"/>
                <w:lang w:eastAsia="zh-CN"/>
              </w:rPr>
              <w:t>/0；《质量、环境、职业健康安全管理体系程序文件》版本：</w:t>
            </w:r>
            <w:r>
              <w:rPr>
                <w:rFonts w:hint="eastAsia" w:ascii="Times New Roman" w:cs="Times New Roman" w:hAnsiTheme="minorEastAsia" w:eastAsiaTheme="minorEastAsia"/>
                <w:color w:val="000000" w:themeColor="text1"/>
                <w:sz w:val="21"/>
                <w:szCs w:val="21"/>
                <w:lang w:val="en-US" w:eastAsia="zh-CN"/>
              </w:rPr>
              <w:t>C</w:t>
            </w:r>
            <w:r>
              <w:rPr>
                <w:rFonts w:hint="eastAsia" w:ascii="Times New Roman" w:cs="Times New Roman" w:hAnsiTheme="minorEastAsia" w:eastAsiaTheme="minorEastAsia"/>
                <w:color w:val="000000" w:themeColor="text1"/>
                <w:sz w:val="21"/>
                <w:szCs w:val="21"/>
                <w:lang w:eastAsia="zh-CN"/>
              </w:rPr>
              <w:t>/0，有管理制度、操作规程，以及相关运行记录等。以上文件编制人：行政部，审核人：罗泽兵，批准人：潘</w:t>
            </w:r>
            <w:r>
              <w:rPr>
                <w:rFonts w:hint="eastAsia" w:ascii="Times New Roman" w:cs="Times New Roman" w:hAnsiTheme="minorEastAsia" w:eastAsiaTheme="minorEastAsia"/>
                <w:color w:val="000000" w:themeColor="text1"/>
                <w:sz w:val="21"/>
                <w:szCs w:val="21"/>
                <w:lang w:val="en-US" w:eastAsia="zh-CN"/>
              </w:rPr>
              <w:t xml:space="preserve"> </w:t>
            </w:r>
            <w:r>
              <w:rPr>
                <w:rFonts w:hint="eastAsia" w:ascii="Times New Roman" w:cs="Times New Roman" w:hAnsiTheme="minorEastAsia" w:eastAsiaTheme="minorEastAsia"/>
                <w:color w:val="000000" w:themeColor="text1"/>
                <w:sz w:val="21"/>
                <w:szCs w:val="21"/>
                <w:lang w:eastAsia="zh-CN"/>
              </w:rPr>
              <w:t>峰，发布实施日期2020年3月</w:t>
            </w:r>
            <w:r>
              <w:rPr>
                <w:rFonts w:hint="eastAsia" w:ascii="Times New Roman" w:cs="Times New Roman" w:hAnsiTheme="minorEastAsia" w:eastAsiaTheme="minorEastAsia"/>
                <w:color w:val="000000" w:themeColor="text1"/>
                <w:sz w:val="21"/>
                <w:szCs w:val="21"/>
                <w:lang w:val="en-US" w:eastAsia="zh-CN"/>
              </w:rPr>
              <w:t>2</w:t>
            </w:r>
            <w:r>
              <w:rPr>
                <w:rFonts w:hint="eastAsia" w:ascii="Times New Roman" w:cs="Times New Roman" w:hAnsiTheme="minorEastAsia" w:eastAsiaTheme="minorEastAsia"/>
                <w:color w:val="000000" w:themeColor="text1"/>
                <w:sz w:val="21"/>
                <w:szCs w:val="21"/>
                <w:lang w:eastAsia="zh-CN"/>
              </w:rPr>
              <w:t>日。</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公司质量、环境、职业健康安全方针随手册一同发布，并编制目标、指标与管理方案一览表，方针目标发布经过总经理批准、评审，适宜。</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公司体系文件运行良好，能够满足经营需要。公司文件经过验证手册和程序文件基本符合</w:t>
            </w:r>
            <w:r>
              <w:rPr>
                <w:rFonts w:eastAsiaTheme="minorEastAsia"/>
                <w:color w:val="000000" w:themeColor="text1"/>
                <w:sz w:val="21"/>
                <w:szCs w:val="21"/>
              </w:rPr>
              <w:t>ISO9001</w:t>
            </w:r>
            <w:r>
              <w:rPr>
                <w:rFonts w:hAnsiTheme="minorEastAsia" w:eastAsiaTheme="minorEastAsia"/>
                <w:color w:val="000000" w:themeColor="text1"/>
                <w:sz w:val="21"/>
                <w:szCs w:val="21"/>
              </w:rPr>
              <w:t>：</w:t>
            </w:r>
            <w:r>
              <w:rPr>
                <w:rFonts w:eastAsiaTheme="minorEastAsia"/>
                <w:color w:val="000000" w:themeColor="text1"/>
                <w:sz w:val="21"/>
                <w:szCs w:val="21"/>
              </w:rPr>
              <w:t>2015</w:t>
            </w:r>
            <w:r>
              <w:rPr>
                <w:rFonts w:hAnsiTheme="minorEastAsia" w:eastAsiaTheme="minorEastAsia"/>
                <w:color w:val="000000" w:themeColor="text1"/>
                <w:sz w:val="21"/>
                <w:szCs w:val="21"/>
              </w:rPr>
              <w:t>标准要求。</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查文件发放情况：</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提供了《文件发放、回收登记表》，所有文件均由行政部发放，录有管理手册、程序、作业文件及标准、法律法规等外来文件。</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查外来文件管理：</w:t>
            </w:r>
          </w:p>
          <w:p>
            <w:pPr>
              <w:spacing w:line="360" w:lineRule="auto"/>
              <w:ind w:firstLine="420" w:firstLineChars="200"/>
              <w:rPr>
                <w:rFonts w:hAnsiTheme="minorEastAsia" w:eastAsiaTheme="minorEastAsia"/>
                <w:color w:val="000000" w:themeColor="text1"/>
                <w:sz w:val="21"/>
                <w:szCs w:val="21"/>
              </w:rPr>
            </w:pPr>
            <w:r>
              <w:rPr>
                <w:rFonts w:hAnsiTheme="minorEastAsia" w:eastAsiaTheme="minorEastAsia"/>
                <w:color w:val="000000" w:themeColor="text1"/>
                <w:sz w:val="21"/>
                <w:szCs w:val="21"/>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等法律法规和执行标准，外来文件管理符合要求。</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查作废文件控制：根据文审要求修订了管理手册，替换了修改页，原页面销毁。</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查看组织行政部文件管理情况，通过纸张、电子版形式文件化，文件名称、编号、内容等字迹清晰，标识易于识别、检索、可追溯，纸质文件存放在文件柜中，防水防潮，储存环境适宜。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查到了</w:t>
            </w:r>
            <w:r>
              <w:rPr>
                <w:rFonts w:eastAsiaTheme="minorEastAsia"/>
                <w:color w:val="000000" w:themeColor="text1"/>
                <w:sz w:val="21"/>
                <w:szCs w:val="21"/>
              </w:rPr>
              <w:t>“</w:t>
            </w:r>
            <w:r>
              <w:rPr>
                <w:rFonts w:hAnsiTheme="minorEastAsia" w:eastAsiaTheme="minorEastAsia"/>
                <w:color w:val="000000" w:themeColor="text1"/>
                <w:sz w:val="21"/>
                <w:szCs w:val="21"/>
              </w:rPr>
              <w:t>记录一览表</w:t>
            </w:r>
            <w:r>
              <w:rPr>
                <w:rFonts w:eastAsiaTheme="minorEastAsia"/>
                <w:color w:val="000000" w:themeColor="text1"/>
                <w:sz w:val="21"/>
                <w:szCs w:val="21"/>
              </w:rPr>
              <w:t>”</w:t>
            </w:r>
            <w:r>
              <w:rPr>
                <w:rFonts w:hAnsiTheme="minorEastAsia" w:eastAsiaTheme="minorEastAsia"/>
                <w:color w:val="000000" w:themeColor="text1"/>
                <w:sz w:val="21"/>
                <w:szCs w:val="21"/>
              </w:rPr>
              <w:t>，记录设置符合公司实施运行要求，基本包含了体系要求的相关记录；《记录一览表》，内容清晰，规定了记录的名称、编号、保存期限等信息。</w:t>
            </w:r>
            <w:r>
              <w:rPr>
                <w:rFonts w:eastAsiaTheme="minorEastAsia"/>
                <w:color w:val="000000" w:themeColor="text1"/>
                <w:sz w:val="21"/>
                <w:szCs w:val="21"/>
              </w:rPr>
              <w:t xml:space="preserve"> </w:t>
            </w:r>
            <w:r>
              <w:rPr>
                <w:rFonts w:hAnsiTheme="minorEastAsia" w:eastAsiaTheme="minorEastAsia"/>
                <w:color w:val="000000" w:themeColor="text1"/>
                <w:sz w:val="21"/>
                <w:szCs w:val="21"/>
              </w:rPr>
              <w:t>记录以名称、编号进行唯一性标识。</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查阅了记录：《合规性评价报告》、《应急演练记录》、《顾客满意度统计分析报告》等体系运行记录，记录比较完整，内容规范全面，字迹清楚，有填表人、检查人等信息，易于检索，符合要求。</w:t>
            </w:r>
          </w:p>
          <w:p>
            <w:pPr>
              <w:spacing w:line="360" w:lineRule="auto"/>
              <w:rPr>
                <w:rFonts w:eastAsiaTheme="minorEastAsia"/>
                <w:color w:val="000000" w:themeColor="text1"/>
                <w:sz w:val="21"/>
                <w:szCs w:val="21"/>
              </w:rPr>
            </w:pPr>
            <w:r>
              <w:rPr>
                <w:rFonts w:hAnsiTheme="minorEastAsia" w:eastAsiaTheme="minorEastAsia"/>
                <w:color w:val="000000" w:themeColor="text1"/>
                <w:sz w:val="21"/>
                <w:szCs w:val="21"/>
              </w:rPr>
              <w:t>　</w:t>
            </w:r>
            <w:r>
              <w:rPr>
                <w:rFonts w:eastAsiaTheme="minorEastAsia"/>
                <w:color w:val="000000" w:themeColor="text1"/>
                <w:sz w:val="21"/>
                <w:szCs w:val="21"/>
              </w:rPr>
              <w:t xml:space="preserve"> </w:t>
            </w:r>
            <w:r>
              <w:rPr>
                <w:rFonts w:hAnsiTheme="minorEastAsia" w:eastAsiaTheme="minorEastAsia"/>
                <w:color w:val="000000" w:themeColor="text1"/>
                <w:sz w:val="21"/>
                <w:szCs w:val="21"/>
              </w:rPr>
              <w:t>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eastAsiaTheme="minorEastAsia"/>
                <w:color w:val="000000" w:themeColor="text1"/>
                <w:sz w:val="21"/>
                <w:szCs w:val="21"/>
              </w:rPr>
            </w:pPr>
            <w:r>
              <w:rPr>
                <w:rFonts w:hAnsiTheme="minorEastAsia" w:eastAsiaTheme="minorEastAsia"/>
                <w:color w:val="000000" w:themeColor="text1"/>
                <w:sz w:val="21"/>
                <w:szCs w:val="21"/>
              </w:rPr>
              <w:t>　　经了解，目前作废文件已销毁，由</w:t>
            </w:r>
            <w:r>
              <w:rPr>
                <w:rFonts w:hint="eastAsia" w:hAnsiTheme="minorEastAsia" w:eastAsiaTheme="minorEastAsia"/>
                <w:color w:val="000000" w:themeColor="text1"/>
                <w:sz w:val="21"/>
                <w:szCs w:val="21"/>
                <w:lang w:val="en-US" w:eastAsia="zh-CN"/>
              </w:rPr>
              <w:t>行政部</w:t>
            </w:r>
            <w:r>
              <w:rPr>
                <w:rFonts w:hAnsiTheme="minorEastAsia" w:eastAsiaTheme="minorEastAsia"/>
                <w:color w:val="000000" w:themeColor="text1"/>
                <w:sz w:val="21"/>
                <w:szCs w:val="21"/>
              </w:rPr>
              <w:t>统一处理。</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AnsiTheme="minorEastAsia" w:eastAsiaTheme="minorEastAsia"/>
                <w:color w:val="000000" w:themeColor="text1"/>
                <w:sz w:val="21"/>
                <w:szCs w:val="21"/>
              </w:rPr>
              <w:t>总体来说，公司文件化信息控制基本有效。</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监视、测量</w:t>
            </w:r>
          </w:p>
        </w:tc>
        <w:tc>
          <w:tcPr>
            <w:tcW w:w="1276" w:type="dxa"/>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Q</w:t>
            </w:r>
            <w:r>
              <w:rPr>
                <w:rFonts w:hint="eastAsia" w:ascii="宋体" w:hAnsi="宋体" w:cs="Arial"/>
                <w:sz w:val="21"/>
                <w:szCs w:val="21"/>
                <w:u w:val="none"/>
                <w:lang w:val="en-US" w:eastAsia="zh-CN"/>
              </w:rPr>
              <w:t>:</w:t>
            </w:r>
            <w:r>
              <w:rPr>
                <w:rFonts w:hint="eastAsia" w:asciiTheme="minorEastAsia" w:hAnsiTheme="minorEastAsia" w:eastAsiaTheme="minorEastAsia" w:cstheme="minorEastAsia"/>
                <w:spacing w:val="-6"/>
                <w:sz w:val="24"/>
                <w:szCs w:val="24"/>
              </w:rPr>
              <w:t>9.1.1</w:t>
            </w:r>
          </w:p>
        </w:tc>
        <w:tc>
          <w:tcPr>
            <w:tcW w:w="10606" w:type="dxa"/>
          </w:tcPr>
          <w:p>
            <w:pPr>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公司规定了管理体系相关信息的收集、汇总、分析、处理、传递的要求。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公司的过程和体系的监视和测量主要是通过内审、管理评审、目标考核以及日常工作监督、产品检验、顾客满意度测量等的方式完成。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行政部</w:t>
            </w:r>
            <w:r>
              <w:rPr>
                <w:rFonts w:hint="eastAsia" w:asciiTheme="minorEastAsia" w:hAnsiTheme="minorEastAsia" w:eastAsiaTheme="minorEastAsia" w:cstheme="minorEastAsia"/>
                <w:sz w:val="24"/>
                <w:szCs w:val="24"/>
              </w:rPr>
              <w:t>负责对体系、过程的日常监测和管理目标完成情况进行统计分析。对目标完成情况进行收集和统计分析，并制作目标完成情况统计表。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生产部对产品实现各过程进行监督检查，按照要求进行了产品实现各阶段的检验。</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采购部负责对供方业绩予以评价，对供方业绩实施了监视和测量。</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市场</w:t>
            </w:r>
            <w:r>
              <w:rPr>
                <w:rFonts w:hint="eastAsia" w:asciiTheme="minorEastAsia" w:hAnsiTheme="minorEastAsia" w:eastAsiaTheme="minorEastAsia" w:cstheme="minorEastAsia"/>
                <w:sz w:val="24"/>
                <w:szCs w:val="24"/>
              </w:rPr>
              <w:t>部对顾客满意度进行了定期评价和分析。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公司已建立了监视和测量的渠道并实施，但利用深度须加强，已交流。</w:t>
            </w:r>
          </w:p>
          <w:p>
            <w:pPr>
              <w:tabs>
                <w:tab w:val="left" w:pos="6597"/>
              </w:tabs>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公司已对管理体系的监视、测量、分析和评价进行了策划，基本能够按照要求实施。</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分析与评价</w:t>
            </w:r>
          </w:p>
        </w:tc>
        <w:tc>
          <w:tcPr>
            <w:tcW w:w="1276"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9.1.3</w:t>
            </w:r>
          </w:p>
          <w:p>
            <w:pPr>
              <w:snapToGrid w:val="0"/>
              <w:spacing w:line="360" w:lineRule="auto"/>
              <w:ind w:firstLine="480" w:firstLineChars="200"/>
              <w:rPr>
                <w:rFonts w:hint="eastAsia" w:asciiTheme="minorEastAsia" w:hAnsiTheme="minorEastAsia" w:eastAsiaTheme="minorEastAsia" w:cstheme="minorEastAsia"/>
                <w:sz w:val="24"/>
                <w:szCs w:val="24"/>
              </w:rPr>
            </w:pPr>
          </w:p>
        </w:tc>
        <w:tc>
          <w:tcPr>
            <w:tcW w:w="10606" w:type="dxa"/>
            <w:vAlign w:val="center"/>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公司制定《数据分析控制程序》，收集和分析适当的数据，评价公司管理体系的适宜性和有效性，充分识别可以改进的机会</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内部审核</w:t>
            </w:r>
          </w:p>
        </w:tc>
        <w:tc>
          <w:tcPr>
            <w:tcW w:w="1276" w:type="dxa"/>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9.2</w:t>
            </w:r>
          </w:p>
        </w:tc>
        <w:tc>
          <w:tcPr>
            <w:tcW w:w="10606" w:type="dxa"/>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公司制定《内部审核控制程序》，对内部审核方案策划规定：</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1.频次：内审每年进行一次，两次内部审核的时间间隔不超过12个月。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2.方法：按部门/过程审核。</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3.职责：体系负责人组织内部审核活动。</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4.策划要求：范围、准则、工作分配等。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5.报告：体系负责人在内部审核结束及纠正措施完成后应向总经理报告审核结果。</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6.提供了《20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年内部审核实施计划》，发布了内部管理体系审核通知，计划内容有：目的、范围、审核准则、审核时间20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年6月1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日。编制：行政部，日期：20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年6月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查阅20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年度内部审核有关记录</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审核范围：公司领导层、各部门。查全条款覆盖。</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审核准则：ISO9001:2015《质量管理体系 要求》、ISO14001：2015《环境管理体系 要求及使用指南》、GB/T28001-2011《职业健康安全管理体系 要求》、公司管理体系文件、适用的法律法规、产品标准等。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.提供了《内审首次会议签到表》，参加人有各部门负责人等。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.提供了《内审检查表》，经查阅对照，受审核部门涉及条款与公司管理体系职责分配相一致。审核记录基本满足要求。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.提供了《内审不合格报告》</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不符合事实描述：生产现场一堆半成品未有任何标识。对于涉及不符合项的部门，进行了原因分析并制定纠正措施计划，经过审核组验证，纠正措施有效。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日内整改完毕，由管代组织相关内审员对整改后的情况进行跟踪验证，确认纠正及纠正措施有效，体系的建立、运行符合质量管理体系要求。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结论：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编制：行政部 批准：潘峰，时间：20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sz w:val="24"/>
                <w:szCs w:val="24"/>
                <w:lang w:val="en-US" w:eastAsia="zh-CN"/>
              </w:rPr>
              <w:t>1</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提供了内审员培训记录，审核员没有审核自己部门工作，具有独立性。</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不合格和纠正措施</w:t>
            </w:r>
          </w:p>
        </w:tc>
        <w:tc>
          <w:tcPr>
            <w:tcW w:w="1276" w:type="dxa"/>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10.2</w:t>
            </w:r>
          </w:p>
          <w:p>
            <w:pPr>
              <w:spacing w:line="360" w:lineRule="auto"/>
              <w:rPr>
                <w:rFonts w:hint="eastAsia" w:asciiTheme="minorEastAsia" w:hAnsiTheme="minorEastAsia" w:eastAsiaTheme="minorEastAsia" w:cstheme="minorEastAsia"/>
                <w:sz w:val="24"/>
                <w:szCs w:val="24"/>
              </w:rPr>
            </w:pPr>
          </w:p>
        </w:tc>
        <w:tc>
          <w:tcPr>
            <w:tcW w:w="10606" w:type="dxa"/>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企业通过过程的监视和测量、绩效考核、内审、管理评审等方式和机制，确保质量管理制度有效执行。</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企业经过策划，采用对产品的监视和测量，对不合格品控制等来证实产品的符合性。</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企业制定《纠正预防措施控制程序》等，通过分析实际存在的或潜在的不符合的原因，制定纠正和预防措施，并验证其效果，以防止不符合的发生／再发生，实现持续改进绩效的目的。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对内审中的不符合，采取了纠正措施，并验证；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为保证公司职业健康安全管理体系的有效运行，通过对安全事件的调查处理，以确保管理体系运行的有效性。</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经查在公司正常经营活动中，出现了轻微不符合，部门已经采取纠正和纠正措施，经验证纠正措施有效。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公司生产及销售活动未发生过环境、安全等事故。</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查持续改进：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通过管理体系运行，管理方针、目标的实施，内审、管理评审进行持续改进；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通过数据分析、纠正、预防措施实施达到持续改进；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通过顾客满意度调查，改进、提高产品质量，满足顾客需求，达到持续改进的目的。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管理评审提出改进措施正在实施过程中。</w:t>
            </w:r>
          </w:p>
        </w:tc>
        <w:tc>
          <w:tcPr>
            <w:tcW w:w="1585" w:type="dxa"/>
          </w:tcPr>
          <w:p>
            <w:pPr>
              <w:spacing w:line="360" w:lineRule="auto"/>
              <w:rPr>
                <w:rFonts w:hint="eastAsia" w:asciiTheme="minorEastAsia" w:hAnsiTheme="minorEastAsia" w:eastAsiaTheme="minorEastAsia" w:cstheme="minorEastAsia"/>
                <w:sz w:val="24"/>
                <w:szCs w:val="24"/>
              </w:rPr>
            </w:pPr>
          </w:p>
        </w:tc>
      </w:tr>
    </w:tbl>
    <w:p>
      <w:pPr>
        <w:pStyle w:val="7"/>
        <w:rPr>
          <w:rFonts w:hint="eastAsia"/>
        </w:rPr>
      </w:pPr>
    </w:p>
    <w:p>
      <w:pPr>
        <w:pStyle w:val="7"/>
      </w:pPr>
      <w:r>
        <w:rPr>
          <w:rFonts w:hint="eastAsia"/>
        </w:rPr>
        <w:t>说明：不符合标注</w:t>
      </w:r>
      <w:r>
        <w:t>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w:t>
                </w:r>
                <w:r>
                  <w:rPr>
                    <w:rFonts w:hint="eastAsia"/>
                    <w:sz w:val="18"/>
                    <w:szCs w:val="18"/>
                    <w:lang w:val="en-US" w:eastAsia="zh-CN"/>
                  </w:rPr>
                  <w:t>05</w:t>
                </w:r>
                <w:r>
                  <w:rPr>
                    <w:rFonts w:hint="eastAsia"/>
                    <w:sz w:val="18"/>
                    <w:szCs w:val="18"/>
                  </w:rPr>
                  <w:t xml:space="preserve"> 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BD45F2"/>
    <w:rsid w:val="00C04AC0"/>
    <w:rsid w:val="00C33CAC"/>
    <w:rsid w:val="00C414C5"/>
    <w:rsid w:val="00C46748"/>
    <w:rsid w:val="00C673E6"/>
    <w:rsid w:val="00CA608A"/>
    <w:rsid w:val="00D76804"/>
    <w:rsid w:val="00DF1DA7"/>
    <w:rsid w:val="00E47723"/>
    <w:rsid w:val="00E859DE"/>
    <w:rsid w:val="00EC1DC1"/>
    <w:rsid w:val="00F21CD0"/>
    <w:rsid w:val="00FB3892"/>
    <w:rsid w:val="00FE6316"/>
    <w:rsid w:val="016C6A39"/>
    <w:rsid w:val="031C2D81"/>
    <w:rsid w:val="038663B2"/>
    <w:rsid w:val="03A81F59"/>
    <w:rsid w:val="03AE14F9"/>
    <w:rsid w:val="046239E5"/>
    <w:rsid w:val="04C97F99"/>
    <w:rsid w:val="04FE5689"/>
    <w:rsid w:val="052808E8"/>
    <w:rsid w:val="0541565B"/>
    <w:rsid w:val="058B380A"/>
    <w:rsid w:val="071A1C5D"/>
    <w:rsid w:val="07624DFC"/>
    <w:rsid w:val="07905069"/>
    <w:rsid w:val="08000DCB"/>
    <w:rsid w:val="0867790E"/>
    <w:rsid w:val="09C11061"/>
    <w:rsid w:val="0A507E74"/>
    <w:rsid w:val="0AD713C8"/>
    <w:rsid w:val="0AD94039"/>
    <w:rsid w:val="0B807C1F"/>
    <w:rsid w:val="0BC24423"/>
    <w:rsid w:val="0BD57B18"/>
    <w:rsid w:val="0C237929"/>
    <w:rsid w:val="0DE86E32"/>
    <w:rsid w:val="0E69128A"/>
    <w:rsid w:val="0EA219BA"/>
    <w:rsid w:val="0EF01F71"/>
    <w:rsid w:val="0FD435ED"/>
    <w:rsid w:val="10AD7070"/>
    <w:rsid w:val="10C90F4A"/>
    <w:rsid w:val="1216280D"/>
    <w:rsid w:val="12AB0381"/>
    <w:rsid w:val="13446264"/>
    <w:rsid w:val="13472605"/>
    <w:rsid w:val="13B72F06"/>
    <w:rsid w:val="13F61BEF"/>
    <w:rsid w:val="153C5261"/>
    <w:rsid w:val="15C41B63"/>
    <w:rsid w:val="16E40760"/>
    <w:rsid w:val="17440BD1"/>
    <w:rsid w:val="177D0083"/>
    <w:rsid w:val="17B22B7E"/>
    <w:rsid w:val="17BB7A8D"/>
    <w:rsid w:val="18045CC5"/>
    <w:rsid w:val="1A39469E"/>
    <w:rsid w:val="1A517658"/>
    <w:rsid w:val="1AEA5CE2"/>
    <w:rsid w:val="1B2A3C89"/>
    <w:rsid w:val="1B44029A"/>
    <w:rsid w:val="1BAA4032"/>
    <w:rsid w:val="1BE53912"/>
    <w:rsid w:val="1C6A2829"/>
    <w:rsid w:val="1C975495"/>
    <w:rsid w:val="1CCB02BA"/>
    <w:rsid w:val="1D4E17BC"/>
    <w:rsid w:val="1D826D94"/>
    <w:rsid w:val="1DD9361D"/>
    <w:rsid w:val="1E26790C"/>
    <w:rsid w:val="1E40098C"/>
    <w:rsid w:val="1E48784D"/>
    <w:rsid w:val="1E7C2AC0"/>
    <w:rsid w:val="1F060507"/>
    <w:rsid w:val="1F9B666F"/>
    <w:rsid w:val="20302CE2"/>
    <w:rsid w:val="204545DD"/>
    <w:rsid w:val="209D4DD0"/>
    <w:rsid w:val="211A77A2"/>
    <w:rsid w:val="2123275A"/>
    <w:rsid w:val="2158154F"/>
    <w:rsid w:val="21812006"/>
    <w:rsid w:val="21E67795"/>
    <w:rsid w:val="223B196E"/>
    <w:rsid w:val="231E3B96"/>
    <w:rsid w:val="234B6D88"/>
    <w:rsid w:val="23BC0615"/>
    <w:rsid w:val="244A5D0B"/>
    <w:rsid w:val="24EB46DF"/>
    <w:rsid w:val="25AA2ACF"/>
    <w:rsid w:val="25C73C23"/>
    <w:rsid w:val="260857A9"/>
    <w:rsid w:val="260B6214"/>
    <w:rsid w:val="260B7CF7"/>
    <w:rsid w:val="26175025"/>
    <w:rsid w:val="26791AB7"/>
    <w:rsid w:val="277C133F"/>
    <w:rsid w:val="2D1816D5"/>
    <w:rsid w:val="2E5F1B67"/>
    <w:rsid w:val="30852424"/>
    <w:rsid w:val="30B028C2"/>
    <w:rsid w:val="30DB01ED"/>
    <w:rsid w:val="31537CBD"/>
    <w:rsid w:val="31C71069"/>
    <w:rsid w:val="32825C67"/>
    <w:rsid w:val="32CB6EC2"/>
    <w:rsid w:val="33344576"/>
    <w:rsid w:val="34DD46EC"/>
    <w:rsid w:val="34E46ECE"/>
    <w:rsid w:val="364533CB"/>
    <w:rsid w:val="371B2DCA"/>
    <w:rsid w:val="374B5A6C"/>
    <w:rsid w:val="38332E16"/>
    <w:rsid w:val="384843E6"/>
    <w:rsid w:val="385439A9"/>
    <w:rsid w:val="38D6530D"/>
    <w:rsid w:val="38F3666F"/>
    <w:rsid w:val="396D56E5"/>
    <w:rsid w:val="399454D1"/>
    <w:rsid w:val="39D230CE"/>
    <w:rsid w:val="3AC7351A"/>
    <w:rsid w:val="3B5A1EBF"/>
    <w:rsid w:val="3C730BF4"/>
    <w:rsid w:val="3E786275"/>
    <w:rsid w:val="3E934550"/>
    <w:rsid w:val="3F8254EA"/>
    <w:rsid w:val="3F8903FB"/>
    <w:rsid w:val="3F991E4C"/>
    <w:rsid w:val="3FDA7248"/>
    <w:rsid w:val="3FE843F1"/>
    <w:rsid w:val="3FEC002C"/>
    <w:rsid w:val="40545BA6"/>
    <w:rsid w:val="4103309E"/>
    <w:rsid w:val="4159323F"/>
    <w:rsid w:val="419563E2"/>
    <w:rsid w:val="41B16CBD"/>
    <w:rsid w:val="42214DB6"/>
    <w:rsid w:val="42BA6D87"/>
    <w:rsid w:val="440B5536"/>
    <w:rsid w:val="445A628E"/>
    <w:rsid w:val="449D1A30"/>
    <w:rsid w:val="457A3C68"/>
    <w:rsid w:val="46156CA9"/>
    <w:rsid w:val="466A6320"/>
    <w:rsid w:val="47E56361"/>
    <w:rsid w:val="48494489"/>
    <w:rsid w:val="486768BF"/>
    <w:rsid w:val="488E5AE0"/>
    <w:rsid w:val="48A345C4"/>
    <w:rsid w:val="48C27124"/>
    <w:rsid w:val="48C33B8F"/>
    <w:rsid w:val="49091AF4"/>
    <w:rsid w:val="497F4E5E"/>
    <w:rsid w:val="49CD10CA"/>
    <w:rsid w:val="49F05B22"/>
    <w:rsid w:val="4A880CB0"/>
    <w:rsid w:val="4AA83D47"/>
    <w:rsid w:val="4DA96531"/>
    <w:rsid w:val="4DC00D93"/>
    <w:rsid w:val="4EB60FF7"/>
    <w:rsid w:val="4F706666"/>
    <w:rsid w:val="50C43941"/>
    <w:rsid w:val="5166549D"/>
    <w:rsid w:val="51CB5EB2"/>
    <w:rsid w:val="521A1A65"/>
    <w:rsid w:val="52AB45CA"/>
    <w:rsid w:val="531A3E2D"/>
    <w:rsid w:val="531E2B2E"/>
    <w:rsid w:val="5361045A"/>
    <w:rsid w:val="53A464FF"/>
    <w:rsid w:val="53B31476"/>
    <w:rsid w:val="53C14F3D"/>
    <w:rsid w:val="56A21FD2"/>
    <w:rsid w:val="56A74080"/>
    <w:rsid w:val="56B27B7D"/>
    <w:rsid w:val="57107F9D"/>
    <w:rsid w:val="573A5AE9"/>
    <w:rsid w:val="582023EA"/>
    <w:rsid w:val="582F698C"/>
    <w:rsid w:val="591202D0"/>
    <w:rsid w:val="592D5A43"/>
    <w:rsid w:val="594C7778"/>
    <w:rsid w:val="5A4D1ABD"/>
    <w:rsid w:val="5B1313D4"/>
    <w:rsid w:val="5B292FF1"/>
    <w:rsid w:val="5BB1295D"/>
    <w:rsid w:val="5CC77D82"/>
    <w:rsid w:val="5D4C40C1"/>
    <w:rsid w:val="5D51133E"/>
    <w:rsid w:val="5F677961"/>
    <w:rsid w:val="5F9A1432"/>
    <w:rsid w:val="5FD25142"/>
    <w:rsid w:val="60070CDE"/>
    <w:rsid w:val="600A0D8E"/>
    <w:rsid w:val="600C0C52"/>
    <w:rsid w:val="60154E6E"/>
    <w:rsid w:val="62000BDC"/>
    <w:rsid w:val="621D6070"/>
    <w:rsid w:val="629168E1"/>
    <w:rsid w:val="62940BC1"/>
    <w:rsid w:val="63052105"/>
    <w:rsid w:val="634E78D9"/>
    <w:rsid w:val="63D15E95"/>
    <w:rsid w:val="65190BE7"/>
    <w:rsid w:val="65614ECA"/>
    <w:rsid w:val="66813253"/>
    <w:rsid w:val="6758546E"/>
    <w:rsid w:val="687E2BB5"/>
    <w:rsid w:val="689917A4"/>
    <w:rsid w:val="69793058"/>
    <w:rsid w:val="6A417062"/>
    <w:rsid w:val="6A655CD4"/>
    <w:rsid w:val="6A7334B3"/>
    <w:rsid w:val="6B9572C0"/>
    <w:rsid w:val="6B9A0B88"/>
    <w:rsid w:val="6BA8048A"/>
    <w:rsid w:val="6D4F05EB"/>
    <w:rsid w:val="6D825C0F"/>
    <w:rsid w:val="6DCD3CD1"/>
    <w:rsid w:val="6E407809"/>
    <w:rsid w:val="6E6D5640"/>
    <w:rsid w:val="6E872E96"/>
    <w:rsid w:val="6ED0206B"/>
    <w:rsid w:val="70356342"/>
    <w:rsid w:val="703E3EAB"/>
    <w:rsid w:val="710D23D6"/>
    <w:rsid w:val="718757F4"/>
    <w:rsid w:val="73445299"/>
    <w:rsid w:val="73E266B3"/>
    <w:rsid w:val="742860F5"/>
    <w:rsid w:val="7443662A"/>
    <w:rsid w:val="745C7F2B"/>
    <w:rsid w:val="74E305B6"/>
    <w:rsid w:val="76473DDE"/>
    <w:rsid w:val="764D5CBF"/>
    <w:rsid w:val="769C36E3"/>
    <w:rsid w:val="78F931A9"/>
    <w:rsid w:val="79B031F6"/>
    <w:rsid w:val="7A10100D"/>
    <w:rsid w:val="7A1713A8"/>
    <w:rsid w:val="7AC67562"/>
    <w:rsid w:val="7B327A84"/>
    <w:rsid w:val="7B63592D"/>
    <w:rsid w:val="7BBB577A"/>
    <w:rsid w:val="7C167C8B"/>
    <w:rsid w:val="7C7125DF"/>
    <w:rsid w:val="7C9F2DE8"/>
    <w:rsid w:val="7CA2114B"/>
    <w:rsid w:val="7D1C7D5F"/>
    <w:rsid w:val="7DD96873"/>
    <w:rsid w:val="7DFA44FB"/>
    <w:rsid w:val="7E4E7850"/>
    <w:rsid w:val="7F2349E4"/>
    <w:rsid w:val="7F3C412F"/>
    <w:rsid w:val="7F623BF1"/>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8"/>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character" w:customStyle="1" w:styleId="18">
    <w:name w:val="正文文本缩进 Char"/>
    <w:basedOn w:val="10"/>
    <w:link w:val="3"/>
    <w:qFormat/>
    <w:uiPriority w:val="99"/>
    <w:rPr>
      <w:rFonts w:ascii="Times New Roman" w:hAnsi="Times New Roman" w:eastAsia="宋体" w:cs="Times New Roman"/>
      <w:kern w:val="2"/>
      <w:sz w:val="21"/>
      <w:szCs w:val="21"/>
    </w:rPr>
  </w:style>
  <w:style w:type="paragraph" w:styleId="19">
    <w:name w:val="List Paragraph"/>
    <w:basedOn w:val="1"/>
    <w:qFormat/>
    <w:uiPriority w:val="99"/>
    <w:pPr>
      <w:ind w:firstLine="420" w:firstLineChars="200"/>
    </w:pPr>
  </w:style>
  <w:style w:type="character" w:customStyle="1" w:styleId="20">
    <w:name w:val="占位符文本1"/>
    <w:semiHidden/>
    <w:qFormat/>
    <w:uiPriority w:val="99"/>
    <w:rPr>
      <w:color w:val="808080"/>
    </w:rPr>
  </w:style>
  <w:style w:type="character" w:customStyle="1" w:styleId="21">
    <w:name w:val="占位符文本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3</TotalTime>
  <ScaleCrop>false</ScaleCrop>
  <LinksUpToDate>false</LinksUpToDate>
  <CharactersWithSpaces>35013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西米露露</cp:lastModifiedBy>
  <dcterms:modified xsi:type="dcterms:W3CDTF">2020-10-14T11:18:07Z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