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北京盛芯科技有限公司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29.09.02;34.05.00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29.09.02;34.05.00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半导体芯片及电子元器件的设计开发：总体规划-版图提取-电路整理-工艺选择-版图绘制-电路仿真-制定测试规范-CP测试开发-流片-COB测试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销售：客户接触----合同评审----签订合同-----客户付款------入帐------采购-----客户提货-----验收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设计开发过程为关键过程：设计开发控制程序、人员专业能力、设备能力、设计开发策划、设计开发评审、设计开发验证、设计开发确认、设计开发变更等，均为设计开发关键过程，需对每个过程进行记录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销售过程为特殊过程：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销售主要质量指标：熟悉行业规范、具备执业素养、具有亲和力与良好的沟通能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力，了解顾客对公司的需求情况及顾客明示或隐含的要求 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SJT10416-1993 半导体分立器件芯片总规范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国家质监总局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2012-02-25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QJ1693-1989 电子元器件防静电要求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国家质监总局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2012-04-11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QJ840-1984 电子元器件环境技术要求和试验方法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国家质监总局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2012-04-11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F271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5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2020-09-28T11:53:41Z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