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sz w:val="21"/>
                <w:szCs w:val="21"/>
              </w:rPr>
              <w:t>沈丹玲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岳树亮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远程）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29日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6.1.2/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6.2/7.2/7.4/7.5/8.1/8.1.2/8.1.3/8.2/9.1.1/9.1.2/9.2/10.2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7.5/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8.4/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9.2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auto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9"/>
              <w:gridCol w:w="2264"/>
              <w:gridCol w:w="4328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32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0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检查供电线路是否老化，安全用电，禁烟禁火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12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26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3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楷体_GB2312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加强人员培训，按规程操作，加强人员防护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US" w:eastAsia="zh-CN" w:bidi="ar-SA"/>
                    </w:rPr>
                    <w:t>综合部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</w:t>
            </w:r>
            <w:r>
              <w:rPr>
                <w:rFonts w:hint="eastAsia"/>
                <w:vertAlign w:val="baseline"/>
                <w:lang w:val="en-US" w:eastAsia="zh-CN"/>
              </w:rPr>
              <w:t>质量目标和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机械伤害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 w:eastAsia="宋体" w:cs="Times New Roman"/>
                      <w:color w:val="auto"/>
                      <w:spacing w:val="-2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合同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按时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1"/>
                      <w:szCs w:val="21"/>
                    </w:rPr>
                    <w:t>履约率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18"/>
                      <w:szCs w:val="18"/>
                      <w:lang w:val="en-US" w:eastAsia="zh-CN"/>
                    </w:rPr>
                    <w:t>90%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顾客满意度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≥9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产品一次交验合格率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18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18"/>
                      <w:szCs w:val="18"/>
                    </w:rPr>
                    <w:t>≥98%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培训记录中未对生产人员进行计量器具使用的培训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不足，说明：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</w:rPr>
                    <w:t>潘朦芝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综合部经理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</w:t>
                  </w:r>
                </w:p>
                <w:p>
                  <w:pPr>
                    <w:tabs>
                      <w:tab w:val="left" w:pos="1215"/>
                    </w:tabs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  <w:r>
                    <w:rPr>
                      <w:color w:val="auto"/>
                      <w:highlight w:val="none"/>
                    </w:rPr>
                    <w:tab/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  <w:highlight w:val="none"/>
                    </w:rPr>
                    <w:t>潘俊杰      销售部经理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管理者代表</w:t>
                  </w:r>
                </w:p>
                <w:p>
                  <w:pPr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潘立红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学历：高中及以上学历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专业：——</w:t>
                  </w:r>
                </w:p>
                <w:p>
                  <w:pPr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color w:val="auto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暂无计划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管理体系标准、</w:t>
                  </w:r>
                  <w:r>
                    <w:rPr>
                      <w:rFonts w:hint="eastAsia"/>
                      <w:color w:val="auto"/>
                      <w:szCs w:val="22"/>
                      <w:lang w:val="zh-CN" w:eastAsia="zh-CN"/>
                    </w:rPr>
                    <w:t>相关知识、法律法规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口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2020年7月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公司规章制度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2020年8月</w:t>
                  </w:r>
                </w:p>
              </w:tc>
              <w:tc>
                <w:tcPr>
                  <w:tcW w:w="239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内审要求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部门负责人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1263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特种设备作业人员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74"/>
              <w:gridCol w:w="2284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b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b/>
                      <w:color w:val="auto"/>
                      <w:highlight w:val="none"/>
                    </w:rPr>
                    <w:t>特种作业人员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姓名</w:t>
                  </w:r>
                </w:p>
              </w:tc>
              <w:tc>
                <w:tcPr>
                  <w:tcW w:w="2284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高压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 xml:space="preserve"> 白卫新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T320223197010156618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2026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FF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的情况（体系建立以来新建《</w:t>
            </w:r>
            <w:r>
              <w:rPr>
                <w:rFonts w:hint="eastAsia"/>
                <w:szCs w:val="22"/>
                <w:highlight w:val="none"/>
              </w:rPr>
              <w:t>工人三级安全教育记录卡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）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员工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建卡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日期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朱小忠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刘燕平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2020.6.10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  <w:lang w:val="en-US" w:eastAsia="zh-CN"/>
              </w:rPr>
              <w:t>质量和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  <w:lang w:val="en-US" w:eastAsia="zh-CN"/>
              </w:rPr>
              <w:t>质量和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9"/>
              <w:gridCol w:w="1336"/>
              <w:gridCol w:w="2377"/>
              <w:gridCol w:w="1166"/>
              <w:gridCol w:w="141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237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2020-09-03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计量检定</w:t>
                  </w:r>
                </w:p>
              </w:tc>
              <w:tc>
                <w:tcPr>
                  <w:tcW w:w="237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宜兴市计量检定研究所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按计划完成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39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2020-09-20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体检</w:t>
                  </w:r>
                </w:p>
              </w:tc>
              <w:tc>
                <w:tcPr>
                  <w:tcW w:w="237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u w:val="none"/>
                      <w:lang w:val="en-US" w:eastAsia="zh-CN"/>
                    </w:rPr>
                    <w:t>宜兴屺亭医院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按计划完成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2756"/>
              <w:gridCol w:w="1168"/>
              <w:gridCol w:w="1120"/>
              <w:gridCol w:w="1184"/>
              <w:gridCol w:w="13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756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16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120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184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30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2020-05-25</w:t>
                  </w:r>
                </w:p>
              </w:tc>
              <w:tc>
                <w:tcPr>
                  <w:tcW w:w="27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vertAlign w:val="baseline"/>
                      <w:lang w:val="en-US" w:eastAsia="zh-CN"/>
                    </w:rPr>
                    <w:t>安全目标指标方案检查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专题会议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2020-06-22</w:t>
                  </w:r>
                </w:p>
              </w:tc>
              <w:tc>
                <w:tcPr>
                  <w:tcW w:w="27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环境安全检查</w:t>
                  </w:r>
                </w:p>
              </w:tc>
              <w:tc>
                <w:tcPr>
                  <w:tcW w:w="116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专题会议</w:t>
                  </w:r>
                </w:p>
              </w:tc>
              <w:tc>
                <w:tcPr>
                  <w:tcW w:w="1184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2020-09-10</w:t>
                  </w:r>
                </w:p>
              </w:tc>
              <w:tc>
                <w:tcPr>
                  <w:tcW w:w="27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环境安全检查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专题会议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3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7.5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3"/>
              <w:gridCol w:w="1624"/>
              <w:gridCol w:w="1120"/>
              <w:gridCol w:w="871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87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1543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1543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871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7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1"/>
              <w:gridCol w:w="1745"/>
              <w:gridCol w:w="1172"/>
              <w:gridCol w:w="1218"/>
              <w:gridCol w:w="1810"/>
              <w:gridCol w:w="1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2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791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环境保护法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大气污染保护法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Chars="0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质量管理体系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职业健康安全管理体系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7"/>
              <w:tblW w:w="89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2"/>
              <w:gridCol w:w="1684"/>
              <w:gridCol w:w="1099"/>
              <w:gridCol w:w="1218"/>
              <w:gridCol w:w="1542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基础设施一览表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设备维护保养记录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环境、安全运行控制程</w:t>
            </w:r>
            <w:r>
              <w:rPr>
                <w:rFonts w:hint="eastAsia"/>
                <w:highlight w:val="none"/>
                <w:lang w:val="en-US" w:eastAsia="zh-CN"/>
              </w:rPr>
              <w:t>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9"/>
              <w:gridCol w:w="2615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建立过程准则；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31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26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1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2615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06"/>
              <w:gridCol w:w="2128"/>
              <w:gridCol w:w="1392"/>
              <w:gridCol w:w="14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506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2128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392" w:type="dxa"/>
                </w:tcPr>
                <w:p>
                  <w:pPr>
                    <w:jc w:val="center"/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1448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39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4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消防演练</w:t>
                  </w:r>
                </w:p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2020年7月18日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>
            <w:r>
              <w:rPr>
                <w:rFonts w:hint="eastAsia"/>
              </w:rPr>
              <w:t>从《供方名单》中列出的合格供方，随机抽取下列证据：抽合格供方：</w:t>
            </w:r>
            <w:r>
              <w:rPr>
                <w:rFonts w:hint="eastAsia" w:ascii="仿宋_GB2312" w:eastAsia="仿宋_GB2312"/>
                <w:szCs w:val="28"/>
              </w:rPr>
              <w:t>常州市润泰塑业科技有限公司</w:t>
            </w:r>
            <w:r>
              <w:rPr>
                <w:rFonts w:hint="eastAsia"/>
              </w:rPr>
              <w:t>等。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供方评定记录表》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8"/>
                    </w:rPr>
                    <w:t>常州市润泰塑业科技有限公司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聚丙烯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91320412MA20H24F7E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/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提供了《供方评定记录表》，对其进行监控。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7"/>
              <w:numPr>
                <w:ilvl w:val="2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bookmarkStart w:id="1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1"/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环境、安全运行控制程序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《公司环境因素识别评价表》、</w:t>
            </w:r>
            <w:r>
              <w:rPr>
                <w:rFonts w:hint="eastAsia"/>
                <w:lang w:val="en-US" w:eastAsia="zh-CN"/>
              </w:rPr>
              <w:t>《环境安全检查记录》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《日常检查记录 》，每月综合部检查一次，每周车间负责人检查，均有记录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 不适用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体检报告：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蒋茂华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职检字第3200915074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谢新华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职检字第3200915075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潘卫红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职检字第3200915077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刘燕平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职检字第3200915080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职业性健康检查表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朱小忠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职检字第3200915082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 年 09 月 20日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检测机构：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宜兴屺亭医院</w:t>
            </w:r>
          </w:p>
          <w:p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高温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噪声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bookmarkStart w:id="2" w:name="_GoBack"/>
            <w:bookmarkEnd w:id="2"/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</w:p>
          <w:p>
            <w:pPr>
              <w:ind w:firstLine="210" w:firstLineChars="100"/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，结论：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管理手册、</w:t>
            </w:r>
            <w:r>
              <w:rPr>
                <w:rFonts w:hint="eastAsia"/>
                <w:lang w:val="en-US" w:eastAsia="zh-CN"/>
              </w:rPr>
              <w:t>《合规性评价控制程序》》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5"/>
              <w:gridCol w:w="1496"/>
              <w:gridCol w:w="2448"/>
              <w:gridCol w:w="19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496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44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1924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环境保护法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固体废物污染环境防治法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中华人民共务国消防法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江苏省节约能源条例</w:t>
                  </w:r>
                </w:p>
              </w:tc>
              <w:tc>
                <w:tcPr>
                  <w:tcW w:w="14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2020-05-20</w:t>
                  </w:r>
                </w:p>
              </w:tc>
              <w:tc>
                <w:tcPr>
                  <w:tcW w:w="24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一年</w:t>
            </w:r>
            <w:r>
              <w:rPr>
                <w:rFonts w:hint="eastAsia"/>
                <w:color w:val="auto"/>
                <w:szCs w:val="18"/>
              </w:rPr>
              <w:t>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1-2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名内审员；有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管理层、综合部、生产部、销售部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spacing w:before="120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查《新进员工培训》，但未能提供已对此次培训有效性进行评价的有关证实。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不符合标准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GB/T19001-2016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、</w:t>
            </w:r>
            <w:r>
              <w:rPr>
                <w:rFonts w:hint="eastAsia" w:ascii="宋体"/>
                <w:color w:val="000000"/>
                <w:u w:val="single"/>
              </w:rPr>
              <w:t>GB/T24001-2016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、 </w:t>
            </w:r>
            <w:r>
              <w:rPr>
                <w:rFonts w:ascii="宋体"/>
                <w:color w:val="000000"/>
                <w:u w:val="single"/>
              </w:rPr>
              <w:t>IS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0</w:t>
            </w:r>
            <w:r>
              <w:rPr>
                <w:rFonts w:ascii="宋体"/>
                <w:color w:val="000000"/>
                <w:u w:val="single"/>
              </w:rPr>
              <w:t>45001-2018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ascii="宋体"/>
                <w:color w:val="000000"/>
                <w:u w:val="single"/>
              </w:rPr>
              <w:t>7.2</w:t>
            </w:r>
            <w:r>
              <w:rPr>
                <w:rFonts w:hint="eastAsia" w:ascii="宋体"/>
                <w:color w:val="000000"/>
                <w:u w:val="single"/>
              </w:rPr>
              <w:t>条款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未发生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02B3B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3C3A7A"/>
    <w:rsid w:val="0148246F"/>
    <w:rsid w:val="01E27364"/>
    <w:rsid w:val="02113B23"/>
    <w:rsid w:val="021E04B6"/>
    <w:rsid w:val="02203F02"/>
    <w:rsid w:val="0228580F"/>
    <w:rsid w:val="026A697D"/>
    <w:rsid w:val="028120F9"/>
    <w:rsid w:val="02B64C88"/>
    <w:rsid w:val="02C75A20"/>
    <w:rsid w:val="02FE6E77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233C38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434734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445BE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699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2BD5181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31EDD"/>
    <w:rsid w:val="142B1883"/>
    <w:rsid w:val="145B46D3"/>
    <w:rsid w:val="14642D75"/>
    <w:rsid w:val="14A349D6"/>
    <w:rsid w:val="14AA3BE9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637DD"/>
    <w:rsid w:val="16AB3CAD"/>
    <w:rsid w:val="16E341B9"/>
    <w:rsid w:val="16F10A78"/>
    <w:rsid w:val="17226BDD"/>
    <w:rsid w:val="17446813"/>
    <w:rsid w:val="177551EA"/>
    <w:rsid w:val="178419DC"/>
    <w:rsid w:val="1787546B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201572E0"/>
    <w:rsid w:val="20272451"/>
    <w:rsid w:val="203255D2"/>
    <w:rsid w:val="20346C8F"/>
    <w:rsid w:val="20360EF9"/>
    <w:rsid w:val="20403C64"/>
    <w:rsid w:val="2054573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094CB3"/>
    <w:rsid w:val="23363714"/>
    <w:rsid w:val="23461CA8"/>
    <w:rsid w:val="238A1BAA"/>
    <w:rsid w:val="23900E62"/>
    <w:rsid w:val="239357EF"/>
    <w:rsid w:val="239C1861"/>
    <w:rsid w:val="23AE7B4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23E83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526708"/>
    <w:rsid w:val="269C7CAD"/>
    <w:rsid w:val="26F735B3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E45998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7947B2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00679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255A6F"/>
    <w:rsid w:val="2F7C571D"/>
    <w:rsid w:val="2F7C614A"/>
    <w:rsid w:val="2FA86B66"/>
    <w:rsid w:val="2FE823A5"/>
    <w:rsid w:val="2FEA1C57"/>
    <w:rsid w:val="300172B8"/>
    <w:rsid w:val="30284CE9"/>
    <w:rsid w:val="306955DB"/>
    <w:rsid w:val="30945277"/>
    <w:rsid w:val="30C1548B"/>
    <w:rsid w:val="30C36ECA"/>
    <w:rsid w:val="30C71DD4"/>
    <w:rsid w:val="30CA3701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981B94"/>
    <w:rsid w:val="33C65FCE"/>
    <w:rsid w:val="33F07155"/>
    <w:rsid w:val="340C6245"/>
    <w:rsid w:val="34113C74"/>
    <w:rsid w:val="341F702C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786792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6F25ED"/>
    <w:rsid w:val="3F8B28F9"/>
    <w:rsid w:val="3F8E03C8"/>
    <w:rsid w:val="3FA434FD"/>
    <w:rsid w:val="3FB13910"/>
    <w:rsid w:val="3FB850F1"/>
    <w:rsid w:val="3FC72695"/>
    <w:rsid w:val="3FD70A70"/>
    <w:rsid w:val="3FF45816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13727"/>
    <w:rsid w:val="427A1188"/>
    <w:rsid w:val="428835A3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D42AE6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4A2391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AA3234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A4D33"/>
    <w:rsid w:val="4E7774D0"/>
    <w:rsid w:val="4EAA463D"/>
    <w:rsid w:val="4EBB3EBF"/>
    <w:rsid w:val="4F594843"/>
    <w:rsid w:val="4F88590D"/>
    <w:rsid w:val="503C3BCC"/>
    <w:rsid w:val="50763D63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2934A2"/>
    <w:rsid w:val="534F62F7"/>
    <w:rsid w:val="53660E02"/>
    <w:rsid w:val="536F60C1"/>
    <w:rsid w:val="53953BE7"/>
    <w:rsid w:val="53970F9D"/>
    <w:rsid w:val="53A35D6F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630024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7162C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BF840C2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14631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7374F0"/>
    <w:rsid w:val="5FCC65B3"/>
    <w:rsid w:val="5FE015B4"/>
    <w:rsid w:val="5FE25FD5"/>
    <w:rsid w:val="6018182B"/>
    <w:rsid w:val="601E0F43"/>
    <w:rsid w:val="60250281"/>
    <w:rsid w:val="604E6EEE"/>
    <w:rsid w:val="60593BA5"/>
    <w:rsid w:val="60596F8D"/>
    <w:rsid w:val="608075E1"/>
    <w:rsid w:val="60E47C4C"/>
    <w:rsid w:val="61017B9D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3121E6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21E1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14542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BFE022B"/>
    <w:rsid w:val="7C0471A6"/>
    <w:rsid w:val="7C090682"/>
    <w:rsid w:val="7C374197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763028"/>
    <w:rsid w:val="7F9026D0"/>
    <w:rsid w:val="7F984417"/>
    <w:rsid w:val="7FC04332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2020-10-09T23:47:25Z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