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陪同人员：潘</w:t>
            </w:r>
            <w:r>
              <w:rPr>
                <w:rFonts w:hint="eastAsia"/>
                <w:sz w:val="24"/>
                <w:szCs w:val="24"/>
                <w:lang w:val="en-US" w:eastAsia="zh-CN"/>
              </w:rPr>
              <w:t>卫</w:t>
            </w:r>
            <w:r>
              <w:rPr>
                <w:rFonts w:hint="eastAsia"/>
                <w:sz w:val="24"/>
                <w:szCs w:val="24"/>
              </w:rPr>
              <w:t>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sz w:val="24"/>
                <w:szCs w:val="24"/>
              </w:rPr>
            </w:pPr>
            <w:r>
              <w:rPr>
                <w:rFonts w:hint="eastAsia"/>
                <w:sz w:val="24"/>
                <w:szCs w:val="24"/>
              </w:rPr>
              <w:t>审核员： 李青</w:t>
            </w:r>
            <w:r>
              <w:rPr>
                <w:color w:val="1D41D5"/>
                <w:sz w:val="24"/>
                <w:szCs w:val="24"/>
              </w:rPr>
              <w:t xml:space="preserve">    </w:t>
            </w:r>
            <w:r>
              <w:rPr>
                <w:sz w:val="24"/>
                <w:szCs w:val="24"/>
              </w:rPr>
              <w:t xml:space="preserve"> </w:t>
            </w:r>
            <w:r>
              <w:rPr>
                <w:rFonts w:hint="eastAsia"/>
                <w:sz w:val="24"/>
                <w:szCs w:val="24"/>
              </w:rPr>
              <w:t>审核日期：2020-9-2（远程）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Cs w:val="21"/>
              </w:rPr>
            </w:pPr>
            <w:r>
              <w:rPr>
                <w:rFonts w:hint="eastAsia"/>
                <w:sz w:val="24"/>
                <w:szCs w:val="24"/>
              </w:rPr>
              <w:t>审核条款：</w:t>
            </w:r>
            <w:r>
              <w:rPr>
                <w:rFonts w:hint="eastAsia"/>
                <w:szCs w:val="21"/>
              </w:rPr>
              <w:t>EMS：4.1 4.2 4.3 4.4 5.1 5.2 5.3 6.1 6.2 7.1 7.3 9.3 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理解组织及其所处的环境</w:t>
            </w:r>
          </w:p>
        </w:tc>
        <w:tc>
          <w:tcPr>
            <w:tcW w:w="960" w:type="dxa"/>
            <w:vMerge w:val="restart"/>
          </w:tcPr>
          <w:p>
            <w:r>
              <w:rPr>
                <w:rFonts w:hint="eastAsia"/>
              </w:rPr>
              <w:t xml:space="preserve">E4.1 </w:t>
            </w:r>
          </w:p>
        </w:tc>
        <w:tc>
          <w:tcPr>
            <w:tcW w:w="745" w:type="dxa"/>
          </w:tcPr>
          <w:p>
            <w:r>
              <w:rPr>
                <w:rFonts w:hint="eastAsia"/>
              </w:rPr>
              <w:t>文件名称</w:t>
            </w:r>
          </w:p>
        </w:tc>
        <w:tc>
          <w:tcPr>
            <w:tcW w:w="9259" w:type="dxa"/>
          </w:tcPr>
          <w:p>
            <w:r>
              <w:rPr>
                <w:rFonts w:hint="eastAsia"/>
              </w:rPr>
              <w:t>如：☑《公司环境分析控制程序》、☑管理手册第4.1章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外部环境</w:t>
                  </w:r>
                </w:p>
              </w:tc>
              <w:tc>
                <w:tcPr>
                  <w:tcW w:w="7147" w:type="dxa"/>
                </w:tcPr>
                <w:p>
                  <w:r>
                    <w:rPr>
                      <w:rFonts w:hint="eastAsia"/>
                    </w:rPr>
                    <w:t xml:space="preserve">☑法律法规 ☑技术与竞争 ☑市场因素 </w:t>
                  </w:r>
                  <w:r>
                    <w:rPr>
                      <w:rFonts w:hint="eastAsia"/>
                    </w:rPr>
                    <w:sym w:font="Wingdings" w:char="00A8"/>
                  </w:r>
                  <w:r>
                    <w:rPr>
                      <w:rFonts w:hint="eastAsia"/>
                    </w:rPr>
                    <w:t xml:space="preserve">行业竞争对手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rPr>
                    <w:t>国家、地方质量、环保、职业健康的要求</w:t>
                  </w:r>
                  <w:r>
                    <w:rPr>
                      <w:rFonts w:hint="eastAsia" w:ascii="宋体" w:hAnsi="宋体" w:cs="宋体"/>
                      <w:kern w:val="0"/>
                      <w:szCs w:val="21"/>
                    </w:rPr>
                    <w:t>；</w:t>
                  </w:r>
                  <w:r>
                    <w:rPr>
                      <w:rFonts w:hint="eastAsia" w:ascii="宋体" w:hAnsi="宋体" w:cs="宋体"/>
                    </w:rPr>
                    <w:t>产品性能体现在外观、性能、效果等方面一般，公司技术上的竟争不足</w:t>
                  </w:r>
                  <w:r>
                    <w:rPr>
                      <w:rFonts w:hint="eastAsia" w:ascii="宋体" w:hAnsi="宋体" w:cs="宋体"/>
                      <w:kern w:val="0"/>
                      <w:szCs w:val="21"/>
                    </w:rPr>
                    <w:t>；</w:t>
                  </w:r>
                  <w:r>
                    <w:rPr>
                      <w:rFonts w:hint="eastAsia" w:ascii="宋体" w:hAnsi="宋体" w:cs="宋体"/>
                    </w:rPr>
                    <w:t>目前，我司产品市场上品牌市场占有率较低，公司品牌效应有待提高。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内部环境</w:t>
                  </w:r>
                </w:p>
              </w:tc>
              <w:tc>
                <w:tcPr>
                  <w:tcW w:w="7147" w:type="dxa"/>
                </w:tcPr>
                <w:p>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pPr>
                    <w:spacing w:line="360" w:lineRule="exact"/>
                    <w:jc w:val="left"/>
                    <w:rPr>
                      <w:rFonts w:ascii="宋体" w:cs="宋体"/>
                      <w:color w:val="000000"/>
                    </w:rPr>
                  </w:pPr>
                  <w:r>
                    <w:rPr>
                      <w:rFonts w:hint="eastAsia" w:ascii="宋体" w:hAnsi="宋体" w:cs="宋体"/>
                      <w:color w:val="000000"/>
                    </w:rPr>
                    <w:t>知识的获取方面根据标准要求，还不完善；未建立激励机制；</w:t>
                  </w:r>
                </w:p>
                <w:p>
                  <w:pPr>
                    <w:rPr>
                      <w:color w:val="FF0000"/>
                    </w:rPr>
                  </w:pPr>
                  <w:r>
                    <w:rPr>
                      <w:rFonts w:hint="eastAsia" w:ascii="宋体" w:hAnsi="宋体" w:cs="宋体"/>
                      <w:color w:val="000000"/>
                    </w:rPr>
                    <w:t>对部门负责人激励授权不足。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组织优势说明</w:t>
                  </w:r>
                </w:p>
              </w:tc>
              <w:tc>
                <w:tcPr>
                  <w:tcW w:w="7147" w:type="dxa"/>
                  <w:vAlign w:val="center"/>
                </w:tcPr>
                <w:p>
                  <w:pPr>
                    <w:rPr>
                      <w:color w:val="FF0000"/>
                      <w:szCs w:val="21"/>
                    </w:rPr>
                  </w:pPr>
                  <w:r>
                    <w:rPr>
                      <w:rFonts w:hint="eastAsia" w:ascii="宋体" w:hAnsi="宋体" w:cs="宋体"/>
                      <w:color w:val="000000"/>
                    </w:rPr>
                    <w:t>国家政策有利于优质产品市场发展；高层管理者重视企业价值观的宣传和教育，促进全员积极性发挥，</w:t>
                  </w:r>
                  <w:r>
                    <w:rPr>
                      <w:rFonts w:hint="eastAsia" w:ascii="宋体" w:hAnsi="宋体" w:cs="宋体"/>
                      <w:color w:val="000000"/>
                      <w:shd w:val="clear" w:color="auto" w:fill="FFFFFF"/>
                    </w:rPr>
                    <w:t>从而节省了企业运营成本，提高了企业的经营效率。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组织劣势说明</w:t>
                  </w:r>
                </w:p>
              </w:tc>
              <w:tc>
                <w:tcPr>
                  <w:tcW w:w="7147" w:type="dxa"/>
                  <w:vAlign w:val="center"/>
                </w:tcPr>
                <w:p>
                  <w:pPr>
                    <w:rPr>
                      <w:color w:val="FF0000"/>
                      <w:szCs w:val="21"/>
                    </w:rPr>
                  </w:pPr>
                  <w:r>
                    <w:rPr>
                      <w:rFonts w:hint="eastAsia" w:ascii="宋体" w:hAnsi="宋体" w:cs="宋体"/>
                      <w:color w:val="000000"/>
                    </w:rPr>
                    <w:t>企业价值观不明确，知识的</w:t>
                  </w:r>
                  <w:r>
                    <w:rPr>
                      <w:rFonts w:hint="eastAsia" w:ascii="宋体" w:hAnsi="宋体" w:cs="宋体"/>
                    </w:rPr>
                    <w:t>不足，产品性能、价格上</w:t>
                  </w:r>
                  <w:r>
                    <w:rPr>
                      <w:rFonts w:hint="eastAsia" w:ascii="宋体" w:hAnsi="宋体" w:cs="宋体"/>
                      <w:kern w:val="0"/>
                      <w:szCs w:val="21"/>
                    </w:rPr>
                    <w:t>缺少核心竞争力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szCs w:val="21"/>
                    </w:rPr>
                    <w:t>主要风险的说明</w:t>
                  </w:r>
                </w:p>
              </w:tc>
              <w:tc>
                <w:tcPr>
                  <w:tcW w:w="7147" w:type="dxa"/>
                </w:tcPr>
                <w:p>
                  <w:pPr>
                    <w:rPr>
                      <w:rFonts w:ascii="宋体" w:hAnsi="宋体" w:cs="宋体"/>
                    </w:rPr>
                  </w:pPr>
                  <w:r>
                    <w:rPr>
                      <w:rFonts w:hint="eastAsia" w:ascii="宋体" w:hAnsi="宋体" w:cs="宋体"/>
                    </w:rPr>
                    <w:t>1、产品性能、价格与国外、国内先进水平的差距，顾客在选择上处于不利地位。；</w:t>
                  </w:r>
                </w:p>
                <w:p>
                  <w:r>
                    <w:rPr>
                      <w:rFonts w:hint="eastAsia" w:ascii="宋体" w:hAnsi="宋体" w:cs="宋体"/>
                    </w:rPr>
                    <w:t>2、对产品售后服务重视不够，顾客投诉或抱怨，导致顾客流失。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6" w:type="dxa"/>
                  <w:vAlign w:val="center"/>
                </w:tcPr>
                <w:p>
                  <w:r>
                    <w:rPr>
                      <w:rFonts w:hint="eastAsia"/>
                      <w:szCs w:val="21"/>
                    </w:rPr>
                    <w:t>机遇的说明</w:t>
                  </w:r>
                </w:p>
              </w:tc>
              <w:tc>
                <w:tcPr>
                  <w:tcW w:w="7147" w:type="dxa"/>
                  <w:vAlign w:val="center"/>
                </w:tcPr>
                <w:p>
                  <w:pPr>
                    <w:rPr>
                      <w:rFonts w:ascii="宋体" w:hAnsi="宋体" w:cs="宋体"/>
                    </w:rPr>
                  </w:pPr>
                  <w:r>
                    <w:rPr>
                      <w:rFonts w:hint="eastAsia" w:ascii="宋体" w:hAnsi="宋体" w:cs="宋体"/>
                    </w:rPr>
                    <w:t>1、国家政策有利于产品市场开拓，通过获取必要知识，在产品性能上、可靠性方面提高，提高产品竟争力，能带来新的客户。</w:t>
                  </w:r>
                </w:p>
                <w:p>
                  <w:pPr>
                    <w:rPr>
                      <w:color w:val="FF0000"/>
                    </w:rPr>
                  </w:pPr>
                  <w:r>
                    <w:rPr>
                      <w:rFonts w:ascii="宋体" w:hAnsi="宋体" w:cs="宋体"/>
                    </w:rPr>
                    <w:t>2</w:t>
                  </w:r>
                  <w:r>
                    <w:rPr>
                      <w:rFonts w:hint="eastAsia" w:ascii="宋体" w:hAnsi="宋体" w:cs="宋体"/>
                    </w:rPr>
                    <w:t>、通过广告宣传、客户口碑，提高品牌效应，能够促进销售提升。</w:t>
                  </w:r>
                </w:p>
              </w:tc>
            </w:tr>
          </w:tbl>
          <w:p>
            <w:pPr>
              <w:rPr>
                <w:color w:val="000000"/>
                <w:szCs w:val="21"/>
              </w:rPr>
            </w:pPr>
          </w:p>
          <w:p>
            <w:pPr>
              <w:spacing w:before="156"/>
              <w:rPr>
                <w:rFonts w:ascii="Comic Sans MS" w:hAnsi="Comic Sans MS"/>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ascii="宋体" w:hAnsi="宋体" w:cs="宋体"/>
              </w:rPr>
              <w:t>组织内外部环境因素识别和评价表</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E4.2 </w:t>
            </w:r>
          </w:p>
        </w:tc>
        <w:tc>
          <w:tcPr>
            <w:tcW w:w="745" w:type="dxa"/>
          </w:tcPr>
          <w:p>
            <w:r>
              <w:rPr>
                <w:rFonts w:hint="eastAsia"/>
              </w:rPr>
              <w:t>文件名称</w:t>
            </w:r>
          </w:p>
        </w:tc>
        <w:tc>
          <w:tcPr>
            <w:tcW w:w="9259" w:type="dxa"/>
          </w:tcPr>
          <w:p>
            <w:r>
              <w:rPr>
                <w:rFonts w:hint="eastAsia"/>
              </w:rPr>
              <w:t>如：□《理解相关方的需求和期望控制程序》、☑管理手册第4.2章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60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81" w:type="dxa"/>
                  <w:vAlign w:val="center"/>
                </w:tcPr>
                <w:p>
                  <w:pPr>
                    <w:jc w:val="center"/>
                    <w:rPr>
                      <w:highlight w:val="cyan"/>
                    </w:rPr>
                  </w:pPr>
                  <w:r>
                    <w:rPr>
                      <w:rFonts w:hint="eastAsia"/>
                    </w:rPr>
                    <w:t>重要的相关方</w:t>
                  </w:r>
                </w:p>
              </w:tc>
              <w:tc>
                <w:tcPr>
                  <w:tcW w:w="3605" w:type="dxa"/>
                  <w:vAlign w:val="center"/>
                </w:tcPr>
                <w:p>
                  <w:pPr>
                    <w:jc w:val="center"/>
                    <w:rPr>
                      <w:highlight w:val="cyan"/>
                    </w:rPr>
                  </w:pPr>
                  <w:r>
                    <w:rPr>
                      <w:rFonts w:hint="eastAsia"/>
                    </w:rPr>
                    <w:t>相关方名称举例</w:t>
                  </w:r>
                </w:p>
              </w:tc>
              <w:tc>
                <w:tcPr>
                  <w:tcW w:w="3825" w:type="dxa"/>
                  <w:vAlign w:val="center"/>
                </w:tcPr>
                <w:p>
                  <w:pPr>
                    <w:jc w:val="cente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☑政府机构</w:t>
                  </w:r>
                </w:p>
              </w:tc>
              <w:tc>
                <w:tcPr>
                  <w:tcW w:w="3605" w:type="dxa"/>
                  <w:vAlign w:val="center"/>
                </w:tcPr>
                <w:p>
                  <w:r>
                    <w:rPr>
                      <w:rFonts w:hint="eastAsia"/>
                    </w:rPr>
                    <w:t>例如：和桥镇市场监督分局</w:t>
                  </w:r>
                </w:p>
              </w:tc>
              <w:tc>
                <w:tcPr>
                  <w:tcW w:w="3825" w:type="dxa"/>
                </w:tcPr>
                <w:p>
                  <w:r>
                    <w:rPr>
                      <w:rFonts w:hint="eastAsia"/>
                    </w:rPr>
                    <w:t>☑安全生产、环保经营</w:t>
                  </w:r>
                </w:p>
                <w:p>
                  <w:r>
                    <w:rPr>
                      <w:rFonts w:hint="eastAsia"/>
                    </w:rPr>
                    <w:t>☑就业最大化</w:t>
                  </w:r>
                </w:p>
                <w:p>
                  <w:r>
                    <w:rPr>
                      <w:rFonts w:hint="eastAsia"/>
                    </w:rPr>
                    <w:t>☑经营效益好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vAlign w:val="center"/>
                </w:tcPr>
                <w:p>
                  <w:r>
                    <w:rPr>
                      <w:rFonts w:hint="eastAsia"/>
                    </w:rPr>
                    <w:t>☑供方</w:t>
                  </w:r>
                </w:p>
              </w:tc>
              <w:tc>
                <w:tcPr>
                  <w:tcW w:w="3605" w:type="dxa"/>
                  <w:vAlign w:val="center"/>
                </w:tcPr>
                <w:p>
                  <w:r>
                    <w:rPr>
                      <w:rFonts w:hint="eastAsia"/>
                    </w:rPr>
                    <w:t>例如：</w:t>
                  </w:r>
                  <w:r>
                    <w:rPr>
                      <w:rFonts w:hint="eastAsia"/>
                      <w:szCs w:val="22"/>
                    </w:rPr>
                    <w:t>江阴江燕塑料有限公司</w:t>
                  </w:r>
                </w:p>
              </w:tc>
              <w:tc>
                <w:tcPr>
                  <w:tcW w:w="3825" w:type="dxa"/>
                </w:tcPr>
                <w:p>
                  <w:r>
                    <w:rPr>
                      <w:rFonts w:hint="eastAsia"/>
                    </w:rPr>
                    <w:t>☑长期合作、双赢</w:t>
                  </w:r>
                </w:p>
                <w:p>
                  <w:r>
                    <w:rPr>
                      <w:rFonts w:hint="eastAsia"/>
                    </w:rPr>
                    <w:t>☑进货物资质量好</w:t>
                  </w:r>
                </w:p>
                <w:p>
                  <w:r>
                    <w:rPr>
                      <w:rFonts w:hint="eastAsia"/>
                    </w:rPr>
                    <w:t>☑及时结算货款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3605" w:type="dxa"/>
                  <w:vAlign w:val="center"/>
                </w:tcPr>
                <w:p>
                  <w:r>
                    <w:rPr>
                      <w:rFonts w:hint="eastAsia"/>
                    </w:rPr>
                    <w:t>例如：</w:t>
                  </w:r>
                  <w:r>
                    <w:rPr>
                      <w:rFonts w:hint="eastAsia"/>
                      <w:sz w:val="24"/>
                    </w:rPr>
                    <w:t>江苏伟凯建设工程公司</w:t>
                  </w:r>
                </w:p>
              </w:tc>
              <w:tc>
                <w:tcPr>
                  <w:tcW w:w="3825" w:type="dxa"/>
                </w:tcPr>
                <w:p>
                  <w:r>
                    <w:rPr>
                      <w:rFonts w:hint="eastAsia"/>
                    </w:rPr>
                    <w:t>☑产品质量符合顾客要求</w:t>
                  </w:r>
                </w:p>
                <w:p>
                  <w:r>
                    <w:rPr>
                      <w:rFonts w:hint="eastAsia"/>
                    </w:rPr>
                    <w:t>☑及时交货</w:t>
                  </w:r>
                </w:p>
                <w:p>
                  <w:r>
                    <w:rPr>
                      <w:rFonts w:hint="eastAsia" w:ascii="Segoe UI Emoji" w:hAnsi="Segoe UI Emoji" w:cs="Segoe UI Emoji"/>
                    </w:rPr>
                    <w:t>☑</w:t>
                  </w:r>
                  <w:r>
                    <w:rPr>
                      <w:rFonts w:hint="eastAsia"/>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ascii="Segoe UI Emoji" w:hAnsi="Segoe UI Emoji" w:cs="Segoe UI Emoji"/>
                    </w:rPr>
                    <w:t>☑</w:t>
                  </w:r>
                  <w:r>
                    <w:rPr>
                      <w:rFonts w:hint="eastAsia"/>
                    </w:rPr>
                    <w:t>投资方</w:t>
                  </w:r>
                </w:p>
              </w:tc>
              <w:tc>
                <w:tcPr>
                  <w:tcW w:w="3605" w:type="dxa"/>
                  <w:vAlign w:val="center"/>
                </w:tcPr>
                <w:p>
                  <w:r>
                    <w:rPr>
                      <w:rFonts w:hint="eastAsia"/>
                    </w:rPr>
                    <w:t>——</w:t>
                  </w:r>
                </w:p>
              </w:tc>
              <w:tc>
                <w:tcPr>
                  <w:tcW w:w="3825" w:type="dxa"/>
                </w:tcPr>
                <w:p>
                  <w:r>
                    <w:rPr>
                      <w:rFonts w:hint="eastAsia" w:ascii="Segoe UI Emoji" w:hAnsi="Segoe UI Emoji" w:cs="Segoe UI Emoji"/>
                    </w:rPr>
                    <w:t>☑</w:t>
                  </w:r>
                  <w:r>
                    <w:rPr>
                      <w:rFonts w:hint="eastAsia"/>
                    </w:rPr>
                    <w:t>产品优势和市场前景</w:t>
                  </w:r>
                </w:p>
                <w:p>
                  <w:r>
                    <w:rPr>
                      <w:rFonts w:hint="eastAsia" w:ascii="Segoe UI Emoji" w:hAnsi="Segoe UI Emoji" w:cs="Segoe UI Emoji"/>
                    </w:rPr>
                    <w:t>☑</w:t>
                  </w:r>
                  <w:r>
                    <w:rPr>
                      <w:rFonts w:hint="eastAsia"/>
                    </w:rPr>
                    <w:t>获得回报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4"/>
                    </w:rPr>
                  </w:pPr>
                  <w:r>
                    <w:rPr>
                      <w:rFonts w:hint="eastAsia"/>
                    </w:rPr>
                    <w:t>☑员工</w:t>
                  </w:r>
                </w:p>
              </w:tc>
              <w:tc>
                <w:tcPr>
                  <w:tcW w:w="3605" w:type="dxa"/>
                  <w:vAlign w:val="center"/>
                </w:tcPr>
                <w:p>
                  <w:pPr>
                    <w:rPr>
                      <w:szCs w:val="24"/>
                    </w:rPr>
                  </w:pPr>
                  <w:r>
                    <w:rPr>
                      <w:rFonts w:hint="eastAsia"/>
                      <w:szCs w:val="24"/>
                    </w:rPr>
                    <w:t>例如：公司员工</w:t>
                  </w:r>
                </w:p>
              </w:tc>
              <w:tc>
                <w:tcPr>
                  <w:tcW w:w="3825" w:type="dxa"/>
                </w:tcPr>
                <w:p>
                  <w:r>
                    <w:rPr>
                      <w:rFonts w:hint="eastAsia"/>
                    </w:rPr>
                    <w:t>☑组织的持续经营、自我发展</w:t>
                  </w:r>
                </w:p>
                <w:p>
                  <w:r>
                    <w:rPr>
                      <w:rFonts w:hint="eastAsia"/>
                    </w:rPr>
                    <w:t xml:space="preserve">☑薪资、福利增加 </w:t>
                  </w:r>
                </w:p>
                <w:p>
                  <w:r>
                    <w:rPr>
                      <w:rFonts w:hint="eastAsia"/>
                    </w:rPr>
                    <w:t>☑</w:t>
                  </w:r>
                  <w:r>
                    <w:rPr>
                      <w:rFonts w:hint="eastAsia"/>
                      <w:bCs/>
                      <w:szCs w:val="22"/>
                    </w:rPr>
                    <w:t>提供培训机会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☑银行</w:t>
                  </w:r>
                </w:p>
              </w:tc>
              <w:tc>
                <w:tcPr>
                  <w:tcW w:w="3605" w:type="dxa"/>
                  <w:vAlign w:val="center"/>
                </w:tcPr>
                <w:p>
                  <w:r>
                    <w:rPr>
                      <w:rFonts w:hint="eastAsia"/>
                    </w:rPr>
                    <w:t>例如：和桥镇银行</w:t>
                  </w:r>
                </w:p>
              </w:tc>
              <w:tc>
                <w:tcPr>
                  <w:tcW w:w="3825" w:type="dxa"/>
                </w:tcPr>
                <w:p>
                  <w:r>
                    <w:rPr>
                      <w:rFonts w:hint="eastAsia"/>
                    </w:rPr>
                    <w:t>☑扶持企业发展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□其他</w:t>
                  </w:r>
                </w:p>
              </w:tc>
              <w:tc>
                <w:tcPr>
                  <w:tcW w:w="3605" w:type="dxa"/>
                  <w:vAlign w:val="center"/>
                </w:tcPr>
                <w:p/>
              </w:tc>
              <w:tc>
                <w:tcPr>
                  <w:tcW w:w="3825" w:type="dxa"/>
                </w:tcPr>
                <w:p/>
              </w:tc>
            </w:tr>
          </w:tbl>
          <w:p>
            <w:pPr>
              <w:rPr>
                <w:color w:val="000000"/>
                <w:szCs w:val="21"/>
              </w:rPr>
            </w:pPr>
          </w:p>
          <w:p>
            <w:pPr>
              <w:rPr>
                <w:color w:val="000000"/>
                <w:szCs w:val="21"/>
              </w:rPr>
            </w:pPr>
          </w:p>
          <w:p>
            <w:pPr>
              <w:spacing w:line="480" w:lineRule="auto"/>
              <w:rPr>
                <w:rFonts w:ascii="新宋体" w:hAnsi="宋体" w:eastAsia="新宋体"/>
                <w:b/>
                <w:color w:val="0F0F0F"/>
                <w:sz w:val="32"/>
                <w:szCs w:val="32"/>
              </w:rPr>
            </w:pPr>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color w:val="000000"/>
                <w:szCs w:val="21"/>
              </w:rPr>
              <w:t>相关方及要求与期望清单</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确定环境管理体系的范围</w:t>
            </w:r>
          </w:p>
        </w:tc>
        <w:tc>
          <w:tcPr>
            <w:tcW w:w="960" w:type="dxa"/>
            <w:vMerge w:val="restart"/>
          </w:tcPr>
          <w:p>
            <w:r>
              <w:rPr>
                <w:rFonts w:hint="eastAsia"/>
              </w:rPr>
              <w:t>E4.3</w:t>
            </w:r>
          </w:p>
        </w:tc>
        <w:tc>
          <w:tcPr>
            <w:tcW w:w="745" w:type="dxa"/>
          </w:tcPr>
          <w:p>
            <w:r>
              <w:rPr>
                <w:rFonts w:hint="eastAsia"/>
              </w:rPr>
              <w:t>文件名称</w:t>
            </w:r>
          </w:p>
        </w:tc>
        <w:tc>
          <w:tcPr>
            <w:tcW w:w="9259" w:type="dxa"/>
          </w:tcPr>
          <w:p>
            <w:r>
              <w:rPr>
                <w:rFonts w:hint="eastAsia"/>
              </w:rPr>
              <w:t>如：☑管理手册第4.2章和☑“公司介绍”</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7132" w:type="dxa"/>
                  <w:vAlign w:val="center"/>
                </w:tcPr>
                <w:p>
                  <w:pPr>
                    <w:jc w:val="center"/>
                  </w:pPr>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pPr>
                    <w:spacing w:line="400" w:lineRule="exact"/>
                    <w:ind w:firstLine="102" w:firstLineChars="49"/>
                  </w:pPr>
                  <w:r>
                    <w:rPr>
                      <w:rFonts w:hint="eastAsia"/>
                    </w:rPr>
                    <w:t>土工布的生产、销售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r>
                    <w:rPr>
                      <w:rFonts w:hint="eastAsia" w:ascii="宋体" w:hAnsi="宋体" w:cs="??"/>
                      <w:color w:val="000000"/>
                      <w:kern w:val="0"/>
                      <w:szCs w:val="21"/>
                    </w:rPr>
                    <w:t>宜兴市和桥镇福巷桥村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r>
                    <w:rPr>
                      <w:rFonts w:hint="eastAsia" w:ascii="宋体" w:hAnsi="宋体" w:cs="??"/>
                      <w:color w:val="000000"/>
                      <w:kern w:val="0"/>
                      <w:szCs w:val="21"/>
                    </w:rPr>
                    <w:t>宜兴市和桥镇福巷桥村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FE"/>
                  </w:r>
                  <w:r>
                    <w:rPr>
                      <w:rFonts w:hint="eastAsia"/>
                    </w:rPr>
                    <w:t>体系建立以来</w:t>
                  </w:r>
                </w:p>
                <w:p>
                  <w:r>
                    <w:rPr>
                      <w:rFonts w:hint="eastAsia"/>
                    </w:rPr>
                    <w:sym w:font="Wingdings" w:char="00A8"/>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A8"/>
                  </w:r>
                  <w:r>
                    <w:rPr>
                      <w:rFonts w:hint="eastAsia"/>
                    </w:rPr>
                    <w:t>无不适用条款</w:t>
                  </w:r>
                </w:p>
                <w:p>
                  <w:r>
                    <w:rPr>
                      <w:rFonts w:hint="eastAsia"/>
                    </w:rPr>
                    <w:sym w:font="Wingdings" w:char="00FE"/>
                  </w:r>
                  <w:r>
                    <w:rPr>
                      <w:rFonts w:hint="eastAsia"/>
                    </w:rPr>
                    <w:t>8.3产品和服务的设计和开发</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w:char="00FE"/>
                  </w:r>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环境管理体系</w:t>
            </w:r>
          </w:p>
        </w:tc>
        <w:tc>
          <w:tcPr>
            <w:tcW w:w="960" w:type="dxa"/>
            <w:vMerge w:val="restart"/>
          </w:tcPr>
          <w:p>
            <w:r>
              <w:rPr>
                <w:rFonts w:hint="eastAsia"/>
              </w:rPr>
              <w:t xml:space="preserve">E4.4 </w:t>
            </w:r>
          </w:p>
        </w:tc>
        <w:tc>
          <w:tcPr>
            <w:tcW w:w="745" w:type="dxa"/>
          </w:tcPr>
          <w:p>
            <w:r>
              <w:rPr>
                <w:rFonts w:hint="eastAsia"/>
              </w:rPr>
              <w:t>文件名称</w:t>
            </w:r>
          </w:p>
        </w:tc>
        <w:tc>
          <w:tcPr>
            <w:tcW w:w="9259" w:type="dxa"/>
          </w:tcPr>
          <w:p>
            <w:r>
              <w:rPr>
                <w:rFonts w:hint="eastAsia"/>
              </w:rPr>
              <w:t>如：☑管理手册第4.4章和□《过程清单》</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☑消防安全控制 ☑污染物排放控制 ☑人员能力管理□危化品管理□特种设备管理 □其他</w:t>
            </w:r>
          </w:p>
          <w:p>
            <w:pPr>
              <w:spacing w:before="40" w:after="40"/>
            </w:pPr>
            <w:r>
              <w:rPr>
                <w:rFonts w:hint="eastAsia"/>
              </w:rPr>
              <w:t>□放射线探伤</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□建筑施工 □危化品贮存 □XXX加工过程 □放射线探伤 </w:t>
            </w:r>
            <w:r>
              <w:rPr>
                <w:rFonts w:hint="eastAsia"/>
                <w:lang w:eastAsia="zh-CN"/>
              </w:rPr>
              <w:t>□</w:t>
            </w:r>
            <w:r>
              <w:rPr>
                <w:rFonts w:hint="eastAsia"/>
              </w:rPr>
              <w:t>危险品运输 □设备维修</w:t>
            </w:r>
          </w:p>
          <w:p>
            <w:pPr>
              <w:spacing w:before="40" w:after="40"/>
            </w:pPr>
            <w:r>
              <w:rPr>
                <w:rFonts w:hint="eastAsia"/>
              </w:rPr>
              <w:t>□人员培训 □其他</w:t>
            </w: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E5.1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对环境管理体系的有效性负责；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确保建立环境方针和环境目标，并与组织的战略方向和所处的环境相一致；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确保将环境管理体系要求融入组织的业务过程；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确保可获得环境管理体系所需的资源； </w:t>
            </w:r>
          </w:p>
          <w:p>
            <w:pPr>
              <w:rPr>
                <w:color w:val="000000"/>
                <w:szCs w:val="21"/>
              </w:rPr>
            </w:pPr>
            <w:r>
              <w:rPr>
                <w:rFonts w:hint="eastAsia"/>
                <w:color w:val="000000"/>
                <w:szCs w:val="21"/>
              </w:rPr>
              <w:sym w:font="Wingdings" w:char="00FE"/>
            </w:r>
            <w:r>
              <w:rPr>
                <w:rFonts w:hint="eastAsia"/>
                <w:color w:val="000000"/>
                <w:szCs w:val="21"/>
              </w:rPr>
              <w:t>就有效的环境管理的重要性和符合质量管理体系要求的重要性绩效沟通；</w:t>
            </w:r>
          </w:p>
          <w:p>
            <w:pPr>
              <w:rPr>
                <w:color w:val="000000"/>
                <w:szCs w:val="21"/>
              </w:rPr>
            </w:pPr>
            <w:r>
              <w:rPr>
                <w:rFonts w:hint="eastAsia"/>
                <w:color w:val="000000"/>
                <w:szCs w:val="21"/>
              </w:rPr>
              <w:sym w:font="Wingdings" w:char="00FE"/>
            </w:r>
            <w:r>
              <w:rPr>
                <w:rFonts w:hint="eastAsia"/>
                <w:color w:val="000000"/>
                <w:szCs w:val="21"/>
              </w:rPr>
              <w:t>确保环境管理体系实现其预期结果；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指导并支持员对环境管理体系的有效性做出贡献；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环境方针</w:t>
            </w:r>
          </w:p>
        </w:tc>
        <w:tc>
          <w:tcPr>
            <w:tcW w:w="960" w:type="dxa"/>
            <w:vMerge w:val="restart"/>
          </w:tcPr>
          <w:p>
            <w:r>
              <w:rPr>
                <w:rFonts w:hint="eastAsia"/>
              </w:rPr>
              <w:t>E5.2  </w:t>
            </w:r>
          </w:p>
        </w:tc>
        <w:tc>
          <w:tcPr>
            <w:tcW w:w="745" w:type="dxa"/>
          </w:tcPr>
          <w:p>
            <w:r>
              <w:rPr>
                <w:rFonts w:hint="eastAsia"/>
              </w:rPr>
              <w:t>文件名称</w:t>
            </w:r>
          </w:p>
        </w:tc>
        <w:tc>
          <w:tcPr>
            <w:tcW w:w="9259" w:type="dxa"/>
          </w:tcPr>
          <w:p>
            <w:r>
              <w:rPr>
                <w:rFonts w:hint="eastAsia"/>
              </w:rPr>
              <w:t>如：管理手册第5.2章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最高管理者制定了文件化的环境体系方针：</w:t>
            </w:r>
          </w:p>
          <w:p>
            <w:pPr>
              <w:pStyle w:val="6"/>
              <w:pBdr>
                <w:bottom w:val="none" w:color="auto" w:sz="0" w:space="0"/>
              </w:pBdr>
              <w:spacing w:line="500" w:lineRule="exact"/>
              <w:jc w:val="both"/>
              <w:rPr>
                <w:rFonts w:ascii="宋体" w:hAnsi="宋体"/>
                <w:b/>
                <w:sz w:val="21"/>
                <w:szCs w:val="21"/>
                <w:u w:val="single"/>
              </w:rPr>
            </w:pPr>
            <w:r>
              <w:rPr>
                <w:rFonts w:hint="eastAsia"/>
                <w:u w:val="single"/>
              </w:rPr>
              <w:t xml:space="preserve">   </w:t>
            </w:r>
            <w:r>
              <w:rPr>
                <w:rFonts w:hint="eastAsia" w:ascii="宋体" w:hAnsi="宋体"/>
                <w:b/>
                <w:sz w:val="21"/>
                <w:szCs w:val="21"/>
                <w:u w:val="single"/>
              </w:rPr>
              <w:t>遵纪守法，预防污染；节能降耗，提高绩效；</w:t>
            </w:r>
          </w:p>
          <w:p>
            <w:pPr>
              <w:rPr>
                <w:b/>
                <w:u w:val="single"/>
              </w:rPr>
            </w:pPr>
          </w:p>
          <w:p>
            <w:r>
              <w:rPr>
                <w:rFonts w:hint="eastAsia"/>
              </w:rPr>
              <w:t>☑</w:t>
            </w:r>
            <w:r>
              <w:rPr>
                <w:color w:val="000000"/>
              </w:rPr>
              <w:t>适合于组织的宗旨和所处的环境</w:t>
            </w:r>
            <w:r>
              <w:rPr>
                <w:color w:val="000000"/>
                <w:lang w:val="zh-CN" w:bidi="zh-CN"/>
              </w:rPr>
              <w:t>.包括</w:t>
            </w:r>
            <w:r>
              <w:rPr>
                <w:color w:val="000000"/>
              </w:rPr>
              <w:t>其活动、产品和服务的性质、规模和环境影响</w:t>
            </w:r>
          </w:p>
          <w:p>
            <w:pPr>
              <w:rPr>
                <w:lang w:val="en-GB"/>
              </w:rPr>
            </w:pPr>
            <w:r>
              <w:rPr>
                <w:rFonts w:hint="eastAsia"/>
              </w:rPr>
              <w:t>☑</w:t>
            </w:r>
            <w:r>
              <w:rPr>
                <w:color w:val="000000"/>
              </w:rPr>
              <w:t>为制定环境目标提供框架</w:t>
            </w:r>
            <w:r>
              <w:rPr>
                <w:rFonts w:hint="eastAsia"/>
                <w:lang w:val="en-GB"/>
              </w:rPr>
              <w:t>。</w:t>
            </w:r>
          </w:p>
          <w:p>
            <w:r>
              <w:rPr>
                <w:rFonts w:hint="eastAsia"/>
              </w:rPr>
              <w:t>☑</w:t>
            </w:r>
            <w:r>
              <w:rPr>
                <w:color w:val="000000"/>
              </w:rPr>
              <w:t>包括保护环境的承诺，其中包含污染预防及其他与组织所处环境有关的特定承诺</w:t>
            </w:r>
            <w:r>
              <w:rPr>
                <w:rFonts w:hint="eastAsia"/>
              </w:rPr>
              <w:t xml:space="preserve">； </w:t>
            </w:r>
          </w:p>
          <w:p>
            <w:r>
              <w:rPr>
                <w:rFonts w:hint="eastAsia"/>
              </w:rPr>
              <w:t>☑包括持续改进质量管理体系的承诺</w:t>
            </w:r>
          </w:p>
          <w:p>
            <w:pPr>
              <w:rPr>
                <w:color w:val="000000"/>
              </w:rPr>
            </w:pPr>
            <w:r>
              <w:rPr>
                <w:rFonts w:hint="eastAsia"/>
              </w:rPr>
              <w:t>☑</w:t>
            </w:r>
            <w:r>
              <w:rPr>
                <w:color w:val="000000"/>
              </w:rPr>
              <w:t>包括履行其合规义务的承诺</w:t>
            </w:r>
          </w:p>
          <w:p>
            <w:pPr>
              <w:rPr>
                <w:color w:val="000000"/>
              </w:rPr>
            </w:pPr>
            <w:r>
              <w:rPr>
                <w:rFonts w:hint="eastAsia"/>
              </w:rPr>
              <w:t>☑</w:t>
            </w:r>
            <w:r>
              <w:rPr>
                <w:color w:val="000000"/>
              </w:rPr>
              <w:t>包括持续改进环境管理体系以提升环境绩效的</w:t>
            </w:r>
            <w:r>
              <w:rPr>
                <w:color w:val="000000"/>
                <w:lang w:val="zh-CN" w:bidi="zh-CN"/>
              </w:rPr>
              <w:t>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组织的角色、职责和权限</w:t>
            </w:r>
          </w:p>
          <w:p/>
        </w:tc>
        <w:tc>
          <w:tcPr>
            <w:tcW w:w="960" w:type="dxa"/>
            <w:vMerge w:val="restart"/>
          </w:tcPr>
          <w:p>
            <w:r>
              <w:rPr>
                <w:rFonts w:hint="eastAsia"/>
              </w:rPr>
              <w:t>E5.3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环境管理体系策划和推动</w:t>
                  </w:r>
                </w:p>
              </w:tc>
              <w:tc>
                <w:tcPr>
                  <w:tcW w:w="2261" w:type="dxa"/>
                </w:tcPr>
                <w:p>
                  <w:r>
                    <w:rPr>
                      <w:rFonts w:hint="eastAsia"/>
                    </w:rPr>
                    <w:t>行政部</w:t>
                  </w:r>
                </w:p>
              </w:tc>
              <w:tc>
                <w:tcPr>
                  <w:tcW w:w="2261" w:type="dxa"/>
                </w:tcPr>
                <w:p>
                  <w:r>
                    <w:rPr>
                      <w:rFonts w:hint="eastAsia"/>
                    </w:rPr>
                    <w:t>人力资源控制过程</w:t>
                  </w:r>
                </w:p>
              </w:tc>
              <w:tc>
                <w:tcPr>
                  <w:tcW w:w="2261" w:type="dxa"/>
                </w:tcPr>
                <w:p>
                  <w:r>
                    <w:rPr>
                      <w:rFonts w:hint="eastAsi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公用工程过程</w:t>
                  </w:r>
                </w:p>
              </w:tc>
              <w:tc>
                <w:tcPr>
                  <w:tcW w:w="2261" w:type="dxa"/>
                </w:tcPr>
                <w:p>
                  <w:r>
                    <w:rPr>
                      <w:rFonts w:hint="eastAsia"/>
                    </w:rPr>
                    <w:t>行政部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销售部</w:t>
                  </w:r>
                </w:p>
              </w:tc>
              <w:tc>
                <w:tcPr>
                  <w:tcW w:w="2261" w:type="dxa"/>
                </w:tcPr>
                <w:p>
                  <w:pPr>
                    <w:tabs>
                      <w:tab w:val="right" w:pos="2045"/>
                    </w:tabs>
                  </w:p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消防</w:t>
                  </w:r>
                </w:p>
              </w:tc>
              <w:tc>
                <w:tcPr>
                  <w:tcW w:w="2261" w:type="dxa"/>
                </w:tcPr>
                <w:p>
                  <w:r>
                    <w:rPr>
                      <w:rFonts w:hint="eastAsia"/>
                    </w:rPr>
                    <w:t>行政部</w:t>
                  </w:r>
                </w:p>
              </w:tc>
              <w:tc>
                <w:tcPr>
                  <w:tcW w:w="2261" w:type="dxa"/>
                </w:tcPr>
                <w:p/>
              </w:tc>
              <w:tc>
                <w:tcPr>
                  <w:tcW w:w="2261" w:type="dxa"/>
                </w:tcPr>
                <w:p/>
              </w:tc>
            </w:tr>
          </w:tbl>
          <w:p/>
          <w:p>
            <w:r>
              <w:rPr>
                <w:rFonts w:hint="eastAsia"/>
              </w:rPr>
              <w:t>向最高管理者汇报，</w:t>
            </w:r>
            <w:r>
              <w:rPr>
                <w:rFonts w:hint="eastAsia"/>
              </w:rPr>
              <w:sym w:font="Wingdings" w:char="00FE"/>
            </w:r>
            <w:r>
              <w:rPr>
                <w:rFonts w:hint="eastAsia"/>
              </w:rPr>
              <w:t>管理者代表：</w:t>
            </w:r>
            <w:r>
              <w:rPr>
                <w:rFonts w:hint="eastAsia"/>
                <w:u w:val="single"/>
              </w:rPr>
              <w:t xml:space="preserve"> 潘立红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E6.1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头脑风暴法</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A8"/>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A8"/>
            </w:r>
            <w:r>
              <w:rPr>
                <w:rFonts w:hint="eastAsia"/>
              </w:rPr>
              <w:t>改变风险的可能性和后果、</w:t>
            </w:r>
            <w:r>
              <w:rPr>
                <w:rFonts w:hint="eastAsia"/>
              </w:rPr>
              <w:sym w:font="Wingdings" w:char="00A8"/>
            </w:r>
            <w:r>
              <w:rPr>
                <w:rFonts w:hint="eastAsia"/>
              </w:rPr>
              <w:t xml:space="preserve">分担风险 </w:t>
            </w:r>
            <w:r>
              <w:rPr>
                <w:rFonts w:hint="eastAsia"/>
              </w:rPr>
              <w:sym w:font="Wingdings" w:char="00A8"/>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gridCol w:w="31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center"/>
                  </w:pPr>
                  <w:r>
                    <w:rPr>
                      <w:rFonts w:hint="eastAsia"/>
                    </w:rPr>
                    <w:t>主要的风险描述</w:t>
                  </w:r>
                </w:p>
              </w:tc>
              <w:tc>
                <w:tcPr>
                  <w:tcW w:w="3188" w:type="dxa"/>
                  <w:vAlign w:val="center"/>
                </w:tcPr>
                <w:p>
                  <w:pPr>
                    <w:jc w:val="center"/>
                    <w:rPr>
                      <w:szCs w:val="24"/>
                    </w:rPr>
                  </w:pPr>
                  <w:r>
                    <w:rPr>
                      <w:rFonts w:hint="eastAsia"/>
                    </w:rPr>
                    <w:t>应对措施</w:t>
                  </w:r>
                </w:p>
              </w:tc>
              <w:tc>
                <w:tcPr>
                  <w:tcW w:w="1730"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技术服务能力在行业中还不是最好</w:t>
                  </w:r>
                </w:p>
              </w:tc>
              <w:tc>
                <w:tcPr>
                  <w:tcW w:w="3188" w:type="dxa"/>
                  <w:vAlign w:val="center"/>
                </w:tcPr>
                <w:p>
                  <w:pPr>
                    <w:jc w:val="left"/>
                    <w:rPr>
                      <w:color w:val="000000" w:themeColor="text1"/>
                      <w:szCs w:val="21"/>
                    </w:rPr>
                  </w:pPr>
                  <w:r>
                    <w:rPr>
                      <w:rFonts w:hint="eastAsia" w:ascii="宋体" w:hAnsi="宋体" w:cs="宋体"/>
                      <w:color w:val="000000" w:themeColor="text1"/>
                      <w:szCs w:val="21"/>
                    </w:rPr>
                    <w:t>生产人员外部招聘和内部培训</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资金管理未经适当审批或超越授权审批，可能出现重大差错、舞弊、欺诈（如公款私存，非法挪用或调拨资金），对公司资金安全产生影响。 </w:t>
                  </w:r>
                </w:p>
              </w:tc>
              <w:tc>
                <w:tcPr>
                  <w:tcW w:w="3188" w:type="dxa"/>
                  <w:vAlign w:val="center"/>
                </w:tcPr>
                <w:p>
                  <w:pPr>
                    <w:jc w:val="left"/>
                    <w:rPr>
                      <w:color w:val="000000" w:themeColor="text1"/>
                      <w:szCs w:val="21"/>
                    </w:rPr>
                  </w:pPr>
                  <w:r>
                    <w:rPr>
                      <w:rFonts w:hint="eastAsia"/>
                      <w:color w:val="000000" w:themeColor="text1"/>
                      <w:szCs w:val="21"/>
                    </w:rPr>
                    <w:t>加强</w:t>
                  </w:r>
                  <w:r>
                    <w:rPr>
                      <w:rFonts w:hint="eastAsia" w:ascii="宋体" w:hAnsi="宋体" w:cs="宋体"/>
                      <w:color w:val="000000" w:themeColor="text1"/>
                      <w:szCs w:val="21"/>
                    </w:rPr>
                    <w:t>财务监管，结构优化</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采购物资质量不稳定</w:t>
                  </w:r>
                </w:p>
              </w:tc>
              <w:tc>
                <w:tcPr>
                  <w:tcW w:w="3188" w:type="dxa"/>
                  <w:vAlign w:val="center"/>
                </w:tcPr>
                <w:p>
                  <w:pPr>
                    <w:jc w:val="left"/>
                    <w:rPr>
                      <w:color w:val="000000" w:themeColor="text1"/>
                      <w:szCs w:val="21"/>
                    </w:rPr>
                  </w:pPr>
                  <w:r>
                    <w:rPr>
                      <w:rFonts w:hint="eastAsia" w:ascii="宋体" w:hAnsi="宋体" w:cs="宋体"/>
                      <w:color w:val="000000" w:themeColor="text1"/>
                      <w:szCs w:val="21"/>
                    </w:rPr>
                    <w:t>供应商评价</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bl>
          <w:p/>
          <w:p>
            <w:r>
              <w:rPr>
                <w:rFonts w:hint="eastAsia"/>
              </w:rPr>
              <w:t xml:space="preserve">应对机遇的措施类型包括： </w:t>
            </w:r>
          </w:p>
          <w:p>
            <w:r>
              <w:rPr>
                <w:rFonts w:hint="eastAsia"/>
              </w:rPr>
              <w:sym w:font="Wingdings" w:char="00FE"/>
            </w:r>
            <w:r>
              <w:rPr>
                <w:rFonts w:hint="eastAsia"/>
              </w:rPr>
              <w:t>采用新实践</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1" w:type="dxa"/>
                </w:tcPr>
                <w:p>
                  <w:pPr>
                    <w:jc w:val="center"/>
                    <w:rPr>
                      <w:color w:val="000000" w:themeColor="text1"/>
                    </w:rPr>
                  </w:pPr>
                  <w:r>
                    <w:rPr>
                      <w:rFonts w:hint="eastAsia"/>
                      <w:color w:val="000000" w:themeColor="text1"/>
                    </w:rPr>
                    <w:t>主要的机遇描述</w:t>
                  </w:r>
                </w:p>
              </w:tc>
              <w:tc>
                <w:tcPr>
                  <w:tcW w:w="3675" w:type="dxa"/>
                </w:tcPr>
                <w:p>
                  <w:pPr>
                    <w:jc w:val="cente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rPr>
                      <w:color w:val="000000" w:themeColor="text1"/>
                      <w:szCs w:val="21"/>
                      <w:highlight w:val="cyan"/>
                    </w:rPr>
                  </w:pPr>
                  <w:r>
                    <w:rPr>
                      <w:rFonts w:hint="eastAsia" w:ascii="宋体" w:hAnsi="宋体" w:cs="宋体"/>
                      <w:color w:val="000000" w:themeColor="text1"/>
                      <w:szCs w:val="21"/>
                    </w:rPr>
                    <w:t>维修设备和检测设备完好状态的保持</w:t>
                  </w:r>
                </w:p>
              </w:tc>
              <w:tc>
                <w:tcPr>
                  <w:tcW w:w="3675" w:type="dxa"/>
                  <w:vAlign w:val="center"/>
                </w:tcPr>
                <w:p>
                  <w:pPr>
                    <w:rPr>
                      <w:color w:val="000000" w:themeColor="text1"/>
                      <w:szCs w:val="21"/>
                    </w:rPr>
                  </w:pPr>
                  <w:r>
                    <w:rPr>
                      <w:rFonts w:hint="eastAsia"/>
                      <w:color w:val="000000" w:themeColor="text1"/>
                      <w:szCs w:val="21"/>
                    </w:rPr>
                    <w:t>制定维护保养校验制度</w:t>
                  </w:r>
                </w:p>
              </w:tc>
              <w:tc>
                <w:tcPr>
                  <w:tcW w:w="1717" w:type="dxa"/>
                  <w:vAlign w:val="center"/>
                </w:tcPr>
                <w:p>
                  <w:pPr>
                    <w:rPr>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pPr>
                    <w:rPr>
                      <w:rFonts w:ascii="宋体" w:hAnsi="宋体" w:cs="宋体"/>
                      <w:color w:val="000000" w:themeColor="text1"/>
                      <w:szCs w:val="21"/>
                    </w:rPr>
                  </w:pPr>
                  <w:r>
                    <w:rPr>
                      <w:rFonts w:hint="eastAsia" w:ascii="宋体" w:hAnsi="宋体" w:cs="宋体"/>
                      <w:color w:val="000000"/>
                    </w:rPr>
                    <w:t>国家政策有利于优质产品市场发展。</w:t>
                  </w:r>
                </w:p>
              </w:tc>
              <w:tc>
                <w:tcPr>
                  <w:tcW w:w="3675" w:type="dxa"/>
                  <w:vAlign w:val="center"/>
                </w:tcPr>
                <w:p>
                  <w:pPr>
                    <w:rPr>
                      <w:rFonts w:ascii="宋体" w:hAnsi="宋体" w:cs="宋体"/>
                      <w:color w:val="000000" w:themeColor="text1"/>
                      <w:szCs w:val="21"/>
                    </w:rPr>
                  </w:pPr>
                  <w:r>
                    <w:rPr>
                      <w:rFonts w:hint="eastAsia" w:ascii="宋体" w:hAnsi="宋体" w:cs="宋体"/>
                      <w:color w:val="000000"/>
                    </w:rPr>
                    <w:t>及时了解和收集国家有关政策，吃透政策精神，掌握发展机遇</w:t>
                  </w:r>
                </w:p>
              </w:tc>
              <w:tc>
                <w:tcPr>
                  <w:tcW w:w="1717" w:type="dxa"/>
                  <w:vAlign w:val="center"/>
                </w:tcPr>
                <w:p>
                  <w:pPr>
                    <w:rPr>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bl>
          <w:p/>
          <w:p>
            <w:r>
              <w:rPr>
                <w:rFonts w:hint="eastAsia"/>
              </w:rPr>
              <w:t>组织环境管理体系范围内的潜在紧急情况，如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可能具有环境影响的潜在紧急情况，如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FE"/>
            </w:r>
            <w:r>
              <w:rPr>
                <w:rFonts w:hint="eastAsia"/>
                <w:u w:val="single"/>
              </w:rPr>
              <w:t xml:space="preserve">未达标排放  </w:t>
            </w:r>
            <w:r>
              <w:rPr>
                <w:rFonts w:hint="eastAsia"/>
                <w:u w:val="single"/>
              </w:rPr>
              <w:sym w:font="Wingdings" w:char="00A8"/>
            </w:r>
            <w:r>
              <w:rPr>
                <w:rFonts w:hint="eastAsia"/>
                <w:u w:val="single"/>
              </w:rPr>
              <w:t xml:space="preserve">锅炉爆炸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环境目标</w:t>
            </w:r>
          </w:p>
          <w:p/>
        </w:tc>
        <w:tc>
          <w:tcPr>
            <w:tcW w:w="960" w:type="dxa"/>
            <w:vMerge w:val="restart"/>
          </w:tcPr>
          <w:p>
            <w:r>
              <w:rPr>
                <w:rFonts w:hint="eastAsia"/>
                <w:color w:val="000000"/>
                <w:szCs w:val="21"/>
              </w:rPr>
              <w:t>E6.2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目标分解表</w:t>
            </w:r>
            <w:r>
              <w:rPr>
                <w:rFonts w:hint="eastAsia"/>
              </w:rPr>
              <w:t>》、</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组织建立了与方针一致的文件化的管理目标。为实现总环境目标而建立的各层级环境目标具体、有针对性、可测量并且可实现。</w:t>
            </w:r>
          </w:p>
          <w:p>
            <w:r>
              <w:rPr>
                <w:rFonts w:hint="eastAsia"/>
              </w:rPr>
              <w:t>总环境目标实现情况的评价，及其测量方法是：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szCs w:val="24"/>
                    </w:rPr>
                  </w:pPr>
                  <w:r>
                    <w:rPr>
                      <w:rFonts w:hint="eastAsia" w:ascii="宋体" w:hAnsi="宋体"/>
                      <w:szCs w:val="24"/>
                    </w:rPr>
                    <w:t>环境目标</w:t>
                  </w:r>
                </w:p>
              </w:tc>
              <w:tc>
                <w:tcPr>
                  <w:tcW w:w="1820" w:type="dxa"/>
                  <w:shd w:val="clear" w:color="auto" w:fill="auto"/>
                </w:tcPr>
                <w:p>
                  <w:pPr>
                    <w:rPr>
                      <w:rFonts w:ascii="宋体" w:hAnsi="宋体"/>
                      <w:szCs w:val="24"/>
                    </w:rPr>
                  </w:pPr>
                  <w:r>
                    <w:rPr>
                      <w:rFonts w:hint="eastAsia" w:ascii="宋体" w:hAnsi="宋体"/>
                      <w:szCs w:val="24"/>
                    </w:rPr>
                    <w:t>环境控制参数</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sz w:val="21"/>
                      <w:szCs w:val="20"/>
                    </w:rPr>
                    <w:t xml:space="preserve">固废分类存放处置率 </w:t>
                  </w:r>
                </w:p>
              </w:tc>
              <w:tc>
                <w:tcPr>
                  <w:tcW w:w="1820" w:type="dxa"/>
                  <w:shd w:val="clear" w:color="auto" w:fill="auto"/>
                  <w:vAlign w:val="center"/>
                </w:tcPr>
                <w:p>
                  <w:r>
                    <w:rPr>
                      <w:rFonts w:hint="eastAsia"/>
                    </w:rPr>
                    <w:t>100%</w:t>
                  </w:r>
                </w:p>
              </w:tc>
              <w:tc>
                <w:tcPr>
                  <w:tcW w:w="1350" w:type="dxa"/>
                  <w:shd w:val="clear" w:color="auto" w:fill="auto"/>
                  <w:vAlign w:val="center"/>
                </w:tcPr>
                <w:p>
                  <w:r>
                    <w:rPr>
                      <w:rFonts w:hint="eastAsia"/>
                    </w:rPr>
                    <w:t>各部门</w:t>
                  </w:r>
                </w:p>
              </w:tc>
              <w:tc>
                <w:tcPr>
                  <w:tcW w:w="1774" w:type="dxa"/>
                  <w:shd w:val="clear" w:color="auto" w:fill="auto"/>
                  <w:vAlign w:val="center"/>
                </w:tcPr>
                <w:p>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sz w:val="21"/>
                      <w:szCs w:val="20"/>
                    </w:rPr>
                    <w:t>火灾、触电伤害发生次数</w:t>
                  </w:r>
                </w:p>
              </w:tc>
              <w:tc>
                <w:tcPr>
                  <w:tcW w:w="1820"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sz w:val="21"/>
                      <w:szCs w:val="20"/>
                    </w:rPr>
                    <w:t>0</w:t>
                  </w:r>
                </w:p>
              </w:tc>
              <w:tc>
                <w:tcPr>
                  <w:tcW w:w="1350" w:type="dxa"/>
                  <w:shd w:val="clear" w:color="auto" w:fill="auto"/>
                </w:tcPr>
                <w:p>
                  <w:pPr>
                    <w:pStyle w:val="6"/>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6"/>
                    <w:pBdr>
                      <w:bottom w:val="none" w:color="auto" w:sz="0" w:space="0"/>
                    </w:pBdr>
                    <w:tabs>
                      <w:tab w:val="left" w:pos="420"/>
                    </w:tabs>
                    <w:spacing w:line="360" w:lineRule="exact"/>
                    <w:jc w:val="both"/>
                    <w:rPr>
                      <w:sz w:val="21"/>
                      <w:szCs w:val="20"/>
                    </w:rPr>
                  </w:pPr>
                  <w:r>
                    <w:rPr>
                      <w:rFonts w:hint="eastAsia"/>
                      <w:sz w:val="21"/>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eastAsia="仿宋_GB2312"/>
                      <w:sz w:val="21"/>
                      <w:szCs w:val="21"/>
                    </w:rPr>
                    <w:t>粉尘</w:t>
                  </w:r>
                  <w:r>
                    <w:rPr>
                      <w:rFonts w:hint="eastAsia" w:ascii="宋体" w:hAnsi="宋体" w:cs="宋体"/>
                      <w:sz w:val="21"/>
                      <w:szCs w:val="21"/>
                    </w:rPr>
                    <w:t>达标</w:t>
                  </w:r>
                </w:p>
              </w:tc>
              <w:tc>
                <w:tcPr>
                  <w:tcW w:w="1820"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sz w:val="21"/>
                      <w:szCs w:val="20"/>
                    </w:rPr>
                    <w:t>100%</w:t>
                  </w:r>
                </w:p>
              </w:tc>
              <w:tc>
                <w:tcPr>
                  <w:tcW w:w="1350" w:type="dxa"/>
                  <w:shd w:val="clear" w:color="auto" w:fill="auto"/>
                </w:tcPr>
                <w:p>
                  <w:pPr>
                    <w:pStyle w:val="6"/>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6"/>
                    <w:pBdr>
                      <w:bottom w:val="none" w:color="auto" w:sz="0" w:space="0"/>
                    </w:pBdr>
                    <w:tabs>
                      <w:tab w:val="left" w:pos="420"/>
                    </w:tabs>
                    <w:spacing w:line="360" w:lineRule="exact"/>
                    <w:jc w:val="both"/>
                    <w:rPr>
                      <w:sz w:val="21"/>
                      <w:szCs w:val="20"/>
                    </w:rPr>
                  </w:pPr>
                  <w:r>
                    <w:rPr>
                      <w:rFonts w:hint="eastAsia"/>
                      <w:sz w:val="21"/>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sz w:val="21"/>
                      <w:szCs w:val="20"/>
                    </w:rPr>
                    <w:t>噪音排放达标</w:t>
                  </w:r>
                </w:p>
              </w:tc>
              <w:tc>
                <w:tcPr>
                  <w:tcW w:w="1820" w:type="dxa"/>
                  <w:shd w:val="clear" w:color="auto" w:fill="auto"/>
                  <w:vAlign w:val="center"/>
                </w:tcPr>
                <w:p>
                  <w:pPr>
                    <w:pStyle w:val="6"/>
                    <w:pBdr>
                      <w:bottom w:val="none" w:color="auto" w:sz="0" w:space="0"/>
                    </w:pBdr>
                    <w:tabs>
                      <w:tab w:val="left" w:pos="420"/>
                    </w:tabs>
                    <w:spacing w:line="360" w:lineRule="exact"/>
                    <w:jc w:val="both"/>
                    <w:rPr>
                      <w:sz w:val="21"/>
                      <w:szCs w:val="20"/>
                    </w:rPr>
                  </w:pPr>
                  <w:r>
                    <w:rPr>
                      <w:rFonts w:hint="eastAsia"/>
                      <w:sz w:val="21"/>
                      <w:szCs w:val="20"/>
                    </w:rPr>
                    <w:t>100%</w:t>
                  </w:r>
                </w:p>
              </w:tc>
              <w:tc>
                <w:tcPr>
                  <w:tcW w:w="1350" w:type="dxa"/>
                  <w:shd w:val="clear" w:color="auto" w:fill="auto"/>
                </w:tcPr>
                <w:p>
                  <w:pPr>
                    <w:pStyle w:val="6"/>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6"/>
                    <w:pBdr>
                      <w:bottom w:val="none" w:color="auto" w:sz="0" w:space="0"/>
                    </w:pBdr>
                    <w:tabs>
                      <w:tab w:val="left" w:pos="420"/>
                    </w:tabs>
                    <w:spacing w:line="360" w:lineRule="exact"/>
                    <w:jc w:val="both"/>
                    <w:rPr>
                      <w:sz w:val="21"/>
                      <w:szCs w:val="20"/>
                    </w:rPr>
                  </w:pPr>
                  <w:r>
                    <w:rPr>
                      <w:rFonts w:hint="eastAsia"/>
                      <w:sz w:val="21"/>
                      <w:szCs w:val="20"/>
                    </w:rPr>
                    <w:t>完成</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E7.1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手册第7.1条款、</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szCs w:val="21"/>
              </w:rPr>
            </w:pPr>
            <w:r>
              <w:rPr>
                <w:rFonts w:hint="eastAsia"/>
                <w:szCs w:val="21"/>
              </w:rPr>
              <w:t>现有内部资源的能力；</w:t>
            </w:r>
          </w:p>
          <w:p>
            <w:r>
              <w:rPr>
                <w:rFonts w:hint="eastAsia"/>
              </w:rPr>
              <w:t>建筑面积</w:t>
            </w:r>
            <w:r>
              <w:rPr>
                <w:rFonts w:hint="eastAsia"/>
                <w:u w:val="single"/>
              </w:rPr>
              <w:t xml:space="preserve">  500 </w:t>
            </w:r>
            <w:r>
              <w:rPr>
                <w:rFonts w:hint="eastAsia"/>
              </w:rPr>
              <w:t>平方米；办公室</w:t>
            </w:r>
            <w:r>
              <w:rPr>
                <w:rFonts w:hint="eastAsia"/>
                <w:u w:val="single"/>
              </w:rPr>
              <w:t xml:space="preserve"> 1 </w:t>
            </w:r>
            <w:r>
              <w:rPr>
                <w:rFonts w:hint="eastAsia"/>
              </w:rPr>
              <w:t>个，生产车间</w:t>
            </w:r>
            <w:r>
              <w:rPr>
                <w:rFonts w:hint="eastAsia"/>
                <w:u w:val="single"/>
              </w:rPr>
              <w:t xml:space="preserve"> 1</w:t>
            </w:r>
            <w:r>
              <w:rPr>
                <w:rFonts w:hint="eastAsia"/>
              </w:rPr>
              <w:t>个；</w:t>
            </w:r>
          </w:p>
          <w:p>
            <w:pPr>
              <w:rPr>
                <w:u w:val="single"/>
              </w:rPr>
            </w:pPr>
            <w:r>
              <w:rPr>
                <w:rFonts w:hint="eastAsia"/>
              </w:rPr>
              <w:t>主要生产设备有：</w:t>
            </w:r>
            <w:r>
              <w:rPr>
                <w:rFonts w:hint="eastAsia"/>
                <w:u w:val="single"/>
              </w:rPr>
              <w:t>吹塑机、挤塑机、织布机    （列举2~4种）</w:t>
            </w:r>
          </w:p>
          <w:p>
            <w:pPr>
              <w:rPr>
                <w:u w:val="single"/>
              </w:rPr>
            </w:pPr>
            <w:r>
              <w:rPr>
                <w:rFonts w:hint="eastAsia"/>
              </w:rPr>
              <w:t>主要环保设备有：</w:t>
            </w:r>
            <w:r>
              <w:rPr>
                <w:rFonts w:hint="eastAsia"/>
                <w:u w:val="single"/>
              </w:rPr>
              <w:t xml:space="preserve">   </w:t>
            </w:r>
            <w:r>
              <w:rPr>
                <w:rFonts w:hint="eastAsia"/>
                <w:u w:val="single"/>
                <w:lang w:val="en-US" w:eastAsia="zh-CN"/>
              </w:rPr>
              <w:t>除尘机</w:t>
            </w:r>
            <w:bookmarkStart w:id="0" w:name="_GoBack"/>
            <w:bookmarkEnd w:id="0"/>
            <w:r>
              <w:rPr>
                <w:rFonts w:hint="eastAsia"/>
                <w:u w:val="single"/>
              </w:rPr>
              <w:t xml:space="preserve">   （列举2~4种）</w:t>
            </w:r>
          </w:p>
          <w:p/>
          <w:p>
            <w:r>
              <w:rPr>
                <w:rFonts w:hint="eastAsia"/>
              </w:rPr>
              <w:t>特种设备：</w:t>
            </w:r>
            <w:r>
              <w:rPr>
                <w:rFonts w:hint="eastAsia"/>
              </w:rPr>
              <w:sym w:font="Wingdings" w:char="00A8"/>
            </w:r>
            <w:r>
              <w:rPr>
                <w:rFonts w:hint="eastAsia"/>
              </w:rPr>
              <w:t xml:space="preserve">叉车（手动）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A8"/>
            </w:r>
            <w:r>
              <w:rPr>
                <w:rFonts w:hint="eastAsia"/>
              </w:rPr>
              <w:t xml:space="preserve">压力容器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
            <w:pPr>
              <w:widowControl/>
              <w:spacing w:before="40"/>
              <w:jc w:val="left"/>
            </w:pPr>
            <w:r>
              <w:rPr>
                <w:rFonts w:hint="eastAsia"/>
              </w:rPr>
              <w:t>动力设施和辅助设施的状况，存在下列的场所：</w:t>
            </w:r>
          </w:p>
          <w:p>
            <w:pPr>
              <w:widowControl/>
              <w:spacing w:before="40"/>
              <w:jc w:val="left"/>
            </w:pPr>
            <w:r>
              <w:rPr/>
              <w:sym w:font="Wingdings" w:char="00A8"/>
            </w:r>
            <w:r>
              <w:rPr>
                <w:rFonts w:hint="eastAsia"/>
              </w:rPr>
              <w:t xml:space="preserve">污水处理站  </w:t>
            </w:r>
            <w:r>
              <w:rPr/>
              <w:sym w:font="Wingdings" w:char="00A8"/>
            </w:r>
            <w:r>
              <w:rPr>
                <w:rFonts w:hint="eastAsia"/>
              </w:rPr>
              <w:t xml:space="preserve">锅炉房（余热）  </w:t>
            </w:r>
            <w:r>
              <w:rPr/>
              <w:sym w:font="Wingdings" w:char="00A8"/>
            </w:r>
            <w:r>
              <w:rPr>
                <w:rFonts w:hint="eastAsia"/>
              </w:rPr>
              <w:t xml:space="preserve">高压配电室  </w:t>
            </w:r>
            <w:r>
              <w:rPr/>
              <w:sym w:font="Wingdings" w:char="00A8"/>
            </w:r>
            <w:r>
              <w:rPr>
                <w:rFonts w:hint="eastAsia"/>
              </w:rPr>
              <w:t xml:space="preserve">低压配电室 </w:t>
            </w:r>
            <w:r>
              <w:rPr/>
              <w:sym w:font="Wingdings" w:char="00A8"/>
            </w:r>
            <w:r>
              <w:rPr>
                <w:rFonts w:hint="eastAsia"/>
              </w:rPr>
              <w:t xml:space="preserve">空压站  </w:t>
            </w:r>
            <w:r>
              <w:rPr/>
              <w:sym w:font="Wingdings" w:char="00A8"/>
            </w:r>
            <w:r>
              <w:rPr>
                <w:rFonts w:hint="eastAsia"/>
              </w:rPr>
              <w:t xml:space="preserve">制冷站   </w:t>
            </w:r>
            <w:r>
              <w:rPr/>
              <w:sym w:font="Wingdings" w:char="00A8"/>
            </w:r>
            <w:r>
              <w:rPr>
                <w:rFonts w:hint="eastAsia"/>
              </w:rPr>
              <w:t xml:space="preserve">水处理 </w:t>
            </w:r>
          </w:p>
          <w:p>
            <w:pPr>
              <w:widowControl/>
              <w:spacing w:before="40"/>
              <w:jc w:val="left"/>
            </w:pPr>
            <w:r>
              <w:rPr/>
              <w:sym w:font="Wingdings" w:char="00A8"/>
            </w:r>
            <w:r>
              <w:rPr>
                <w:rFonts w:hint="eastAsia"/>
              </w:rPr>
              <w:t xml:space="preserve">消防中控室  </w:t>
            </w:r>
            <w:r>
              <w:rPr/>
              <w:sym w:font="Wingdings" w:char="00A8"/>
            </w:r>
            <w:r>
              <w:rPr>
                <w:rFonts w:hint="eastAsia"/>
              </w:rPr>
              <w:t xml:space="preserve">消防泵房   </w:t>
            </w:r>
            <w:r>
              <w:rPr/>
              <w:sym w:font="Wingdings" w:char="00A8"/>
            </w:r>
            <w:r>
              <w:rPr>
                <w:rFonts w:hint="eastAsia"/>
              </w:rPr>
              <w:t>除尘装置</w:t>
            </w:r>
            <w:r>
              <w:rPr/>
              <w:sym w:font="Wingdings" w:char="00A8"/>
            </w:r>
            <w:r>
              <w:rPr>
                <w:rFonts w:hint="eastAsia"/>
              </w:rPr>
              <w:t xml:space="preserve">尾气处理  </w:t>
            </w:r>
            <w:r>
              <w:rPr/>
              <w:sym w:font="Wingdings" w:char="00A8"/>
            </w:r>
            <w:r>
              <w:rPr>
                <w:rFonts w:hint="eastAsia"/>
              </w:rPr>
              <w:t xml:space="preserve">危化品库房   </w:t>
            </w:r>
            <w:r>
              <w:rPr/>
              <w:sym w:font="Wingdings" w:char="00A8"/>
            </w:r>
            <w:r>
              <w:rPr>
                <w:rFonts w:hint="eastAsia"/>
              </w:rPr>
              <w:t xml:space="preserve">危险废弃物存放处   </w:t>
            </w:r>
            <w:r>
              <w:rPr/>
              <w:sym w:font="Wingdings" w:char="00A8"/>
            </w:r>
            <w:r>
              <w:rPr>
                <w:rFonts w:hint="eastAsia"/>
              </w:rPr>
              <w:t xml:space="preserve">改建/扩建施工现场 </w:t>
            </w:r>
            <w:r>
              <w:rPr/>
              <w:sym w:font="Wingdings" w:char="00FE"/>
            </w:r>
            <w:r>
              <w:rPr>
                <w:rFonts w:hint="eastAsia"/>
              </w:rPr>
              <w:t xml:space="preserve">食堂  </w:t>
            </w:r>
            <w:r>
              <w:rPr/>
              <w:sym w:font="Wingdings" w:char="00A8"/>
            </w:r>
            <w:r>
              <w:rPr>
                <w:rFonts w:hint="eastAsia"/>
              </w:rPr>
              <w:t xml:space="preserve">宿舍  </w:t>
            </w:r>
            <w:r>
              <w:rPr/>
              <w:sym w:font="Wingdings" w:char="00A8"/>
            </w:r>
            <w:r>
              <w:rPr>
                <w:rFonts w:hint="eastAsia"/>
              </w:rPr>
              <w:t xml:space="preserve">班车  </w:t>
            </w:r>
            <w:r>
              <w:rPr/>
              <w:sym w:font="Wingdings" w:char="00A8"/>
            </w:r>
            <w:r>
              <w:rPr>
                <w:rFonts w:hint="eastAsia"/>
              </w:rPr>
              <w:t xml:space="preserve">其他—— </w:t>
            </w:r>
          </w:p>
          <w:p>
            <w:pPr>
              <w:rPr>
                <w:szCs w:val="21"/>
              </w:rPr>
            </w:pPr>
          </w:p>
          <w:p>
            <w:pPr>
              <w:rPr>
                <w:szCs w:val="21"/>
              </w:rPr>
            </w:pPr>
            <w:r>
              <w:rPr>
                <w:rFonts w:hint="eastAsia"/>
                <w:szCs w:val="21"/>
              </w:rPr>
              <w:t>还存在哪些局限和不足：</w:t>
            </w:r>
            <w:r>
              <w:rPr>
                <w:rFonts w:hint="eastAsia"/>
                <w:u w:val="single"/>
              </w:rPr>
              <w:t xml:space="preserve">   节约能源，减少固废产生                   </w:t>
            </w:r>
          </w:p>
          <w:p>
            <w:pPr>
              <w:rPr>
                <w:szCs w:val="21"/>
              </w:rPr>
            </w:pPr>
          </w:p>
          <w:p>
            <w:pPr>
              <w:numPr>
                <w:ilvl w:val="0"/>
                <w:numId w:val="1"/>
              </w:numPr>
            </w:pPr>
            <w:r>
              <w:rPr>
                <w:rFonts w:hint="eastAsia"/>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E7.3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组织工作人员提高环保意识的方式：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环境方针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与他们的工作相关的重要环境因素和相关的实际或潜在的环境影响</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对环境管理体系有效性的贡献，包括提升环境绩效的贡献；</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不符合环境管理体系要求，包括未履行组织合规义务的后果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E9.1.1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污染物排放</w:t>
                  </w:r>
                </w:p>
              </w:tc>
              <w:tc>
                <w:tcPr>
                  <w:tcW w:w="2149" w:type="dxa"/>
                </w:tcPr>
                <w:p>
                  <w:r>
                    <w:rPr>
                      <w:rFonts w:hint="eastAsia"/>
                    </w:rPr>
                    <w:t>环境监测；对结果的合规性进行分析，</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r>
                    <w:rPr>
                      <w:rFonts w:hint="eastAsia"/>
                    </w:rPr>
                    <w:t>相关标准</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对环境目标进行统计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p/>
        </w:tc>
        <w:tc>
          <w:tcPr>
            <w:tcW w:w="960" w:type="dxa"/>
            <w:vMerge w:val="restart"/>
          </w:tcPr>
          <w:p>
            <w:r>
              <w:rPr>
                <w:rFonts w:hint="eastAsia"/>
              </w:rPr>
              <w:t>E9.3</w:t>
            </w:r>
          </w:p>
        </w:tc>
        <w:tc>
          <w:tcPr>
            <w:tcW w:w="745" w:type="dxa"/>
          </w:tcPr>
          <w:p>
            <w:r>
              <w:rPr>
                <w:rFonts w:hint="eastAsia"/>
              </w:rPr>
              <w:t>文件名称</w:t>
            </w:r>
          </w:p>
        </w:tc>
        <w:tc>
          <w:tcPr>
            <w:tcW w:w="9259" w:type="dxa"/>
          </w:tcPr>
          <w:p>
            <w:r>
              <w:rPr>
                <w:rFonts w:hint="eastAsia"/>
              </w:rPr>
              <w:t>如：《管理评审控制程序》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10</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color w:val="000000"/>
                      <w:szCs w:val="21"/>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与环境管理体系相关的内外部问题的变化；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有人员增加、设施改进变化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相关方的需求和期望（包括合规义务）的变化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58" w:type="dxa"/>
                </w:tcPr>
                <w:p>
                  <w:pPr>
                    <w:widowControl/>
                    <w:spacing w:before="40"/>
                    <w:jc w:val="left"/>
                    <w:rPr>
                      <w:color w:val="000000"/>
                      <w:szCs w:val="21"/>
                    </w:rPr>
                  </w:pPr>
                  <w:r>
                    <w:rPr>
                      <w:rFonts w:hint="eastAsia"/>
                    </w:rPr>
                    <w:t>重要环境因素的变化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cyan"/>
                    </w:rPr>
                  </w:pPr>
                  <w:r>
                    <w:rPr>
                      <w:rFonts w:hint="eastAsia"/>
                    </w:rPr>
                    <w:t>风险和机遇的变化</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环境目标的实现程度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总环境目标已完成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不符合及纠正措施及趋势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highlight w:val="cyan"/>
                    </w:rPr>
                  </w:pPr>
                  <w:r>
                    <w:rPr>
                      <w:rFonts w:hint="eastAsia"/>
                      <w:szCs w:val="21"/>
                    </w:rPr>
                    <w:t>2020内审无不符合项已整改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rPr>
                    <w:t>2020年环保监测达标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合规义务的履行情况的趋势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highlight w:val="cyan"/>
                    </w:rPr>
                  </w:pPr>
                  <w:r>
                    <w:rPr>
                      <w:rFonts w:hint="eastAsia"/>
                      <w:szCs w:val="21"/>
                    </w:rPr>
                    <w:t>2020年无处罚、合规性评价无违规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内审、外部审核结果及趋势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来自相关方的有关信息交流，包括抱怨</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rFonts w:hint="eastAsia"/>
                      <w:szCs w:val="21"/>
                    </w:rPr>
                    <w:t>2020年环保无投诉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rPr>
                    <w:t>改进的机会</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r>
                    <w:rPr>
                      <w:szCs w:val="21"/>
                    </w:rPr>
                    <w:t>对标准、手册、程序文件进一步组织学习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对环境管理体系的持续适宜性，充分性，有效性的结论。☑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环境管理体系所需的变更</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环境目标未实现所采取的措施。（需要时）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改进环境管理体系与其他业务过程融合的机会。（需要时）</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w:t>
                  </w:r>
                  <w:r>
                    <w:rPr>
                      <w:rFonts w:hint="eastAsia"/>
                    </w:rPr>
                    <w:t>已部分落实</w:t>
                  </w:r>
                </w:p>
              </w:tc>
            </w:tr>
          </w:tbl>
          <w:p>
            <w:pPr>
              <w:rPr>
                <w:highlight w:val="cyan"/>
              </w:rPr>
            </w:pPr>
          </w:p>
          <w:p>
            <w:pPr>
              <w:rPr>
                <w:u w:val="single"/>
              </w:rPr>
            </w:pPr>
            <w:r>
              <w:rPr>
                <w:rFonts w:hint="eastAsia"/>
                <w:color w:val="000000"/>
                <w:szCs w:val="21"/>
              </w:rPr>
              <w:t>□</w:t>
            </w:r>
            <w:r>
              <w:rPr>
                <w:rFonts w:hint="eastAsia"/>
              </w:rPr>
              <w:t>改进措施未落实的原因：</w:t>
            </w:r>
            <w:r>
              <w:rPr>
                <w:rFonts w:hint="eastAsia"/>
                <w:u w:val="single"/>
              </w:rPr>
              <w:t xml:space="preserve">                                      </w:t>
            </w:r>
          </w:p>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
            <w:r>
              <w:rPr>
                <w:rFonts w:hint="eastAsia"/>
              </w:rPr>
              <w:t xml:space="preserve">组织确定了改进机会，并采取必要措施，以实现其环境管理体系的预期结果。。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改进环境管理体系的绩效和有效性。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组织已持续改进环境管理体系的适宜性、充分性和有效性，以提升环境绩效。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tc>
        <w:tc>
          <w:tcPr>
            <w:tcW w:w="1585" w:type="dxa"/>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altName w:val="Microsoft JhengHei"/>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120"/>
    <w:rsid w:val="000237F6"/>
    <w:rsid w:val="00023B7B"/>
    <w:rsid w:val="0003373A"/>
    <w:rsid w:val="000400E2"/>
    <w:rsid w:val="00057DFC"/>
    <w:rsid w:val="00062E46"/>
    <w:rsid w:val="000728EA"/>
    <w:rsid w:val="000950D6"/>
    <w:rsid w:val="000966AC"/>
    <w:rsid w:val="000B41D2"/>
    <w:rsid w:val="000B5602"/>
    <w:rsid w:val="000E6B21"/>
    <w:rsid w:val="00131937"/>
    <w:rsid w:val="001614DA"/>
    <w:rsid w:val="00170081"/>
    <w:rsid w:val="001A2D7F"/>
    <w:rsid w:val="001C3B35"/>
    <w:rsid w:val="001C5340"/>
    <w:rsid w:val="001D0241"/>
    <w:rsid w:val="002075B4"/>
    <w:rsid w:val="0024290B"/>
    <w:rsid w:val="0025500C"/>
    <w:rsid w:val="00255D1C"/>
    <w:rsid w:val="0026681B"/>
    <w:rsid w:val="002939AD"/>
    <w:rsid w:val="002A23D5"/>
    <w:rsid w:val="002F6347"/>
    <w:rsid w:val="00314AF6"/>
    <w:rsid w:val="003150B6"/>
    <w:rsid w:val="00337922"/>
    <w:rsid w:val="00340867"/>
    <w:rsid w:val="00366954"/>
    <w:rsid w:val="003736A3"/>
    <w:rsid w:val="00380837"/>
    <w:rsid w:val="00386436"/>
    <w:rsid w:val="003871C1"/>
    <w:rsid w:val="003920CC"/>
    <w:rsid w:val="003A198A"/>
    <w:rsid w:val="003A43AB"/>
    <w:rsid w:val="003B0B54"/>
    <w:rsid w:val="003C37DB"/>
    <w:rsid w:val="003C6E99"/>
    <w:rsid w:val="003D44CD"/>
    <w:rsid w:val="003E4322"/>
    <w:rsid w:val="00402183"/>
    <w:rsid w:val="00410914"/>
    <w:rsid w:val="00411DB1"/>
    <w:rsid w:val="004177C7"/>
    <w:rsid w:val="00422906"/>
    <w:rsid w:val="00466EA2"/>
    <w:rsid w:val="00467968"/>
    <w:rsid w:val="0048201E"/>
    <w:rsid w:val="00514850"/>
    <w:rsid w:val="00524150"/>
    <w:rsid w:val="00536930"/>
    <w:rsid w:val="00556B52"/>
    <w:rsid w:val="005621A9"/>
    <w:rsid w:val="00564E53"/>
    <w:rsid w:val="00586E49"/>
    <w:rsid w:val="00596861"/>
    <w:rsid w:val="005C270D"/>
    <w:rsid w:val="005C6FD2"/>
    <w:rsid w:val="005D3E82"/>
    <w:rsid w:val="005D5659"/>
    <w:rsid w:val="005E64A2"/>
    <w:rsid w:val="005E7A5C"/>
    <w:rsid w:val="00600C20"/>
    <w:rsid w:val="00644FE2"/>
    <w:rsid w:val="00666C14"/>
    <w:rsid w:val="0067640C"/>
    <w:rsid w:val="006B1510"/>
    <w:rsid w:val="006E678B"/>
    <w:rsid w:val="006E7B1D"/>
    <w:rsid w:val="007115AE"/>
    <w:rsid w:val="007206BB"/>
    <w:rsid w:val="007265D2"/>
    <w:rsid w:val="00744724"/>
    <w:rsid w:val="007757F3"/>
    <w:rsid w:val="007C1B48"/>
    <w:rsid w:val="007E3B15"/>
    <w:rsid w:val="007E5A57"/>
    <w:rsid w:val="007E6AEB"/>
    <w:rsid w:val="00815AC9"/>
    <w:rsid w:val="00835DCE"/>
    <w:rsid w:val="0084733B"/>
    <w:rsid w:val="00850297"/>
    <w:rsid w:val="0086648A"/>
    <w:rsid w:val="008973EE"/>
    <w:rsid w:val="008B5089"/>
    <w:rsid w:val="008C188B"/>
    <w:rsid w:val="008D2496"/>
    <w:rsid w:val="008E56D9"/>
    <w:rsid w:val="00907F38"/>
    <w:rsid w:val="00923C6B"/>
    <w:rsid w:val="0092763C"/>
    <w:rsid w:val="00950C14"/>
    <w:rsid w:val="00957DF7"/>
    <w:rsid w:val="00957E24"/>
    <w:rsid w:val="00971600"/>
    <w:rsid w:val="00994EC6"/>
    <w:rsid w:val="009973B4"/>
    <w:rsid w:val="00997CFD"/>
    <w:rsid w:val="009C28C1"/>
    <w:rsid w:val="009D1BE4"/>
    <w:rsid w:val="009D5DC7"/>
    <w:rsid w:val="009E1090"/>
    <w:rsid w:val="009F4C28"/>
    <w:rsid w:val="009F7EED"/>
    <w:rsid w:val="00A432F8"/>
    <w:rsid w:val="00A80636"/>
    <w:rsid w:val="00AA7868"/>
    <w:rsid w:val="00AD12B4"/>
    <w:rsid w:val="00AD6492"/>
    <w:rsid w:val="00AE7D0A"/>
    <w:rsid w:val="00AF0AAB"/>
    <w:rsid w:val="00B02C38"/>
    <w:rsid w:val="00B467F8"/>
    <w:rsid w:val="00B7687D"/>
    <w:rsid w:val="00BA5E41"/>
    <w:rsid w:val="00BB5F5E"/>
    <w:rsid w:val="00BD62CC"/>
    <w:rsid w:val="00BF597E"/>
    <w:rsid w:val="00C51A36"/>
    <w:rsid w:val="00C55228"/>
    <w:rsid w:val="00C63768"/>
    <w:rsid w:val="00C8584F"/>
    <w:rsid w:val="00CD0A34"/>
    <w:rsid w:val="00CD57AA"/>
    <w:rsid w:val="00CD6087"/>
    <w:rsid w:val="00CE1211"/>
    <w:rsid w:val="00CE315A"/>
    <w:rsid w:val="00CE3631"/>
    <w:rsid w:val="00D04D39"/>
    <w:rsid w:val="00D06F59"/>
    <w:rsid w:val="00D32342"/>
    <w:rsid w:val="00D51430"/>
    <w:rsid w:val="00D8106B"/>
    <w:rsid w:val="00D8388C"/>
    <w:rsid w:val="00DB33AE"/>
    <w:rsid w:val="00DC7E86"/>
    <w:rsid w:val="00E07E68"/>
    <w:rsid w:val="00E1737C"/>
    <w:rsid w:val="00E53196"/>
    <w:rsid w:val="00E6224C"/>
    <w:rsid w:val="00E64BB0"/>
    <w:rsid w:val="00E87E33"/>
    <w:rsid w:val="00EB0164"/>
    <w:rsid w:val="00EB270A"/>
    <w:rsid w:val="00ED0F62"/>
    <w:rsid w:val="00EF1C44"/>
    <w:rsid w:val="00F120ED"/>
    <w:rsid w:val="00F155BF"/>
    <w:rsid w:val="00F2437B"/>
    <w:rsid w:val="00F37C77"/>
    <w:rsid w:val="00F44516"/>
    <w:rsid w:val="00F513F1"/>
    <w:rsid w:val="00F62963"/>
    <w:rsid w:val="00F8541D"/>
    <w:rsid w:val="00FA188D"/>
    <w:rsid w:val="00FB2A8F"/>
    <w:rsid w:val="00FB7DE9"/>
    <w:rsid w:val="00FC7458"/>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A74544"/>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542748"/>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33833"/>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uiPriority w:val="0"/>
    <w:rPr>
      <w:rFonts w:ascii="宋体" w:hAnsi="Courier New" w:cs="Arial"/>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character" w:customStyle="1" w:styleId="15">
    <w:name w:val="纯文本 Char"/>
    <w:link w:val="3"/>
    <w:uiPriority w:val="0"/>
    <w:rPr>
      <w:rFonts w:ascii="宋体" w:hAnsi="Courier New"/>
      <w:kern w:val="2"/>
      <w:sz w:val="21"/>
    </w:rPr>
  </w:style>
  <w:style w:type="character" w:customStyle="1" w:styleId="16">
    <w:name w:val="纯文本 Char1"/>
    <w:basedOn w:val="9"/>
    <w:link w:val="3"/>
    <w:semiHidden/>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955</Words>
  <Characters>5447</Characters>
  <Lines>45</Lines>
  <Paragraphs>12</Paragraphs>
  <TotalTime>68</TotalTime>
  <ScaleCrop>false</ScaleCrop>
  <LinksUpToDate>false</LinksUpToDate>
  <CharactersWithSpaces>6390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2020-10-09T22:36:35Z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