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成都九壹通智能科技股份有限公司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0486-2020-Q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91510100MA6CPYW440</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rFonts w:hint="eastAsia"/>
                <w:color w:val="000000"/>
                <w:szCs w:val="21"/>
                <w:lang w:eastAsia="zh-CN"/>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rFonts w:ascii="Times New Roman" w:hAnsi="Times New Roman" w:eastAsia="宋体" w:cs="Times New Roman"/>
                <w:color w:val="000000"/>
                <w:kern w:val="2"/>
                <w:sz w:val="21"/>
                <w:szCs w:val="21"/>
                <w:lang w:val="en-US" w:eastAsia="zh-CN" w:bidi="ar-SA"/>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2020.9.28</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237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2020-10-15T14:12:54Z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