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31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涉及条款</w:t>
            </w:r>
          </w:p>
        </w:tc>
        <w:tc>
          <w:tcPr>
            <w:tcW w:w="1077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      主管领导：</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李永双</w:t>
            </w:r>
          </w:p>
        </w:tc>
        <w:tc>
          <w:tcPr>
            <w:tcW w:w="8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Theme="minorEastAsia" w:hAnsiTheme="minorEastAsia" w:eastAsiaTheme="minorEastAsia" w:cstheme="minorEastAsia"/>
                <w:sz w:val="21"/>
                <w:szCs w:val="21"/>
              </w:rPr>
            </w:pPr>
          </w:p>
        </w:tc>
        <w:tc>
          <w:tcPr>
            <w:tcW w:w="1311"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李俐、</w:t>
            </w:r>
            <w:r>
              <w:rPr>
                <w:rFonts w:hint="eastAsia" w:asciiTheme="minorEastAsia" w:hAnsiTheme="minorEastAsia" w:eastAsiaTheme="minorEastAsia" w:cstheme="minorEastAsia"/>
                <w:sz w:val="21"/>
                <w:szCs w:val="21"/>
              </w:rPr>
              <w:t>薛永宏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专家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审核时间：20</w:t>
            </w:r>
            <w:r>
              <w:rPr>
                <w:rFonts w:hint="eastAsia" w:asciiTheme="minorEastAsia" w:hAnsiTheme="minorEastAsia" w:eastAsiaTheme="minorEastAsia" w:cstheme="minorEastAsia"/>
                <w:sz w:val="21"/>
                <w:szCs w:val="21"/>
                <w:lang w:val="en-US" w:eastAsia="zh-CN"/>
              </w:rPr>
              <w:t>20.10.11</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Theme="minorEastAsia" w:hAnsiTheme="minorEastAsia" w:eastAsiaTheme="minorEastAsia" w:cstheme="minorEastAsia"/>
                <w:sz w:val="21"/>
                <w:szCs w:val="21"/>
              </w:rPr>
            </w:pPr>
          </w:p>
        </w:tc>
        <w:tc>
          <w:tcPr>
            <w:tcW w:w="1311"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审核</w:t>
            </w:r>
            <w:r>
              <w:rPr>
                <w:rFonts w:hint="eastAsia" w:asciiTheme="minorEastAsia" w:hAnsiTheme="minorEastAsia" w:eastAsiaTheme="minorEastAsia" w:cstheme="minorEastAsia"/>
                <w:bCs/>
                <w:sz w:val="21"/>
                <w:szCs w:val="21"/>
              </w:rPr>
              <w:t>条款：</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QMS:5.3组织的岗位、职责和权限、6.2质量目标、8.1运行策划和控制、8.3产品和服务的设计和开发</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EMS: 5.3组织的岗位、职责和权限、6.2环境目标、6.1.2环境因素辨识与评价、8.1运行策划和控制、8.2应急准备和响应</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OHSMS: 5.3组织的岗位、职责和权限、6.2职业健康安全目标、6.1.2危险源辨识与评价、8.1运行策划和控制、8.2应急准备和响应</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职责权限</w:t>
            </w: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E5.3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S5.3</w:t>
            </w:r>
          </w:p>
        </w:tc>
        <w:tc>
          <w:tcPr>
            <w:tcW w:w="10770" w:type="dxa"/>
          </w:tcPr>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部负责人</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，能明确本部门的职责：1)负责本公司的技术改造和改进的工艺；</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2)负责经营技术工艺的制定和培训；</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3)负责数据分析，统计技术的应用和管理；</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4)负责针对产品质量问题，组织制定相应的纠正措施和改进措施，并进行跟踪验证活动；</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5)优先选用安全环保材料；</w:t>
            </w:r>
          </w:p>
          <w:p>
            <w:pPr>
              <w:tabs>
                <w:tab w:val="left" w:pos="900"/>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6)负责识别/辨识新产品和改造中的环境因素/危险源，并提出相应的控制措施。</w:t>
            </w:r>
          </w:p>
          <w:p>
            <w:pPr>
              <w:tabs>
                <w:tab w:val="left" w:pos="720"/>
              </w:tabs>
              <w:spacing w:line="400" w:lineRule="exact"/>
              <w:ind w:left="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7)负责明确产品可追溯性要求，当产品出现质量问题时，组织对其进行追溯；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部上述作用和职责、权限基本得到有效沟通和实施。</w:t>
            </w:r>
          </w:p>
        </w:tc>
        <w:tc>
          <w:tcPr>
            <w:tcW w:w="81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目标 </w:t>
            </w:r>
          </w:p>
        </w:tc>
        <w:tc>
          <w:tcPr>
            <w:tcW w:w="131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E6.2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S6.2</w:t>
            </w:r>
          </w:p>
          <w:p>
            <w:pPr>
              <w:rPr>
                <w:rFonts w:hint="eastAsia" w:asciiTheme="minorEastAsia" w:hAnsiTheme="minorEastAsia" w:eastAsiaTheme="minorEastAsia" w:cstheme="minorEastAsia"/>
                <w:sz w:val="21"/>
                <w:szCs w:val="21"/>
              </w:rPr>
            </w:pPr>
          </w:p>
        </w:tc>
        <w:tc>
          <w:tcPr>
            <w:tcW w:w="1077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部门目标：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476750" cy="293370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476750" cy="293370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考核情况，经</w:t>
            </w:r>
            <w:r>
              <w:rPr>
                <w:rFonts w:hint="eastAsia" w:asciiTheme="minorEastAsia" w:hAnsiTheme="minorEastAsia" w:eastAsiaTheme="minorEastAsia" w:cstheme="minorEastAsia"/>
                <w:sz w:val="21"/>
                <w:szCs w:val="21"/>
                <w:lang w:val="en-US" w:eastAsia="zh-CN"/>
              </w:rPr>
              <w:t>2020.9.3考核已经完成</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环境因素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危险源</w:t>
            </w: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E6.1.2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S6.1.2</w:t>
            </w:r>
          </w:p>
        </w:tc>
        <w:tc>
          <w:tcPr>
            <w:tcW w:w="10770" w:type="dxa"/>
          </w:tcPr>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提供了《环境因素和危险源识别评价与控制程序》，对环境因素、危险源的识别、评价结果、控制手段等做出了规定。</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部门负责人</w:t>
            </w:r>
            <w:r>
              <w:rPr>
                <w:rFonts w:hint="eastAsia" w:asciiTheme="minorEastAsia" w:hAnsiTheme="minorEastAsia" w:eastAsiaTheme="minorEastAsia" w:cstheme="minorEastAsia"/>
                <w:sz w:val="21"/>
                <w:szCs w:val="21"/>
              </w:rPr>
              <w:t>介绍了对环境因素、危险源进行了辨识，考虑了三种时态，过去、现在和将来，三种状态，正常、异常和紧急，按照办公区域及工作过程，另外按照区域及工作过程等进行了辨识。</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提供了《环境因素识别与评价表》，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采用评分标准以打分的方式评价重要环境因素，评价出的重要环境因素为：潜在火灾、固废排放等。</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策划通过运行控制、管理方案、培训教育、应急预案等对重大环境因素实施控制，基本适宜，具体见E8.1条款。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提供《职业安全健康管理体系危害辨识、风险评价、风险控制工作表》对部门开发、系统集成、办公活动各过程分别进行辨识，考虑了电脑辐射、触电、意外伤害、火灾等方面；</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部识别的各区域危险源有：电脑辐射、触电、意外伤害、火灾等。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不可接受风险识别有：火灾、触电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意外伤害</w:t>
            </w:r>
            <w:r>
              <w:rPr>
                <w:rFonts w:hint="eastAsia" w:asciiTheme="minorEastAsia" w:hAnsiTheme="minorEastAsia" w:eastAsiaTheme="minorEastAsia" w:cstheme="minorEastAsia"/>
                <w:sz w:val="21"/>
                <w:szCs w:val="21"/>
              </w:rPr>
              <w:t>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危险源识别经核实基本齐全，重大危险源评价基本合理。</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运行的策划和控制</w:t>
            </w:r>
          </w:p>
          <w:p>
            <w:pPr>
              <w:spacing w:line="360" w:lineRule="auto"/>
              <w:rPr>
                <w:rFonts w:hint="eastAsia" w:asciiTheme="minorEastAsia" w:hAnsiTheme="minorEastAsia" w:eastAsiaTheme="minorEastAsia" w:cstheme="minorEastAsia"/>
                <w:bCs/>
                <w:sz w:val="21"/>
                <w:szCs w:val="21"/>
              </w:rPr>
            </w:pP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E8.1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S8.1</w:t>
            </w:r>
          </w:p>
        </w:tc>
        <w:tc>
          <w:tcPr>
            <w:tcW w:w="10770" w:type="dxa"/>
          </w:tcPr>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质量管理体系方面：</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产品实现的策划主要由</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负责人完成，过程策划包含了实现产品所需达到的质量目标和要求，公司主要依据客户技术要求、</w:t>
            </w:r>
            <w:r>
              <w:rPr>
                <w:rFonts w:hint="eastAsia" w:asciiTheme="minorEastAsia" w:hAnsiTheme="minorEastAsia" w:eastAsiaTheme="minorEastAsia" w:cstheme="minorEastAsia"/>
                <w:b w:val="0"/>
                <w:bCs w:val="0"/>
                <w:sz w:val="21"/>
                <w:szCs w:val="21"/>
              </w:rPr>
              <w:t>智能变频电磁感应加热节能设备通用技术</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sz w:val="21"/>
                <w:szCs w:val="21"/>
              </w:rPr>
              <w:t>环境保护产品技术要求—反渗透水处理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kern w:val="0"/>
                <w:sz w:val="21"/>
                <w:szCs w:val="21"/>
              </w:rPr>
              <w:t>质量特性及其使用指南</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sz w:val="21"/>
                <w:szCs w:val="21"/>
              </w:rPr>
              <w:t>工业机器人 性能规范及试验</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sz w:val="21"/>
                <w:szCs w:val="21"/>
              </w:rPr>
              <w:t>工业机器人  安全实施规范</w:t>
            </w:r>
            <w:r>
              <w:rPr>
                <w:rFonts w:hint="eastAsia" w:asciiTheme="minorEastAsia" w:hAnsiTheme="minorEastAsia" w:eastAsiaTheme="minorEastAsia" w:cstheme="minorEastAsia"/>
                <w:kern w:val="0"/>
                <w:sz w:val="21"/>
                <w:szCs w:val="21"/>
                <w:lang w:val="en-US" w:eastAsia="zh-CN"/>
              </w:rPr>
              <w:t>等</w:t>
            </w:r>
            <w:r>
              <w:rPr>
                <w:rFonts w:hint="eastAsia" w:asciiTheme="minorEastAsia" w:hAnsiTheme="minorEastAsia" w:eastAsiaTheme="minorEastAsia" w:cstheme="minorEastAsia"/>
                <w:sz w:val="21"/>
                <w:szCs w:val="21"/>
              </w:rPr>
              <w:t>，编制了相应的过程文件：</w:t>
            </w:r>
          </w:p>
          <w:p>
            <w:pPr>
              <w:spacing w:line="36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color w:val="000000"/>
                <w:spacing w:val="12"/>
                <w:sz w:val="21"/>
                <w:szCs w:val="21"/>
                <w:lang w:val="en-US" w:eastAsia="zh-CN"/>
              </w:rPr>
              <w:t xml:space="preserve"> </w:t>
            </w:r>
            <w:r>
              <w:rPr>
                <w:rFonts w:hint="eastAsia" w:asciiTheme="minorEastAsia" w:hAnsiTheme="minorEastAsia" w:eastAsiaTheme="minorEastAsia" w:cstheme="minorEastAsia"/>
                <w:b w:val="0"/>
                <w:bCs/>
                <w:color w:val="auto"/>
                <w:sz w:val="21"/>
                <w:szCs w:val="21"/>
                <w:lang w:val="en-US" w:eastAsia="zh-CN"/>
              </w:rPr>
              <w:t>设计开发流程：经营部反馈信息---立项申请---编制设计开发任务书---设计开发输入评审---编制设计开发方案---设计开发输入评审---编制设计计算书---设计图纸---采购清单---设计计算书评审---设计开发输出评审---设计开发确认</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针对产品的设计过程制定了作业指导书；</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规定了产品的检验验收准则；</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对产品设计开发过程设置了设计开发立项书、评审报告、测试报告、联调联试报告、客户试用报告、产品鉴定确认报告等记录；</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资源的提供（包括人力、物力、办公设备设施、通讯工具、设计开发工具等）。</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策划的输出适合于组织的运行。</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对于非预期变更，及时进行潜在后果评审，并告知相关人员，目前未发生。</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经识别企业无外包过程，今后如有发生按照标准Q8.4条款的要求进行管理控制。</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环境和职业健康安全管理体系方面：</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编制与环境、安全体系运行控制有关的文件有《管理运行控制程序》、《节约用水管理规定》、《垃圾管理规定》、《消防控制程序》《电工操作规程》、《应急预案》等。</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智能化工业机器人、钻井泥浆无害化处理设备、电磁加热设备和电磁加热三项分离装置、固体废弃物处理设备设计过程不产生废水，生活废水排入</w:t>
            </w:r>
            <w:r>
              <w:rPr>
                <w:rFonts w:hint="eastAsia" w:asciiTheme="minorEastAsia" w:hAnsiTheme="minorEastAsia" w:eastAsiaTheme="minorEastAsia" w:cstheme="minorEastAsia"/>
                <w:sz w:val="21"/>
                <w:szCs w:val="21"/>
                <w:lang w:val="en-US" w:eastAsia="zh-CN"/>
              </w:rPr>
              <w:t>城市</w:t>
            </w:r>
            <w:r>
              <w:rPr>
                <w:rFonts w:hint="eastAsia" w:asciiTheme="minorEastAsia" w:hAnsiTheme="minorEastAsia" w:eastAsiaTheme="minorEastAsia" w:cstheme="minorEastAsia"/>
                <w:sz w:val="21"/>
                <w:szCs w:val="21"/>
              </w:rPr>
              <w:t>管网集中处理。</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办公过程和安装调试过程基本无噪声。</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主要是办公固废的排放和安装调试时的电线、网线边角料及包装物的排放。</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部将墨盒硒鼓等办公危废交行政部统一处理一般是交供应商回收，其他固废及生活垃圾放在门口垃圾桶由办公大楼物业部门统一处理。</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能源资源管控：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开发和办公过程注意节水、节电，人走关闭设备和照明开关，现场未发现有漏水和浪费电能的现象。</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产品生命周期的环境管控：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公司从工艺设计时考虑了产品的环保性，研发过程中，严格按照环保等管理制度实施，控制好材料的用量，避免浪费，尽量考虑生命周期终了时还可以回收再利用。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公司配备了消防设施。</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安全防护：</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主要是防止触电，研发和办公时注意防护，加强日常检查和培训教育。</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能提供防止员工意外伤害加重的急救药品如创可贴、杀菌药水等。</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为主要长期员工上社保，查见交款证明。</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按有关程序和要求通报供方和顾客，采用〈告知函〉方式通报。查到相关方告知书。</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员工饮用水为纯净水通过饮水机饮用。</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现场运行控制：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事的主要是钻井泥浆无害化处理设备、水处理（清水、软化水、污水、含油污水）设备、全自动软化水装置、稀油站、滤油机、油田专用设备、过滤器、电磁加热设备和电磁加热三项分离装置、太阳能用具的设计设计开发。</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现场查看各研发技术人员坐姿正确避免过度疲劳。</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电脑显示器调整到保护视力的颜色。</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研发、调试和办公区内现场电线布线合理，电线均处于完好状态，有接地及保护装置，漏电保护器状态良好。</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现场有分类存放的垃圾桶。</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现场配备有灭火器、消防栓，均有效。</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现场在环保和职业健康安全防护方面的控制管理基本有效。</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应急准备和响应</w:t>
            </w:r>
          </w:p>
        </w:tc>
        <w:tc>
          <w:tcPr>
            <w:tcW w:w="1311"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E8.2</w:t>
            </w:r>
          </w:p>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S8.2</w:t>
            </w:r>
          </w:p>
        </w:tc>
        <w:tc>
          <w:tcPr>
            <w:tcW w:w="10770"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编制了《应急准备和响应控制程序》，确定的紧急情况有：火灾、触电、人等。</w:t>
            </w:r>
            <w:r>
              <w:rPr>
                <w:rFonts w:hint="eastAsia" w:asciiTheme="minorEastAsia" w:hAnsiTheme="minorEastAsia" w:eastAsiaTheme="minorEastAsia" w:cstheme="minorEastAsia"/>
                <w:spacing w:val="-10"/>
                <w:sz w:val="21"/>
                <w:szCs w:val="21"/>
                <w:lang w:val="en-US" w:eastAsia="zh-CN"/>
              </w:rPr>
              <w:t>技术</w:t>
            </w:r>
            <w:r>
              <w:rPr>
                <w:rFonts w:hint="eastAsia" w:asciiTheme="minorEastAsia" w:hAnsiTheme="minorEastAsia" w:eastAsiaTheme="minorEastAsia" w:cstheme="minorEastAsia"/>
                <w:spacing w:val="-10"/>
                <w:sz w:val="21"/>
                <w:szCs w:val="21"/>
              </w:rPr>
              <w:t>部的人员参与了公司的应急演练，明确了应急处理流程及方案。</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应急设施配置：办公场所配备了灭火器、消防栓等消防设施，均在有效期内，状态良好。</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20.8.20</w:t>
            </w:r>
            <w:r>
              <w:rPr>
                <w:rFonts w:hint="eastAsia" w:asciiTheme="minorEastAsia" w:hAnsiTheme="minorEastAsia" w:eastAsiaTheme="minorEastAsia" w:cstheme="minorEastAsia"/>
                <w:sz w:val="21"/>
                <w:szCs w:val="21"/>
              </w:rPr>
              <w:t>日的《</w:t>
            </w:r>
            <w:r>
              <w:rPr>
                <w:rFonts w:hint="eastAsia" w:asciiTheme="minorEastAsia" w:hAnsiTheme="minorEastAsia" w:eastAsiaTheme="minorEastAsia" w:cstheme="minorEastAsia"/>
                <w:sz w:val="21"/>
                <w:szCs w:val="21"/>
                <w:lang w:val="en-US" w:eastAsia="zh-CN"/>
              </w:rPr>
              <w:t>爆炸、火灾消防</w:t>
            </w:r>
            <w:r>
              <w:rPr>
                <w:rFonts w:hint="eastAsia" w:asciiTheme="minorEastAsia" w:hAnsiTheme="minorEastAsia" w:eastAsiaTheme="minorEastAsia" w:cstheme="minorEastAsia"/>
                <w:sz w:val="21"/>
                <w:szCs w:val="21"/>
              </w:rPr>
              <w:t>事故应急预案演练记录》，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现场巡视办公区、研发及调试区配有多个灭火器和消防栓，均有效。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查到“消防器材台账及检查记录”，20</w:t>
            </w: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-9月兰晓敏</w:t>
            </w:r>
            <w:r>
              <w:rPr>
                <w:rFonts w:hint="eastAsia" w:asciiTheme="minorEastAsia" w:hAnsiTheme="minorEastAsia" w:eastAsiaTheme="minorEastAsia" w:cstheme="minorEastAsia"/>
                <w:bCs/>
                <w:sz w:val="21"/>
                <w:szCs w:val="21"/>
              </w:rPr>
              <w:t>对灭火器及消防箱进行了检查，结果正常。</w:t>
            </w:r>
          </w:p>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自体系运行以来尚未发生紧急情况。</w:t>
            </w:r>
          </w:p>
        </w:tc>
        <w:tc>
          <w:tcPr>
            <w:tcW w:w="819"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9" w:type="dxa"/>
            <w:vMerge w:val="restart"/>
            <w:vAlign w:val="center"/>
          </w:tcPr>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pacing w:val="-10"/>
                <w:sz w:val="21"/>
                <w:szCs w:val="21"/>
              </w:rPr>
              <w:t>产品和服务的设计和开发</w:t>
            </w: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Q8.3.1总则</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Q8.3.2设计和开发策划</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spacing w:line="360" w:lineRule="auto"/>
              <w:rPr>
                <w:rFonts w:hint="eastAsia" w:asciiTheme="minorEastAsia" w:hAnsiTheme="minorEastAsia" w:eastAsiaTheme="minorEastAsia" w:cstheme="minorEastAsia"/>
                <w:sz w:val="21"/>
                <w:szCs w:val="21"/>
              </w:rPr>
            </w:pP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目前主要从事钻井泥浆无害化处理设备、水处理（清水、软化水、污水、含油污水）设备、全自动软化水装置、稀油站、滤油机、油田专用设备、过滤器、电磁加热设备和电磁加热三项分离装置、太阳能用具等产品的设计开发。</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查编制有《设计与开发控制程序》，文件对设计开发的全过程进行了规范化管理，以确保所设计开发的产品能满足顾客需求或期望和有关法律法规要求。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提供了钻井泥浆无害化处理设备、水处理（清水、软化水、污水、含油污水）设备、全自动软化水装置、稀油站、滤油机、油田专用设备、过滤器、电磁加热设备和电磁加热三项分离装置、太阳能用具等设计开发资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以上资料记录了设计开发的策划、输入、输出、评审、验证和确认活动。</w:t>
            </w:r>
          </w:p>
          <w:p>
            <w:pPr>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的《项目立项申请书》，记录了</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rPr>
              <w:t>设计开发的策划，包括了设计和开发各个阶段的评审、验证和确认活动，以及设计开发人员分工及职责，编制：</w:t>
            </w:r>
            <w:r>
              <w:rPr>
                <w:rFonts w:hint="eastAsia" w:asciiTheme="minorEastAsia" w:hAnsiTheme="minorEastAsia" w:eastAsiaTheme="minorEastAsia" w:cstheme="minorEastAsia"/>
                <w:color w:val="auto"/>
                <w:sz w:val="21"/>
                <w:szCs w:val="21"/>
                <w:lang w:val="en-US" w:eastAsia="zh-CN"/>
              </w:rPr>
              <w:t>技术部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批准：刘星海  日期：2020.3.18</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0288" behindDoc="0" locked="0" layoutInCell="1" allowOverlap="1">
                  <wp:simplePos x="0" y="0"/>
                  <wp:positionH relativeFrom="column">
                    <wp:posOffset>200025</wp:posOffset>
                  </wp:positionH>
                  <wp:positionV relativeFrom="paragraph">
                    <wp:posOffset>34290</wp:posOffset>
                  </wp:positionV>
                  <wp:extent cx="2447925" cy="3062605"/>
                  <wp:effectExtent l="0" t="0" r="9525" b="4445"/>
                  <wp:wrapNone/>
                  <wp:docPr id="20" name="图片 20" descr="焊烟净化器新产品开发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焊烟净化器新产品开发_02"/>
                          <pic:cNvPicPr>
                            <a:picLocks noChangeAspect="1"/>
                          </pic:cNvPicPr>
                        </pic:nvPicPr>
                        <pic:blipFill>
                          <a:blip r:embed="rId7"/>
                          <a:srcRect b="11589"/>
                          <a:stretch>
                            <a:fillRect/>
                          </a:stretch>
                        </pic:blipFill>
                        <pic:spPr>
                          <a:xfrm>
                            <a:off x="0" y="0"/>
                            <a:ext cx="2447925" cy="3062605"/>
                          </a:xfrm>
                          <a:prstGeom prst="rect">
                            <a:avLst/>
                          </a:prstGeom>
                        </pic:spPr>
                      </pic:pic>
                    </a:graphicData>
                  </a:graphic>
                </wp:anchor>
              </w:drawing>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p>
          <w:p>
            <w:pPr>
              <w:ind w:firstLine="210" w:firstLineChars="100"/>
              <w:rPr>
                <w:rFonts w:hint="eastAsia"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eastAsia="zh-CN"/>
              </w:rPr>
              <w:t>稀油站</w:t>
            </w:r>
            <w:r>
              <w:rPr>
                <w:rFonts w:hint="eastAsia" w:asciiTheme="minorEastAsia" w:hAnsiTheme="minorEastAsia" w:eastAsiaTheme="minorEastAsia" w:cstheme="minorEastAsia"/>
                <w:sz w:val="21"/>
                <w:szCs w:val="21"/>
              </w:rPr>
              <w:t>的《项目立项申请书》，记录了</w:t>
            </w:r>
            <w:r>
              <w:rPr>
                <w:rFonts w:hint="eastAsia" w:asciiTheme="minorEastAsia" w:hAnsiTheme="minorEastAsia" w:eastAsiaTheme="minorEastAsia" w:cstheme="minorEastAsia"/>
                <w:sz w:val="21"/>
                <w:szCs w:val="21"/>
                <w:lang w:eastAsia="zh-CN"/>
              </w:rPr>
              <w:t>稀油站</w:t>
            </w:r>
            <w:r>
              <w:rPr>
                <w:rFonts w:hint="eastAsia" w:asciiTheme="minorEastAsia" w:hAnsiTheme="minorEastAsia" w:eastAsiaTheme="minorEastAsia" w:cstheme="minorEastAsia"/>
                <w:sz w:val="21"/>
                <w:szCs w:val="21"/>
              </w:rPr>
              <w:t>设计开发的策划，包括了设计和开发各个阶段的评审、验证和确认活动，以及设计开发人员分工及职责，编制：</w:t>
            </w:r>
            <w:r>
              <w:rPr>
                <w:rFonts w:hint="eastAsia" w:asciiTheme="minorEastAsia" w:hAnsiTheme="minorEastAsia" w:eastAsiaTheme="minorEastAsia" w:cstheme="minorEastAsia"/>
                <w:color w:val="auto"/>
                <w:sz w:val="21"/>
                <w:szCs w:val="21"/>
                <w:lang w:val="en-US" w:eastAsia="zh-CN"/>
              </w:rPr>
              <w:t>技术部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批准：刘星海  日期：2020.5.24。</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1312" behindDoc="0" locked="0" layoutInCell="1" allowOverlap="1">
                  <wp:simplePos x="0" y="0"/>
                  <wp:positionH relativeFrom="column">
                    <wp:posOffset>295275</wp:posOffset>
                  </wp:positionH>
                  <wp:positionV relativeFrom="paragraph">
                    <wp:posOffset>106680</wp:posOffset>
                  </wp:positionV>
                  <wp:extent cx="2655570" cy="3757295"/>
                  <wp:effectExtent l="0" t="0" r="11430" b="14605"/>
                  <wp:wrapNone/>
                  <wp:docPr id="22" name="图片 22" descr="稀油站新产品开发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稀油站新产品开发_02"/>
                          <pic:cNvPicPr>
                            <a:picLocks noChangeAspect="1"/>
                          </pic:cNvPicPr>
                        </pic:nvPicPr>
                        <pic:blipFill>
                          <a:blip r:embed="rId8"/>
                          <a:stretch>
                            <a:fillRect/>
                          </a:stretch>
                        </pic:blipFill>
                        <pic:spPr>
                          <a:xfrm>
                            <a:off x="0" y="0"/>
                            <a:ext cx="2655570" cy="3757295"/>
                          </a:xfrm>
                          <a:prstGeom prst="rect">
                            <a:avLst/>
                          </a:prstGeom>
                        </pic:spPr>
                      </pic:pic>
                    </a:graphicData>
                  </a:graphic>
                </wp:anchor>
              </w:drawing>
            </w: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的《项目立项申请书》，记录了</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设计开发的策划，包括了设计和开发各个阶段的评审、验证和确认活动，以及设计开发人员分工及职责，编制：</w:t>
            </w:r>
            <w:r>
              <w:rPr>
                <w:rFonts w:hint="eastAsia" w:asciiTheme="minorEastAsia" w:hAnsiTheme="minorEastAsia" w:eastAsiaTheme="minorEastAsia" w:cstheme="minorEastAsia"/>
                <w:color w:val="auto"/>
                <w:sz w:val="21"/>
                <w:szCs w:val="21"/>
                <w:lang w:val="en-US" w:eastAsia="zh-CN"/>
              </w:rPr>
              <w:t>技术部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批准：刘星海  日期：2020.4.11</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2336" behindDoc="0" locked="0" layoutInCell="1" allowOverlap="1">
                  <wp:simplePos x="0" y="0"/>
                  <wp:positionH relativeFrom="column">
                    <wp:posOffset>267335</wp:posOffset>
                  </wp:positionH>
                  <wp:positionV relativeFrom="paragraph">
                    <wp:posOffset>480060</wp:posOffset>
                  </wp:positionV>
                  <wp:extent cx="1694815" cy="2182495"/>
                  <wp:effectExtent l="0" t="0" r="635" b="8255"/>
                  <wp:wrapNone/>
                  <wp:docPr id="23" name="图片 23" descr="滤油机新产品开发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滤油机新产品开发_02"/>
                          <pic:cNvPicPr>
                            <a:picLocks noChangeAspect="1"/>
                          </pic:cNvPicPr>
                        </pic:nvPicPr>
                        <pic:blipFill>
                          <a:blip r:embed="rId9"/>
                          <a:srcRect l="6965" t="8211" r="7239" b="13699"/>
                          <a:stretch>
                            <a:fillRect/>
                          </a:stretch>
                        </pic:blipFill>
                        <pic:spPr>
                          <a:xfrm>
                            <a:off x="0" y="0"/>
                            <a:ext cx="1694815" cy="2182495"/>
                          </a:xfrm>
                          <a:prstGeom prst="rect">
                            <a:avLst/>
                          </a:prstGeom>
                        </pic:spPr>
                      </pic:pic>
                    </a:graphicData>
                  </a:graphic>
                </wp:anchor>
              </w:drawing>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基本符合设计开发过程策划的控制要求。</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Q8.3.3设计和开发输入</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Q8.5.1设计服务过程控制</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Q8.6产品放行</w:t>
            </w: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查设计和开发的输入：提供了《项目</w:t>
            </w:r>
            <w:r>
              <w:rPr>
                <w:rFonts w:hint="eastAsia" w:asciiTheme="minorEastAsia" w:hAnsiTheme="minorEastAsia" w:eastAsiaTheme="minorEastAsia" w:cstheme="minorEastAsia"/>
                <w:sz w:val="21"/>
                <w:szCs w:val="21"/>
                <w:lang w:val="en-US" w:eastAsia="zh-CN"/>
              </w:rPr>
              <w:t>建议</w:t>
            </w:r>
            <w:r>
              <w:rPr>
                <w:rFonts w:hint="eastAsia" w:asciiTheme="minorEastAsia" w:hAnsiTheme="minorEastAsia" w:eastAsiaTheme="minorEastAsia" w:cstheme="minorEastAsia"/>
                <w:sz w:val="21"/>
                <w:szCs w:val="21"/>
              </w:rPr>
              <w:t>书》、《设计开发输入清单》。</w:t>
            </w:r>
          </w:p>
          <w:p>
            <w:pPr>
              <w:spacing w:line="360" w:lineRule="auto"/>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rPr>
              <w:t>查项目名称：环保专用设备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设计内容：</w:t>
            </w:r>
            <w:r>
              <w:rPr>
                <w:rFonts w:hint="eastAsia" w:asciiTheme="minorEastAsia" w:hAnsiTheme="minorEastAsia" w:eastAsiaTheme="minorEastAsia" w:cstheme="minorEastAsia"/>
                <w:color w:val="auto"/>
                <w:sz w:val="21"/>
                <w:szCs w:val="21"/>
              </w:rPr>
              <w:t>适用法律法规要求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顾客要求或本公司要求，如：调研报告、计划、使用的法律法规及其他要求、产品标准、技术要求、质量特性等。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立项申请书；</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设计任务书；</w:t>
            </w:r>
          </w:p>
          <w:p>
            <w:pPr>
              <w:numPr>
                <w:ilvl w:val="0"/>
                <w:numId w:val="3"/>
              </w:numPr>
              <w:spacing w:line="360" w:lineRule="auto"/>
              <w:ind w:left="880" w:leftChars="0" w:hanging="7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产品质量法和产品计量法；</w:t>
            </w:r>
          </w:p>
          <w:p>
            <w:pPr>
              <w:numPr>
                <w:ilvl w:val="0"/>
                <w:numId w:val="3"/>
              </w:numPr>
              <w:spacing w:line="360" w:lineRule="auto"/>
              <w:ind w:left="880" w:leftChars="0" w:hanging="7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设计开发产品功能和性能要求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验收测试的主要目的是验证所开发的系统在用户的使用环境下（或模拟的使用环境下）是否满足系统需求，从用户的角度验证整个系统运行的正确性</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参考类似设计信息</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参考类似的原有产品款式信息、质量技术文件。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设计开发必要的要求</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按照《设计</w:t>
            </w:r>
            <w:r>
              <w:rPr>
                <w:rFonts w:hint="eastAsia" w:asciiTheme="minorEastAsia" w:hAnsiTheme="minorEastAsia" w:eastAsiaTheme="minorEastAsia" w:cstheme="minorEastAsia"/>
                <w:color w:val="auto"/>
                <w:sz w:val="21"/>
                <w:szCs w:val="21"/>
                <w:lang w:eastAsia="zh-CN"/>
              </w:rPr>
              <w:t>和</w:t>
            </w:r>
            <w:r>
              <w:rPr>
                <w:rFonts w:hint="eastAsia" w:asciiTheme="minorEastAsia" w:hAnsiTheme="minorEastAsia" w:eastAsiaTheme="minorEastAsia" w:cstheme="minorEastAsia"/>
                <w:color w:val="auto"/>
                <w:sz w:val="21"/>
                <w:szCs w:val="21"/>
              </w:rPr>
              <w:t>开发控制程序》进行设计、应考虑产品综合成本最大化使用率。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其它要求</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按照需求分析、系统分析与设计要求、系统编码、系统测试几个过程有序推进</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查到对设计开发输入进行了评审，经评审设计输入评审通过。</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评审人员：</w:t>
            </w:r>
            <w:r>
              <w:rPr>
                <w:rFonts w:hint="eastAsia" w:asciiTheme="minorEastAsia" w:hAnsiTheme="minorEastAsia" w:eastAsiaTheme="minorEastAsia" w:cstheme="minorEastAsia"/>
                <w:b w:val="0"/>
                <w:bCs w:val="0"/>
                <w:sz w:val="21"/>
                <w:szCs w:val="21"/>
                <w:lang w:val="en-US" w:eastAsia="zh-CN"/>
              </w:rPr>
              <w:t>王佳春</w:t>
            </w:r>
            <w:r>
              <w:rPr>
                <w:rFonts w:hint="eastAsia" w:asciiTheme="minorEastAsia" w:hAnsiTheme="minorEastAsia" w:eastAsiaTheme="minorEastAsia" w:cstheme="minorEastAsia"/>
                <w:b w:val="0"/>
                <w:bCs w:val="0"/>
                <w:sz w:val="21"/>
                <w:szCs w:val="21"/>
              </w:rPr>
              <w:t>，批准人</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李永双 </w:t>
            </w:r>
            <w:r>
              <w:rPr>
                <w:rFonts w:hint="eastAsia" w:asciiTheme="minorEastAsia" w:hAnsiTheme="minorEastAsia" w:eastAsiaTheme="minorEastAsia" w:cstheme="minorEastAsia"/>
                <w:b w:val="0"/>
                <w:bCs w:val="0"/>
                <w:sz w:val="21"/>
                <w:szCs w:val="21"/>
              </w:rPr>
              <w:t>20</w:t>
            </w:r>
            <w:r>
              <w:rPr>
                <w:rFonts w:hint="eastAsia" w:asciiTheme="minorEastAsia" w:hAnsiTheme="minorEastAsia" w:eastAsiaTheme="minorEastAsia" w:cstheme="minorEastAsia"/>
                <w:b w:val="0"/>
                <w:bCs w:val="0"/>
                <w:sz w:val="21"/>
                <w:szCs w:val="21"/>
                <w:lang w:val="en-US" w:eastAsia="zh-CN"/>
              </w:rPr>
              <w:t>20.3.20</w:t>
            </w:r>
            <w:r>
              <w:rPr>
                <w:rFonts w:hint="eastAsia" w:asciiTheme="minorEastAsia" w:hAnsiTheme="minorEastAsia" w:eastAsiaTheme="minorEastAsia" w:cstheme="minorEastAsia"/>
                <w:b w:val="0"/>
                <w:bCs w:val="0"/>
                <w:sz w:val="21"/>
                <w:szCs w:val="21"/>
              </w:rPr>
              <w:t>日。</w:t>
            </w:r>
          </w:p>
          <w:p>
            <w:pPr>
              <w:spacing w:line="360" w:lineRule="auto"/>
              <w:ind w:firstLine="420" w:firstLineChars="20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另外查20</w:t>
            </w:r>
            <w:r>
              <w:rPr>
                <w:rFonts w:hint="eastAsia" w:asciiTheme="minorEastAsia" w:hAnsiTheme="minorEastAsia" w:eastAsiaTheme="minorEastAsia" w:cstheme="minorEastAsia"/>
                <w:sz w:val="21"/>
                <w:szCs w:val="21"/>
                <w:lang w:val="en-US" w:eastAsia="zh-CN"/>
              </w:rPr>
              <w:t>20.5.25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的设计开发输入清单，也经过了评审和批准，设计内容：</w:t>
            </w:r>
            <w:r>
              <w:rPr>
                <w:rFonts w:hint="eastAsia" w:asciiTheme="minorEastAsia" w:hAnsiTheme="minorEastAsia" w:eastAsiaTheme="minorEastAsia" w:cstheme="minorEastAsia"/>
                <w:color w:val="auto"/>
                <w:sz w:val="21"/>
                <w:szCs w:val="21"/>
              </w:rPr>
              <w:t>适用法律法规要求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使用标准：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设计内容：</w:t>
            </w:r>
            <w:r>
              <w:rPr>
                <w:rFonts w:hint="eastAsia" w:asciiTheme="minorEastAsia" w:hAnsiTheme="minorEastAsia" w:eastAsiaTheme="minorEastAsia" w:cstheme="minorEastAsia"/>
                <w:color w:val="auto"/>
                <w:sz w:val="21"/>
                <w:szCs w:val="21"/>
              </w:rPr>
              <w:t>适用法律法规要求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顾客要求或本公司要求，如：调研报告、计划、使用的法律法规及其他要求、产品标准、技术要求、质量特性等。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立项申请书；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设计任务书；</w:t>
            </w:r>
          </w:p>
          <w:p>
            <w:pPr>
              <w:numPr>
                <w:ilvl w:val="0"/>
                <w:numId w:val="0"/>
              </w:numPr>
              <w:spacing w:line="360" w:lineRule="auto"/>
              <w:ind w:left="1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产品质量法和产品计量法；</w:t>
            </w:r>
          </w:p>
          <w:p>
            <w:pPr>
              <w:numPr>
                <w:ilvl w:val="0"/>
                <w:numId w:val="0"/>
              </w:numPr>
              <w:spacing w:line="360" w:lineRule="auto"/>
              <w:ind w:left="16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设计开发产品功能和性能要求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验收测试的主要目的是验证所开发的系统在用户的使用环境下（或模拟的使用环境下）是否满足系统需求，从用户的角度验证整个系统运行的正确性</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参考类似设计信息</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参考类似的原有产品款式信息、质量技术文件。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设计开发必要的要求</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按照《设计</w:t>
            </w:r>
            <w:r>
              <w:rPr>
                <w:rFonts w:hint="eastAsia" w:asciiTheme="minorEastAsia" w:hAnsiTheme="minorEastAsia" w:eastAsiaTheme="minorEastAsia" w:cstheme="minorEastAsia"/>
                <w:color w:val="auto"/>
                <w:sz w:val="21"/>
                <w:szCs w:val="21"/>
                <w:lang w:eastAsia="zh-CN"/>
              </w:rPr>
              <w:t>和</w:t>
            </w:r>
            <w:r>
              <w:rPr>
                <w:rFonts w:hint="eastAsia" w:asciiTheme="minorEastAsia" w:hAnsiTheme="minorEastAsia" w:eastAsiaTheme="minorEastAsia" w:cstheme="minorEastAsia"/>
                <w:color w:val="auto"/>
                <w:sz w:val="21"/>
                <w:szCs w:val="21"/>
              </w:rPr>
              <w:t>开发控制程序》进行设计、应考虑产品综合成本最大化使用率。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其它要求</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按照需求分析、系统分析与设计要求、系统编码、系统测试几个过程有序推进</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查到对设计开发输入进行了评审，经评审设计输入评审通过。</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评审人员：</w:t>
            </w:r>
            <w:r>
              <w:rPr>
                <w:rFonts w:hint="eastAsia" w:asciiTheme="minorEastAsia" w:hAnsiTheme="minorEastAsia" w:eastAsiaTheme="minorEastAsia" w:cstheme="minorEastAsia"/>
                <w:b w:val="0"/>
                <w:bCs w:val="0"/>
                <w:sz w:val="21"/>
                <w:szCs w:val="21"/>
                <w:lang w:val="en-US" w:eastAsia="zh-CN"/>
              </w:rPr>
              <w:t>王佳春</w:t>
            </w:r>
            <w:r>
              <w:rPr>
                <w:rFonts w:hint="eastAsia" w:asciiTheme="minorEastAsia" w:hAnsiTheme="minorEastAsia" w:eastAsiaTheme="minorEastAsia" w:cstheme="minorEastAsia"/>
                <w:b w:val="0"/>
                <w:bCs w:val="0"/>
                <w:sz w:val="21"/>
                <w:szCs w:val="21"/>
              </w:rPr>
              <w:t>，批准人</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李永双 </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20.5.25</w:t>
            </w:r>
            <w:r>
              <w:rPr>
                <w:rFonts w:hint="eastAsia" w:asciiTheme="minorEastAsia" w:hAnsiTheme="minorEastAsia" w:eastAsiaTheme="minorEastAsia" w:cstheme="minorEastAsia"/>
                <w:b w:val="0"/>
                <w:bCs w:val="0"/>
                <w:sz w:val="21"/>
                <w:szCs w:val="21"/>
              </w:rPr>
              <w:t>日。</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另外查滤油机的设计开发输入清单，也经过了评审和批准，设计输入评审通过。</w:t>
            </w:r>
          </w:p>
          <w:p>
            <w:pPr>
              <w:spacing w:line="360" w:lineRule="auto"/>
              <w:ind w:firstLine="420" w:firstLineChars="200"/>
              <w:rPr>
                <w:rFonts w:hint="eastAsia" w:asciiTheme="minorEastAsia" w:hAnsiTheme="minorEastAsia" w:eastAsiaTheme="minorEastAsia" w:cstheme="minorEastAsia"/>
                <w:sz w:val="21"/>
                <w:szCs w:val="21"/>
              </w:rPr>
            </w:pP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Q8.3.4设计和开发控制</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spacing w:line="360" w:lineRule="auto"/>
              <w:rPr>
                <w:rFonts w:hint="eastAsia" w:asciiTheme="minorEastAsia" w:hAnsiTheme="minorEastAsia" w:eastAsiaTheme="minorEastAsia" w:cstheme="minorEastAsia"/>
                <w:sz w:val="21"/>
                <w:szCs w:val="21"/>
              </w:rPr>
            </w:pPr>
          </w:p>
        </w:tc>
        <w:tc>
          <w:tcPr>
            <w:tcW w:w="1077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一、设计开发的评审：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查设计开发输入阶段进行了评审，见8.3.3审核记录。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查设计开发输出阶段进行了评审，见8.3.5审核记录。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的《设计开发评审报告》，在</w:t>
            </w:r>
            <w:r>
              <w:rPr>
                <w:rFonts w:hint="eastAsia" w:asciiTheme="minorEastAsia" w:hAnsiTheme="minorEastAsia" w:eastAsiaTheme="minorEastAsia" w:cstheme="minorEastAsia"/>
                <w:sz w:val="21"/>
                <w:szCs w:val="21"/>
                <w:lang w:val="en-US" w:eastAsia="zh-CN"/>
              </w:rPr>
              <w:t>设计方案</w:t>
            </w:r>
            <w:r>
              <w:rPr>
                <w:rFonts w:hint="eastAsia" w:asciiTheme="minorEastAsia" w:hAnsiTheme="minorEastAsia" w:eastAsiaTheme="minorEastAsia" w:cstheme="minorEastAsia"/>
                <w:sz w:val="21"/>
                <w:szCs w:val="21"/>
              </w:rPr>
              <w:t>完成阶段进行了评审，</w:t>
            </w:r>
          </w:p>
          <w:p>
            <w:p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评审记录：</w:t>
            </w:r>
          </w:p>
          <w:p>
            <w:pPr>
              <w:numPr>
                <w:ilvl w:val="0"/>
                <w:numId w:val="4"/>
              </w:num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产品总体要求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已确定</w:t>
            </w:r>
          </w:p>
          <w:p>
            <w:pPr>
              <w:numPr>
                <w:ilvl w:val="0"/>
                <w:numId w:val="4"/>
              </w:num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产品执行法律法规                      已明确</w:t>
            </w:r>
          </w:p>
          <w:p>
            <w:pPr>
              <w:numPr>
                <w:ilvl w:val="0"/>
                <w:numId w:val="4"/>
              </w:num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类似产品的设计信息                    已明了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本阶段确定目标系统的主要功能如何完成。采用流程图或其他工具描述出每种可能的系统，推荐出一个最佳的方案，并制定出实现该系统的详细计划。评审人员：</w:t>
            </w:r>
            <w:r>
              <w:rPr>
                <w:rFonts w:hint="eastAsia" w:asciiTheme="minorEastAsia" w:hAnsiTheme="minorEastAsia" w:eastAsiaTheme="minorEastAsia" w:cstheme="minorEastAsia"/>
                <w:sz w:val="21"/>
                <w:szCs w:val="21"/>
                <w:lang w:val="en-US" w:eastAsia="zh-CN"/>
              </w:rPr>
              <w:t>技术部、经营部、生产部、质检部工程师</w:t>
            </w:r>
            <w:r>
              <w:rPr>
                <w:rFonts w:hint="eastAsia" w:asciiTheme="minorEastAsia" w:hAnsiTheme="minorEastAsia" w:eastAsiaTheme="minorEastAsia" w:cstheme="minorEastAsia"/>
                <w:sz w:val="21"/>
                <w:szCs w:val="21"/>
              </w:rPr>
              <w:t>，批准人</w:t>
            </w:r>
            <w:r>
              <w:rPr>
                <w:rFonts w:hint="eastAsia" w:asciiTheme="minorEastAsia" w:hAnsiTheme="minorEastAsia" w:eastAsiaTheme="minorEastAsia" w:cstheme="minorEastAsia"/>
                <w:sz w:val="21"/>
                <w:szCs w:val="21"/>
                <w:lang w:val="en-US" w:eastAsia="zh-CN"/>
              </w:rPr>
              <w:t>李永双</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3.23</w:t>
            </w:r>
            <w:r>
              <w:rPr>
                <w:rFonts w:hint="eastAsia" w:asciiTheme="minorEastAsia" w:hAnsiTheme="minorEastAsia" w:eastAsiaTheme="minorEastAsia" w:cstheme="minorEastAsia"/>
                <w:sz w:val="21"/>
                <w:szCs w:val="21"/>
              </w:rPr>
              <w:t>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另外抽查</w:t>
            </w:r>
            <w:r>
              <w:rPr>
                <w:rFonts w:hint="eastAsia" w:asciiTheme="minorEastAsia" w:hAnsiTheme="minorEastAsia" w:eastAsiaTheme="minorEastAsia" w:cstheme="minorEastAsia"/>
                <w:sz w:val="21"/>
                <w:szCs w:val="21"/>
                <w:lang w:val="en-US" w:eastAsia="zh-CN"/>
              </w:rPr>
              <w:t>2020.5.28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的《设计开发评审报告》，各项技术指标均达到要求，情况基本同上。</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另外抽查20</w:t>
            </w:r>
            <w:r>
              <w:rPr>
                <w:rFonts w:hint="eastAsia" w:asciiTheme="minorEastAsia" w:hAnsiTheme="minorEastAsia" w:eastAsiaTheme="minorEastAsia" w:cstheme="minorEastAsia"/>
                <w:sz w:val="21"/>
                <w:szCs w:val="21"/>
                <w:lang w:val="en-US" w:eastAsia="zh-CN"/>
              </w:rPr>
              <w:t>20.4.18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的《设计开发评审报告》，各项技术指标均达到要求，情况基本同上。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二、设计开发验证：</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提供了环保专用设备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val="0"/>
                <w:sz w:val="21"/>
                <w:szCs w:val="21"/>
              </w:rPr>
              <w:t>《设计开发验证报告》</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输出应有：设计计算书、产品设计图纸、设施要求、试验要求、检验规范、工艺流程、原料要求、监测点、接收准则、环境要求等。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1、设计计算书；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2、施工要求：安装时，需要大型起重机械，尤其对起重高度有要求，能升1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米以上高度；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3、检验规范见公司产品检验规范；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4、工艺流程见工艺流程图；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5、产品设计图纸、采购单；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6、符合产品质量法和产品计量法；</w:t>
            </w:r>
          </w:p>
          <w:p>
            <w:pPr>
              <w:spacing w:line="24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7、产品的制造和安装不会污染环境。</w:t>
            </w:r>
          </w:p>
          <w:p>
            <w:pPr>
              <w:spacing w:line="24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3360" behindDoc="0" locked="0" layoutInCell="1" allowOverlap="1">
                  <wp:simplePos x="0" y="0"/>
                  <wp:positionH relativeFrom="column">
                    <wp:posOffset>238125</wp:posOffset>
                  </wp:positionH>
                  <wp:positionV relativeFrom="paragraph">
                    <wp:posOffset>53340</wp:posOffset>
                  </wp:positionV>
                  <wp:extent cx="3912870" cy="887730"/>
                  <wp:effectExtent l="0" t="0" r="11430" b="7620"/>
                  <wp:wrapNone/>
                  <wp:docPr id="24" name="图片 24" descr="焊烟净化器新产品开发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焊烟净化器新产品开发_18"/>
                          <pic:cNvPicPr>
                            <a:picLocks noChangeAspect="1"/>
                          </pic:cNvPicPr>
                        </pic:nvPicPr>
                        <pic:blipFill>
                          <a:blip r:embed="rId10"/>
                          <a:srcRect t="39917" b="44047"/>
                          <a:stretch>
                            <a:fillRect/>
                          </a:stretch>
                        </pic:blipFill>
                        <pic:spPr>
                          <a:xfrm>
                            <a:off x="0" y="0"/>
                            <a:ext cx="3912870" cy="887730"/>
                          </a:xfrm>
                          <a:prstGeom prst="rect">
                            <a:avLst/>
                          </a:prstGeom>
                        </pic:spPr>
                      </pic:pic>
                    </a:graphicData>
                  </a:graphic>
                </wp:anchor>
              </w:drawing>
            </w:r>
          </w:p>
          <w:p>
            <w:pPr>
              <w:spacing w:line="240" w:lineRule="auto"/>
              <w:ind w:firstLine="210" w:firstLineChars="100"/>
              <w:jc w:val="both"/>
              <w:rPr>
                <w:rFonts w:hint="eastAsia" w:asciiTheme="minorEastAsia" w:hAnsiTheme="minorEastAsia" w:eastAsiaTheme="minorEastAsia" w:cstheme="minorEastAsia"/>
                <w:sz w:val="21"/>
                <w:szCs w:val="21"/>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drawing>
                <wp:anchor distT="0" distB="0" distL="114300" distR="114300" simplePos="0" relativeHeight="251672576" behindDoc="0" locked="0" layoutInCell="1" allowOverlap="1">
                  <wp:simplePos x="0" y="0"/>
                  <wp:positionH relativeFrom="column">
                    <wp:posOffset>3905250</wp:posOffset>
                  </wp:positionH>
                  <wp:positionV relativeFrom="paragraph">
                    <wp:posOffset>149225</wp:posOffset>
                  </wp:positionV>
                  <wp:extent cx="2285365" cy="2421890"/>
                  <wp:effectExtent l="0" t="0" r="635" b="3810"/>
                  <wp:wrapNone/>
                  <wp:docPr id="25" name="图片 25" descr="焊烟净化器新产品开发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焊烟净化器新产品开发_19"/>
                          <pic:cNvPicPr>
                            <a:picLocks noChangeAspect="1"/>
                          </pic:cNvPicPr>
                        </pic:nvPicPr>
                        <pic:blipFill>
                          <a:blip r:embed="rId11"/>
                          <a:srcRect t="6710" b="18410"/>
                          <a:stretch>
                            <a:fillRect/>
                          </a:stretch>
                        </pic:blipFill>
                        <pic:spPr>
                          <a:xfrm>
                            <a:off x="0" y="0"/>
                            <a:ext cx="2285365" cy="2421890"/>
                          </a:xfrm>
                          <a:prstGeom prst="rect">
                            <a:avLst/>
                          </a:prstGeom>
                        </pic:spPr>
                      </pic:pic>
                    </a:graphicData>
                  </a:graphic>
                </wp:anchor>
              </w:drawing>
            </w:r>
          </w:p>
          <w:p>
            <w:pPr>
              <w:spacing w:line="240" w:lineRule="auto"/>
              <w:ind w:firstLine="210" w:firstLineChars="100"/>
              <w:jc w:val="both"/>
              <w:rPr>
                <w:rFonts w:hint="eastAsia" w:asciiTheme="minorEastAsia" w:hAnsiTheme="minorEastAsia" w:eastAsiaTheme="minorEastAsia" w:cstheme="minorEastAsia"/>
                <w:sz w:val="21"/>
                <w:szCs w:val="21"/>
              </w:rPr>
            </w:pPr>
          </w:p>
          <w:p>
            <w:pPr>
              <w:spacing w:line="240" w:lineRule="auto"/>
              <w:ind w:firstLine="210" w:firstLineChars="100"/>
              <w:jc w:val="both"/>
              <w:rPr>
                <w:rFonts w:hint="eastAsia" w:asciiTheme="minorEastAsia" w:hAnsiTheme="minorEastAsia" w:eastAsiaTheme="minorEastAsia" w:cstheme="minorEastAsia"/>
                <w:sz w:val="21"/>
                <w:szCs w:val="21"/>
              </w:rPr>
            </w:pPr>
          </w:p>
          <w:p>
            <w:pPr>
              <w:numPr>
                <w:ilvl w:val="0"/>
                <w:numId w:val="5"/>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p>
          <w:p>
            <w:pPr>
              <w:numPr>
                <w:ilvl w:val="0"/>
                <w:numId w:val="0"/>
              </w:numPr>
              <w:ind w:lef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验证结论：</w:t>
            </w:r>
            <w:r>
              <w:rPr>
                <w:rFonts w:hint="eastAsia" w:asciiTheme="minorEastAsia" w:hAnsiTheme="minorEastAsia" w:eastAsiaTheme="minorEastAsia" w:cstheme="minorEastAsia"/>
                <w:color w:val="auto"/>
                <w:sz w:val="21"/>
                <w:szCs w:val="21"/>
                <w:lang w:eastAsia="zh-CN"/>
              </w:rPr>
              <w:t>针对输入要求的各项试验内容都满足客户要求，合格</w:t>
            </w: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ind w:leftChars="0"/>
              <w:rPr>
                <w:rFonts w:hint="eastAsia" w:asciiTheme="minorEastAsia" w:hAnsiTheme="minorEastAsia" w:eastAsiaTheme="minorEastAsia" w:cstheme="minorEastAsia"/>
                <w:color w:val="auto"/>
                <w:sz w:val="21"/>
                <w:szCs w:val="21"/>
                <w:lang w:eastAsia="zh-CN"/>
              </w:rPr>
            </w:pPr>
          </w:p>
          <w:p>
            <w:pPr>
              <w:spacing w:line="360" w:lineRule="auto"/>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再抽查20</w:t>
            </w:r>
            <w:r>
              <w:rPr>
                <w:rFonts w:hint="eastAsia" w:asciiTheme="minorEastAsia" w:hAnsiTheme="minorEastAsia" w:eastAsiaTheme="minorEastAsia" w:cstheme="minorEastAsia"/>
                <w:sz w:val="21"/>
                <w:szCs w:val="21"/>
                <w:lang w:val="en-US" w:eastAsia="zh-CN"/>
              </w:rPr>
              <w:t>20.6.28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val="0"/>
                <w:sz w:val="21"/>
                <w:szCs w:val="21"/>
              </w:rPr>
              <w:t>设计开发验证报告</w:t>
            </w:r>
            <w:r>
              <w:rPr>
                <w:rFonts w:hint="eastAsia" w:asciiTheme="minorEastAsia" w:hAnsiTheme="minorEastAsia" w:eastAsiaTheme="minorEastAsia" w:cstheme="minorEastAsia"/>
                <w:sz w:val="21"/>
                <w:szCs w:val="21"/>
              </w:rPr>
              <w:t>》，对各项技术性能和功能进行验证能达到设计输入要求。</w:t>
            </w:r>
          </w:p>
          <w:p>
            <w:pPr>
              <w:numPr>
                <w:ilvl w:val="0"/>
                <w:numId w:val="0"/>
              </w:numPr>
              <w:spacing w:line="360" w:lineRule="auto"/>
              <w:ind w:lef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再抽查20</w:t>
            </w:r>
            <w:r>
              <w:rPr>
                <w:rFonts w:hint="eastAsia" w:asciiTheme="minorEastAsia" w:hAnsiTheme="minorEastAsia" w:eastAsiaTheme="minorEastAsia" w:cstheme="minorEastAsia"/>
                <w:sz w:val="21"/>
                <w:szCs w:val="21"/>
                <w:lang w:val="en-US" w:eastAsia="zh-CN"/>
              </w:rPr>
              <w:t>20.6.11</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val="0"/>
                <w:sz w:val="21"/>
                <w:szCs w:val="21"/>
              </w:rPr>
              <w:t>设计开发验证报告</w:t>
            </w:r>
            <w:r>
              <w:rPr>
                <w:rFonts w:hint="eastAsia" w:asciiTheme="minorEastAsia" w:hAnsiTheme="minorEastAsia" w:eastAsiaTheme="minorEastAsia" w:cstheme="minorEastAsia"/>
                <w:sz w:val="21"/>
                <w:szCs w:val="21"/>
              </w:rPr>
              <w:t>》，对各项技术性能和功能进行验证能达到设计输入要求。</w:t>
            </w:r>
            <w:r>
              <w:rPr>
                <w:rFonts w:hint="eastAsia" w:asciiTheme="minorEastAsia" w:hAnsiTheme="minorEastAsia" w:eastAsiaTheme="minorEastAsia" w:cstheme="minorEastAsia"/>
                <w:color w:val="auto"/>
                <w:sz w:val="21"/>
                <w:szCs w:val="21"/>
                <w:lang w:val="en-US" w:eastAsia="zh-CN"/>
              </w:rPr>
              <w:t>验证结论：</w:t>
            </w:r>
            <w:r>
              <w:rPr>
                <w:rFonts w:hint="eastAsia" w:asciiTheme="minorEastAsia" w:hAnsiTheme="minorEastAsia" w:eastAsiaTheme="minorEastAsia" w:cstheme="minorEastAsia"/>
                <w:color w:val="auto"/>
                <w:sz w:val="21"/>
                <w:szCs w:val="21"/>
                <w:lang w:eastAsia="zh-CN"/>
              </w:rPr>
              <w:t>针对输入要求的各项试验内容都满足客户要求，合格</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三、设计开发确认，</w:t>
            </w:r>
          </w:p>
          <w:p>
            <w:pPr>
              <w:numPr>
                <w:ilvl w:val="0"/>
                <w:numId w:val="0"/>
              </w:numPr>
              <w:spacing w:line="360" w:lineRule="auto"/>
              <w:ind w:leftChars="0" w:right="0" w:righ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rPr>
              <w:t>查产品设计和开发确认，提供了环保专用设备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sz w:val="21"/>
                <w:szCs w:val="21"/>
              </w:rPr>
              <w:t>设计开发确认报告</w:t>
            </w:r>
            <w:r>
              <w:rPr>
                <w:rFonts w:hint="eastAsia" w:asciiTheme="minorEastAsia" w:hAnsiTheme="minorEastAsia" w:eastAsiaTheme="minorEastAsia" w:cstheme="minorEastAsia"/>
                <w:sz w:val="21"/>
                <w:szCs w:val="21"/>
              </w:rPr>
              <w:t>》，客户20</w:t>
            </w:r>
            <w:r>
              <w:rPr>
                <w:rFonts w:hint="eastAsia" w:asciiTheme="minorEastAsia" w:hAnsiTheme="minorEastAsia" w:eastAsiaTheme="minorEastAsia" w:cstheme="minorEastAsia"/>
                <w:sz w:val="21"/>
                <w:szCs w:val="21"/>
                <w:lang w:val="en-US" w:eastAsia="zh-CN"/>
              </w:rPr>
              <w:t>20.7.28</w:t>
            </w:r>
            <w:r>
              <w:rPr>
                <w:rFonts w:hint="eastAsia" w:asciiTheme="minorEastAsia" w:hAnsiTheme="minorEastAsia" w:eastAsiaTheme="minorEastAsia" w:cstheme="minorEastAsia"/>
                <w:sz w:val="21"/>
                <w:szCs w:val="21"/>
              </w:rPr>
              <w:t>日进行了试用。</w:t>
            </w:r>
            <w:r>
              <w:rPr>
                <w:rFonts w:hint="eastAsia" w:asciiTheme="minorEastAsia" w:hAnsiTheme="minorEastAsia" w:eastAsiaTheme="minorEastAsia" w:cstheme="minorEastAsia"/>
                <w:b w:val="0"/>
                <w:bCs/>
                <w:sz w:val="21"/>
                <w:szCs w:val="21"/>
                <w:lang w:val="en-US" w:eastAsia="zh-CN"/>
              </w:rPr>
              <w:t>设备主壳体设计压力为常压；</w:t>
            </w: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1）产品结构形式：设备整体为方箱结构；中间加隔板，将箱体分成2个空间，滤芯位于上部，风机位于下部</w:t>
            </w:r>
          </w:p>
          <w:p>
            <w:pPr>
              <w:numPr>
                <w:ilvl w:val="0"/>
                <w:numId w:val="0"/>
              </w:numPr>
              <w:spacing w:line="360" w:lineRule="auto"/>
              <w:ind w:right="0" w:righ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2）焊烟空气从设备上部进入,从底部排出；</w:t>
            </w:r>
          </w:p>
          <w:p>
            <w:pPr>
              <w:numPr>
                <w:ilvl w:val="0"/>
                <w:numId w:val="0"/>
              </w:numPr>
              <w:spacing w:line="360" w:lineRule="auto"/>
              <w:ind w:right="0" w:righ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3）采用焊接烟尘专用滤筒对空气进行过滤;</w:t>
            </w:r>
          </w:p>
          <w:p>
            <w:pPr>
              <w:numPr>
                <w:ilvl w:val="0"/>
                <w:numId w:val="0"/>
              </w:numPr>
              <w:spacing w:line="360" w:lineRule="auto"/>
              <w:ind w:right="0" w:righ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4）风机安装在下部，可延长风机的使用寿命，减少风机故障次数;</w:t>
            </w: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5）烟气量18m</w:t>
            </w:r>
            <w:r>
              <w:rPr>
                <w:rFonts w:hint="eastAsia" w:asciiTheme="minorEastAsia" w:hAnsiTheme="minorEastAsia" w:eastAsiaTheme="minorEastAsia" w:cstheme="minorEastAsia"/>
                <w:b w:val="0"/>
                <w:bCs/>
                <w:sz w:val="21"/>
                <w:szCs w:val="21"/>
                <w:vertAlign w:val="superscript"/>
                <w:lang w:val="en-US" w:eastAsia="zh-CN"/>
              </w:rPr>
              <w:t>3</w:t>
            </w:r>
            <w:r>
              <w:rPr>
                <w:rFonts w:hint="eastAsia" w:asciiTheme="minorEastAsia" w:hAnsiTheme="minorEastAsia" w:eastAsiaTheme="minorEastAsia" w:cstheme="minorEastAsia"/>
                <w:b w:val="0"/>
                <w:bCs/>
                <w:sz w:val="21"/>
                <w:szCs w:val="21"/>
                <w:lang w:val="en-US" w:eastAsia="zh-CN"/>
              </w:rPr>
              <w:t>/min；全部指标合格</w:t>
            </w:r>
          </w:p>
          <w:p>
            <w:pPr>
              <w:numPr>
                <w:ilvl w:val="0"/>
                <w:numId w:val="0"/>
              </w:numPr>
              <w:spacing w:line="360" w:lineRule="auto"/>
              <w:ind w:right="0" w:rightChars="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无发生任何质量方面问题的反馈，取得良好的反响。客户验收意见：该钻井泥浆无害化处理设备各项使用性能及有关的指标均达到设计性能的要求，符合我方的需要。客户代表</w:t>
            </w:r>
            <w:r>
              <w:rPr>
                <w:rFonts w:hint="eastAsia" w:asciiTheme="minorEastAsia" w:hAnsiTheme="minorEastAsia" w:eastAsiaTheme="minorEastAsia" w:cstheme="minorEastAsia"/>
                <w:sz w:val="21"/>
                <w:szCs w:val="21"/>
                <w:lang w:val="en-US" w:eastAsia="zh-CN"/>
              </w:rPr>
              <w:t>邹存伟</w:t>
            </w:r>
            <w:r>
              <w:rPr>
                <w:rFonts w:hint="eastAsia" w:asciiTheme="minorEastAsia" w:hAnsiTheme="minorEastAsia" w:eastAsiaTheme="minorEastAsia" w:cstheme="minorEastAsia"/>
                <w:sz w:val="21"/>
                <w:szCs w:val="21"/>
              </w:rPr>
              <w:t>签名，20</w:t>
            </w:r>
            <w:r>
              <w:rPr>
                <w:rFonts w:hint="eastAsia" w:asciiTheme="minorEastAsia" w:hAnsiTheme="minorEastAsia" w:eastAsiaTheme="minorEastAsia" w:cstheme="minorEastAsia"/>
                <w:sz w:val="21"/>
                <w:szCs w:val="21"/>
                <w:lang w:val="en-US" w:eastAsia="zh-CN"/>
              </w:rPr>
              <w:t>20.4.29</w:t>
            </w:r>
            <w:r>
              <w:rPr>
                <w:rFonts w:hint="eastAsia" w:asciiTheme="minorEastAsia" w:hAnsiTheme="minorEastAsia" w:eastAsiaTheme="minorEastAsia" w:cstheme="minorEastAsia"/>
                <w:sz w:val="21"/>
                <w:szCs w:val="21"/>
              </w:rPr>
              <w:t>日。</w:t>
            </w: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结论：该环保专用设备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从接收客户要求，到产品设计，产品质量、性能都很好，已全部达到甚至超越了客户的各项要求，此型号产品设计开发成功。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确认人：</w:t>
            </w:r>
            <w:r>
              <w:rPr>
                <w:rFonts w:hint="eastAsia" w:asciiTheme="minorEastAsia" w:hAnsiTheme="minorEastAsia" w:eastAsiaTheme="minorEastAsia" w:cstheme="minorEastAsia"/>
                <w:sz w:val="21"/>
                <w:szCs w:val="21"/>
                <w:lang w:val="en-US" w:eastAsia="zh-CN"/>
              </w:rPr>
              <w:t>段辉、王佳春</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val="en-US" w:eastAsia="zh-CN"/>
              </w:rPr>
              <w:t>李永双</w:t>
            </w:r>
            <w:r>
              <w:rPr>
                <w:rFonts w:hint="eastAsia" w:asciiTheme="minorEastAsia" w:hAnsiTheme="minorEastAsia" w:eastAsiaTheme="minorEastAsia" w:cstheme="minorEastAsia"/>
                <w:sz w:val="21"/>
                <w:szCs w:val="21"/>
              </w:rPr>
              <w:t>，确认日期20</w:t>
            </w:r>
            <w:r>
              <w:rPr>
                <w:rFonts w:hint="eastAsia" w:asciiTheme="minorEastAsia" w:hAnsiTheme="minorEastAsia" w:eastAsiaTheme="minorEastAsia" w:cstheme="minorEastAsia"/>
                <w:sz w:val="21"/>
                <w:szCs w:val="21"/>
                <w:lang w:val="en-US" w:eastAsia="zh-CN"/>
              </w:rPr>
              <w:t>20.4.29</w:t>
            </w:r>
            <w:r>
              <w:rPr>
                <w:rFonts w:hint="eastAsia" w:asciiTheme="minorEastAsia" w:hAnsiTheme="minorEastAsia" w:eastAsiaTheme="minorEastAsia" w:cstheme="minorEastAsia"/>
                <w:sz w:val="21"/>
                <w:szCs w:val="21"/>
              </w:rPr>
              <w:t>日。</w:t>
            </w:r>
          </w:p>
          <w:p>
            <w:pPr>
              <w:spacing w:line="360" w:lineRule="auto"/>
              <w:ind w:firstLine="420" w:firstLine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另外查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sz w:val="21"/>
                <w:szCs w:val="21"/>
              </w:rPr>
              <w:t>设计开发确认报告</w:t>
            </w:r>
            <w:r>
              <w:rPr>
                <w:rFonts w:hint="eastAsia" w:asciiTheme="minorEastAsia" w:hAnsiTheme="minorEastAsia" w:eastAsiaTheme="minorEastAsia" w:cstheme="minorEastAsia"/>
                <w:sz w:val="21"/>
                <w:szCs w:val="21"/>
              </w:rPr>
              <w:t>》，各项技术指标均达到要求，情况基本同上。</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从接收客户要求，到产品设计，产品质量、性能都很好，已全部达到甚至超越了客户的各项要求，设计开发成功。</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Q8.3.5设计和开发输出</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Q8.6产品放行</w:t>
            </w: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查设计和开发的输出：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抽查环保专用设备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的《设计开发输出清单》，本次设计开发输出主要有依据的标准、法律法规及技术协议，</w:t>
            </w:r>
            <w:r>
              <w:rPr>
                <w:rFonts w:hint="eastAsia" w:asciiTheme="minorEastAsia" w:hAnsiTheme="minorEastAsia" w:eastAsiaTheme="minorEastAsia" w:cstheme="minorEastAsia"/>
                <w:sz w:val="21"/>
                <w:szCs w:val="21"/>
                <w:lang w:val="en-US" w:eastAsia="zh-CN"/>
              </w:rPr>
              <w:t>设计方案，计算书</w:t>
            </w:r>
            <w:r>
              <w:rPr>
                <w:rFonts w:hint="eastAsia" w:asciiTheme="minorEastAsia" w:hAnsiTheme="minorEastAsia" w:eastAsiaTheme="minorEastAsia" w:cstheme="minorEastAsia"/>
                <w:sz w:val="21"/>
                <w:szCs w:val="21"/>
              </w:rPr>
              <w:t>，产品图纸，产品工艺文件、材料采购清单、产品操作手册、施工图等。20</w:t>
            </w:r>
            <w:r>
              <w:rPr>
                <w:rFonts w:hint="eastAsia" w:asciiTheme="minorEastAsia" w:hAnsiTheme="minorEastAsia" w:eastAsiaTheme="minorEastAsia" w:cstheme="minorEastAsia"/>
                <w:sz w:val="21"/>
                <w:szCs w:val="21"/>
                <w:lang w:val="en-US" w:eastAsia="zh-CN"/>
              </w:rPr>
              <w:t>20.4.5</w:t>
            </w:r>
            <w:r>
              <w:rPr>
                <w:rFonts w:hint="eastAsia" w:asciiTheme="minorEastAsia" w:hAnsiTheme="minorEastAsia" w:eastAsiaTheme="minorEastAsia" w:cstheme="minorEastAsia"/>
                <w:sz w:val="21"/>
                <w:szCs w:val="21"/>
              </w:rPr>
              <w:t>日对设计开发输出进行了评审，评审结论：设计输出能满足设计输入的要求并能有效指导施工安装。评审人员：</w:t>
            </w:r>
            <w:r>
              <w:rPr>
                <w:rFonts w:hint="eastAsia" w:asciiTheme="minorEastAsia" w:hAnsiTheme="minorEastAsia" w:eastAsiaTheme="minorEastAsia" w:cstheme="minorEastAsia"/>
                <w:sz w:val="21"/>
                <w:szCs w:val="21"/>
                <w:lang w:eastAsia="zh-CN"/>
              </w:rPr>
              <w:t>刘星海、李永双、王佳春、</w:t>
            </w:r>
            <w:r>
              <w:rPr>
                <w:rFonts w:hint="eastAsia" w:asciiTheme="minorEastAsia" w:hAnsiTheme="minorEastAsia" w:eastAsiaTheme="minorEastAsia" w:cstheme="minorEastAsia"/>
                <w:sz w:val="21"/>
                <w:szCs w:val="21"/>
                <w:lang w:val="en-US" w:eastAsia="zh-CN"/>
              </w:rPr>
              <w:t>段辉、张磊、兰晓敏、</w:t>
            </w:r>
            <w:r>
              <w:rPr>
                <w:rFonts w:hint="eastAsia" w:asciiTheme="minorEastAsia" w:hAnsiTheme="minorEastAsia" w:eastAsiaTheme="minorEastAsia" w:cstheme="minorEastAsia"/>
                <w:sz w:val="21"/>
                <w:szCs w:val="21"/>
                <w:lang w:eastAsia="zh-CN"/>
              </w:rPr>
              <w:t>李树东、</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再抽查20</w:t>
            </w:r>
            <w:r>
              <w:rPr>
                <w:rFonts w:hint="eastAsia" w:asciiTheme="minorEastAsia" w:hAnsiTheme="minorEastAsia" w:eastAsiaTheme="minorEastAsia" w:cstheme="minorEastAsia"/>
                <w:sz w:val="21"/>
                <w:szCs w:val="21"/>
                <w:lang w:val="en-US" w:eastAsia="zh-CN"/>
              </w:rPr>
              <w:t>20.6.5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《设计开发输出清单》，基本同上，也进行了评审，设计输出能满足设计输入的要求。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再抽查20</w:t>
            </w:r>
            <w:r>
              <w:rPr>
                <w:rFonts w:hint="eastAsia" w:asciiTheme="minorEastAsia" w:hAnsiTheme="minorEastAsia" w:eastAsiaTheme="minorEastAsia" w:cstheme="minorEastAsia"/>
                <w:sz w:val="21"/>
                <w:szCs w:val="21"/>
                <w:lang w:val="en-US" w:eastAsia="zh-CN"/>
              </w:rPr>
              <w:t>20.4.30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的《设计开发输出清单》，输出主要是</w:t>
            </w:r>
            <w:r>
              <w:rPr>
                <w:rFonts w:hint="eastAsia" w:asciiTheme="minorEastAsia" w:hAnsiTheme="minorEastAsia" w:eastAsiaTheme="minorEastAsia" w:cstheme="minorEastAsia"/>
                <w:sz w:val="21"/>
                <w:szCs w:val="21"/>
                <w:lang w:val="en-US" w:eastAsia="zh-CN"/>
              </w:rPr>
              <w:t>设计方案，计算书</w:t>
            </w:r>
            <w:r>
              <w:rPr>
                <w:rFonts w:hint="eastAsia" w:asciiTheme="minorEastAsia" w:hAnsiTheme="minorEastAsia" w:eastAsiaTheme="minorEastAsia" w:cstheme="minorEastAsia"/>
                <w:sz w:val="21"/>
                <w:szCs w:val="21"/>
              </w:rPr>
              <w:t>，产品图纸，产品工艺文件、材料采购清单、产品操作手册、施工图也进行了评审，设计输出能满足设计输入的要求。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设计和开发的输出管理符合规定的要求。</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Q8.3.6设计和开发更改</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Q8.5.6设计服务提供的更改控制</w:t>
            </w: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设计开发更改应进行评审、验证、确认、批准，经查组织按顾客技术要求研发，暂未发生设计更改情况。研发过程发现的</w:t>
            </w:r>
            <w:r>
              <w:rPr>
                <w:rFonts w:hint="eastAsia" w:asciiTheme="minorEastAsia" w:hAnsiTheme="minorEastAsia" w:eastAsiaTheme="minorEastAsia" w:cstheme="minorEastAsia"/>
                <w:sz w:val="21"/>
                <w:szCs w:val="21"/>
                <w:lang w:val="en-US" w:eastAsia="zh-CN"/>
              </w:rPr>
              <w:t>问题</w:t>
            </w:r>
            <w:r>
              <w:rPr>
                <w:rFonts w:hint="eastAsia" w:asciiTheme="minorEastAsia" w:hAnsiTheme="minorEastAsia" w:eastAsiaTheme="minorEastAsia" w:cstheme="minorEastAsia"/>
                <w:sz w:val="21"/>
                <w:szCs w:val="21"/>
              </w:rPr>
              <w:t>已及时进行了修正，修正后结果能满足技术要求。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以上设计开发的产品是公司的主要（占大多数）产品，其他产品的设计开发与上述基本相同。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组织的设计开发控制基本符合规定的要求。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开发过程的控制</w:t>
            </w:r>
          </w:p>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Q8.5.1</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现场观察</w:t>
            </w:r>
          </w:p>
          <w:p>
            <w:pPr>
              <w:spacing w:line="360" w:lineRule="auto"/>
              <w:rPr>
                <w:rFonts w:hint="eastAsia" w:asciiTheme="minorEastAsia" w:hAnsiTheme="minorEastAsia" w:eastAsiaTheme="minorEastAsia" w:cstheme="minorEastAsia"/>
                <w:sz w:val="21"/>
                <w:szCs w:val="21"/>
              </w:rPr>
            </w:pPr>
          </w:p>
        </w:tc>
        <w:tc>
          <w:tcPr>
            <w:tcW w:w="10770" w:type="dxa"/>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目前主要从事钻井泥浆无害化处理设备、水处理（清水、软化水、污水、含油污水）设备、全自动软化水装置、稀油站、滤油机、油田专用设备、过滤器、电磁加热设备和电磁加热三项分离装置、太阳能用具等设计开发</w:t>
            </w:r>
            <w:r>
              <w:rPr>
                <w:rFonts w:hint="eastAsia" w:asciiTheme="minorEastAsia" w:hAnsiTheme="minorEastAsia" w:eastAsiaTheme="minorEastAsia" w:cstheme="minorEastAsia"/>
                <w:sz w:val="21"/>
                <w:szCs w:val="21"/>
                <w:lang w:val="en-US" w:eastAsia="zh-CN"/>
              </w:rPr>
              <w:t>与技术服务</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依据客户技术要求和相关标准技术规范进行环保专用设备、石油钻采机械部件的生产、销售；钻井泥浆无害化处理设备、水处理（清水、软化水、污水、含油污水）设备、全自动软化水装置、稀油站、滤油机、油田专用设备、过滤器、</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、太阳能用具设计开发</w:t>
            </w:r>
            <w:r>
              <w:rPr>
                <w:rFonts w:hint="eastAsia" w:asciiTheme="minorEastAsia" w:hAnsiTheme="minorEastAsia" w:eastAsiaTheme="minorEastAsia" w:cstheme="minorEastAsia"/>
                <w:sz w:val="21"/>
                <w:szCs w:val="21"/>
                <w:lang w:val="en-US" w:eastAsia="zh-CN"/>
              </w:rPr>
              <w:t>与服务</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color w:val="auto"/>
                <w:sz w:val="21"/>
                <w:szCs w:val="21"/>
                <w:lang w:val="en-US" w:eastAsia="zh-CN"/>
              </w:rPr>
              <w:t>设计开发流程：经营部反馈信息---立项申请---编制设计开发任务书---设计开发输入评审---编制设计开发方案---设计开发输入评审---编制设计计算书---设计图纸---采购清单---设计计算书评审---设计开发输出评审---设计开发确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公司编制有《设计开发控制程序》、《电脑管理制度》、《档案管理制度》，可以指导并规范员工的实际操作。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特殊过程是设计开发过程，提供特殊过程的《特殊过程确认单》，对设计开发过程进行了过程确认。参与确认的人员：</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等，确认日期：20</w:t>
            </w:r>
            <w:r>
              <w:rPr>
                <w:rFonts w:hint="eastAsia" w:asciiTheme="minorEastAsia" w:hAnsiTheme="minorEastAsia" w:eastAsiaTheme="minorEastAsia" w:cstheme="minorEastAsia"/>
                <w:sz w:val="21"/>
                <w:szCs w:val="21"/>
                <w:lang w:val="en-US" w:eastAsia="zh-CN"/>
              </w:rPr>
              <w:t>20.1.10</w:t>
            </w:r>
            <w:r>
              <w:rPr>
                <w:rFonts w:hint="eastAsia" w:asciiTheme="minorEastAsia" w:hAnsiTheme="minorEastAsia" w:eastAsiaTheme="minorEastAsia" w:cstheme="minorEastAsia"/>
                <w:sz w:val="21"/>
                <w:szCs w:val="21"/>
              </w:rPr>
              <w:t>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抽查到</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开发与服务的资料。公司按照程序要求安排了适当的设计开发策划、评审、验证、确认活动，经过客户使用后，确认符合要求。具体见8.3条款审核记录。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产品设计开发过程中及时进行了图纸备份，验收合格后由公司</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部存档。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开发与服务过程通过专人负责、产品专用标识等措施起到了防错作用。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产品经过测试和确认合格后方可放行交付，发现问题时执行售后服务相关规定，目前没有发生。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现场观察：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正在为</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安装调试</w:t>
            </w:r>
            <w:r>
              <w:rPr>
                <w:rFonts w:hint="eastAsia" w:asciiTheme="minorEastAsia" w:hAnsiTheme="minorEastAsia" w:eastAsiaTheme="minorEastAsia" w:cstheme="minorEastAsia"/>
                <w:sz w:val="21"/>
                <w:szCs w:val="21"/>
                <w:lang w:val="en-US" w:eastAsia="zh-CN"/>
              </w:rPr>
              <w:t>离心泵、热量置换装置进行调试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主要为离心泵水平度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平衡度、间距</w:t>
            </w:r>
            <w:r>
              <w:rPr>
                <w:rFonts w:hint="eastAsia" w:asciiTheme="minorEastAsia" w:hAnsiTheme="minorEastAsia" w:eastAsiaTheme="minorEastAsia" w:cstheme="minorEastAsia"/>
                <w:sz w:val="21"/>
                <w:szCs w:val="21"/>
              </w:rPr>
              <w:t>等，技术人员对</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知识较熟悉，操作熟练。</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向国家专利局申报了油气田井口智能电磁加热装置专利申请。</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5408" behindDoc="0" locked="0" layoutInCell="1" allowOverlap="1">
                  <wp:simplePos x="0" y="0"/>
                  <wp:positionH relativeFrom="column">
                    <wp:posOffset>1600200</wp:posOffset>
                  </wp:positionH>
                  <wp:positionV relativeFrom="paragraph">
                    <wp:posOffset>59055</wp:posOffset>
                  </wp:positionV>
                  <wp:extent cx="2292350" cy="3152140"/>
                  <wp:effectExtent l="0" t="0" r="12700" b="10160"/>
                  <wp:wrapNone/>
                  <wp:docPr id="3" name="图片 3" descr="稀油站专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稀油站专利_00"/>
                          <pic:cNvPicPr>
                            <a:picLocks noChangeAspect="1"/>
                          </pic:cNvPicPr>
                        </pic:nvPicPr>
                        <pic:blipFill>
                          <a:blip r:embed="rId12"/>
                          <a:stretch>
                            <a:fillRect/>
                          </a:stretch>
                        </pic:blipFill>
                        <pic:spPr>
                          <a:xfrm>
                            <a:off x="0" y="0"/>
                            <a:ext cx="2292350" cy="3152140"/>
                          </a:xfrm>
                          <a:prstGeom prst="rect">
                            <a:avLst/>
                          </a:prstGeom>
                        </pic:spPr>
                      </pic:pic>
                    </a:graphicData>
                  </a:graphic>
                </wp:anchor>
              </w:drawing>
            </w:r>
          </w:p>
          <w:p>
            <w:pPr>
              <w:spacing w:line="360" w:lineRule="auto"/>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环保专用设备、石油钻采机械部件的生产、销售；钻井泥浆无害化处理设备、水处理（清水、软化水、污水、含油污水）设备、全自动软化水装置、稀油站、滤油机、油田专用设备、过滤器、</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、太阳能用具</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开发过程控制基本符合要求。</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1"/>
      <w:numFmt w:val="decimal"/>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B4BF7"/>
    <w:multiLevelType w:val="singleLevel"/>
    <w:tmpl w:val="59CB4BF7"/>
    <w:lvl w:ilvl="0" w:tentative="0">
      <w:start w:val="1"/>
      <w:numFmt w:val="decimal"/>
      <w:suff w:val="nothing"/>
      <w:lvlText w:val="%1、"/>
      <w:lvlJc w:val="left"/>
    </w:lvl>
  </w:abstractNum>
  <w:abstractNum w:abstractNumId="4">
    <w:nsid w:val="59CB57A6"/>
    <w:multiLevelType w:val="singleLevel"/>
    <w:tmpl w:val="59CB57A6"/>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40A0348"/>
    <w:rsid w:val="053A2D97"/>
    <w:rsid w:val="056F23BA"/>
    <w:rsid w:val="07C917E7"/>
    <w:rsid w:val="086D1978"/>
    <w:rsid w:val="0A9239D5"/>
    <w:rsid w:val="0AAE4AE4"/>
    <w:rsid w:val="0C3756D8"/>
    <w:rsid w:val="0E6B29EA"/>
    <w:rsid w:val="108219C2"/>
    <w:rsid w:val="10A24FF4"/>
    <w:rsid w:val="138364CC"/>
    <w:rsid w:val="1483457E"/>
    <w:rsid w:val="1F446E0A"/>
    <w:rsid w:val="21D31D11"/>
    <w:rsid w:val="246F5F9E"/>
    <w:rsid w:val="2505512C"/>
    <w:rsid w:val="264B6AD4"/>
    <w:rsid w:val="301554FF"/>
    <w:rsid w:val="38AC5926"/>
    <w:rsid w:val="3BA26FC9"/>
    <w:rsid w:val="415E2D13"/>
    <w:rsid w:val="43E437CA"/>
    <w:rsid w:val="446D41DE"/>
    <w:rsid w:val="46C35FDE"/>
    <w:rsid w:val="475367FD"/>
    <w:rsid w:val="4B6B3BB6"/>
    <w:rsid w:val="4BEB67BC"/>
    <w:rsid w:val="4D4B64E8"/>
    <w:rsid w:val="4F052F87"/>
    <w:rsid w:val="4FE311A9"/>
    <w:rsid w:val="500411AB"/>
    <w:rsid w:val="522349BA"/>
    <w:rsid w:val="5EA12B9A"/>
    <w:rsid w:val="615F456F"/>
    <w:rsid w:val="67D95E97"/>
    <w:rsid w:val="695947AC"/>
    <w:rsid w:val="6A0F76E9"/>
    <w:rsid w:val="6EC3653C"/>
    <w:rsid w:val="6FAC345F"/>
    <w:rsid w:val="702458A7"/>
    <w:rsid w:val="72BE052D"/>
    <w:rsid w:val="76332E47"/>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qFormat/>
    <w:uiPriority w:val="0"/>
    <w:rPr>
      <w:rFonts w:ascii="Calibri" w:hAnsi="Calibri" w:eastAsia="宋体" w:cs="Times New Roman"/>
      <w:kern w:val="2"/>
      <w:sz w:val="21"/>
    </w:rPr>
  </w:style>
  <w:style w:type="paragraph" w:customStyle="1" w:styleId="19">
    <w:name w:val="表格文字"/>
    <w:basedOn w:val="1"/>
    <w:qFormat/>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2140</Words>
  <Characters>12198</Characters>
  <Lines>101</Lines>
  <Paragraphs>28</Paragraphs>
  <TotalTime>4</TotalTime>
  <ScaleCrop>false</ScaleCrop>
  <LinksUpToDate>false</LinksUpToDate>
  <CharactersWithSpaces>14310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2020-10-16T23:30:36Z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