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9F" w:rsidRDefault="00D3521C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004"/>
        <w:gridCol w:w="1585"/>
      </w:tblGrid>
      <w:tr w:rsidR="00B8299F">
        <w:trPr>
          <w:trHeight w:val="515"/>
        </w:trPr>
        <w:tc>
          <w:tcPr>
            <w:tcW w:w="1809" w:type="dxa"/>
            <w:vMerge w:val="restart"/>
            <w:vAlign w:val="center"/>
          </w:tcPr>
          <w:p w:rsidR="00B8299F" w:rsidRDefault="00D3521C">
            <w:pPr>
              <w:spacing w:before="12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过程与活动、</w:t>
            </w:r>
          </w:p>
          <w:p w:rsidR="00B8299F" w:rsidRDefault="00D3521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B8299F" w:rsidRDefault="00D3521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B8299F" w:rsidRDefault="00D3521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受审核部门：销售部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主管领导：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夏雨潇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陪同人员：余竹青</w:t>
            </w:r>
          </w:p>
        </w:tc>
        <w:tc>
          <w:tcPr>
            <w:tcW w:w="1585" w:type="dxa"/>
            <w:vMerge w:val="restart"/>
            <w:vAlign w:val="center"/>
          </w:tcPr>
          <w:p w:rsidR="00B8299F" w:rsidRDefault="00D3521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判定</w:t>
            </w:r>
          </w:p>
        </w:tc>
      </w:tr>
      <w:tr w:rsidR="00B8299F">
        <w:trPr>
          <w:trHeight w:val="403"/>
        </w:trPr>
        <w:tc>
          <w:tcPr>
            <w:tcW w:w="1809" w:type="dxa"/>
            <w:vMerge/>
            <w:vAlign w:val="center"/>
          </w:tcPr>
          <w:p w:rsidR="00B8299F" w:rsidRDefault="00B8299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B8299F" w:rsidRDefault="00B8299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B8299F" w:rsidRDefault="00D3521C">
            <w:pPr>
              <w:spacing w:before="1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审核员：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文波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审核时间：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.6</w:t>
            </w:r>
          </w:p>
        </w:tc>
        <w:tc>
          <w:tcPr>
            <w:tcW w:w="1585" w:type="dxa"/>
            <w:vMerge/>
          </w:tcPr>
          <w:p w:rsidR="00B8299F" w:rsidRDefault="00B8299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8299F">
        <w:trPr>
          <w:trHeight w:val="516"/>
        </w:trPr>
        <w:tc>
          <w:tcPr>
            <w:tcW w:w="1809" w:type="dxa"/>
            <w:vMerge/>
            <w:vAlign w:val="center"/>
          </w:tcPr>
          <w:p w:rsidR="00B8299F" w:rsidRDefault="00B8299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B8299F" w:rsidRDefault="00B8299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审核条款：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OMS: 5.3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组织的岗位、职责和权限、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职业健康安全目标、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6.1.2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危险源辨识与评价、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运行策划和控制、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B8299F" w:rsidRDefault="00B8299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8299F">
        <w:trPr>
          <w:trHeight w:val="1255"/>
        </w:trPr>
        <w:tc>
          <w:tcPr>
            <w:tcW w:w="1809" w:type="dxa"/>
            <w:vAlign w:val="center"/>
          </w:tcPr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组织的岗、职责和权限</w:t>
            </w:r>
          </w:p>
        </w:tc>
        <w:tc>
          <w:tcPr>
            <w:tcW w:w="1311" w:type="dxa"/>
          </w:tcPr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O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 w:rsidR="00B8299F" w:rsidRDefault="00D3521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现场审核过程了解到部门主要负责：市场调研与开发，招投标、商务谈判及合同评审、供方选择及能力评价与调查，顾客档案建立，售后服务及顾客满意度评价与分析，采购管理控制，本部门环境因素和危险源识别和控制，本部门目标制定与实施，与相关方做好沟通，对供方环境、职业健康安全因素等进行控制或施加影响等。</w:t>
            </w:r>
          </w:p>
          <w:p w:rsidR="00B8299F" w:rsidRDefault="00D3521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B8299F" w:rsidRDefault="00B8299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8299F">
        <w:trPr>
          <w:trHeight w:val="520"/>
        </w:trPr>
        <w:tc>
          <w:tcPr>
            <w:tcW w:w="1809" w:type="dxa"/>
            <w:vAlign w:val="center"/>
          </w:tcPr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目标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O6.2</w:t>
            </w:r>
          </w:p>
        </w:tc>
        <w:tc>
          <w:tcPr>
            <w:tcW w:w="10004" w:type="dxa"/>
            <w:vAlign w:val="center"/>
          </w:tcPr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部门目标：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  <w:tbl>
            <w:tblPr>
              <w:tblStyle w:val="a7"/>
              <w:tblW w:w="9788" w:type="dxa"/>
              <w:tblLayout w:type="fixed"/>
              <w:tblLook w:val="04A0"/>
            </w:tblPr>
            <w:tblGrid>
              <w:gridCol w:w="2866"/>
              <w:gridCol w:w="2964"/>
              <w:gridCol w:w="2482"/>
              <w:gridCol w:w="1476"/>
            </w:tblGrid>
            <w:tr w:rsidR="00B8299F">
              <w:tc>
                <w:tcPr>
                  <w:tcW w:w="2866" w:type="dxa"/>
                </w:tcPr>
                <w:p w:rsidR="00B8299F" w:rsidRDefault="00D3521C">
                  <w:pPr>
                    <w:spacing w:line="220" w:lineRule="atLeast"/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2964" w:type="dxa"/>
                </w:tcPr>
                <w:p w:rsidR="00B8299F" w:rsidRDefault="00D3521C">
                  <w:pPr>
                    <w:spacing w:line="220" w:lineRule="atLeast"/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考核方式</w:t>
                  </w:r>
                </w:p>
              </w:tc>
              <w:tc>
                <w:tcPr>
                  <w:tcW w:w="2482" w:type="dxa"/>
                </w:tcPr>
                <w:p w:rsidR="00B8299F" w:rsidRDefault="00D3521C">
                  <w:pPr>
                    <w:spacing w:line="220" w:lineRule="atLeast"/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考核结果</w:t>
                  </w:r>
                </w:p>
              </w:tc>
              <w:tc>
                <w:tcPr>
                  <w:tcW w:w="1476" w:type="dxa"/>
                </w:tcPr>
                <w:p w:rsidR="00B8299F" w:rsidRDefault="00D3521C">
                  <w:pPr>
                    <w:spacing w:line="220" w:lineRule="atLeast"/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完成情况</w:t>
                  </w:r>
                </w:p>
              </w:tc>
            </w:tr>
            <w:tr w:rsidR="00B8299F">
              <w:tc>
                <w:tcPr>
                  <w:tcW w:w="2866" w:type="dxa"/>
                </w:tcPr>
                <w:p w:rsidR="00B8299F" w:rsidRDefault="00D3521C">
                  <w:pPr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火灾、触电事故发生次数为</w:t>
                  </w: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0</w:t>
                  </w:r>
                </w:p>
              </w:tc>
              <w:tc>
                <w:tcPr>
                  <w:tcW w:w="2964" w:type="dxa"/>
                </w:tcPr>
                <w:p w:rsidR="00B8299F" w:rsidRDefault="00D3521C">
                  <w:pPr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查看</w:t>
                  </w: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触电、火灾</w:t>
                  </w: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事故记录</w:t>
                  </w:r>
                </w:p>
              </w:tc>
              <w:tc>
                <w:tcPr>
                  <w:tcW w:w="2482" w:type="dxa"/>
                </w:tcPr>
                <w:p w:rsidR="00B8299F" w:rsidRDefault="00D3521C">
                  <w:pPr>
                    <w:autoSpaceDE w:val="0"/>
                    <w:autoSpaceDN w:val="0"/>
                    <w:spacing w:line="360" w:lineRule="auto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火灾、触电事故</w:t>
                  </w: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0</w:t>
                  </w:r>
                </w:p>
              </w:tc>
              <w:tc>
                <w:tcPr>
                  <w:tcW w:w="1476" w:type="dxa"/>
                </w:tcPr>
                <w:p w:rsidR="00B8299F" w:rsidRDefault="00D3521C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已经完成</w:t>
                  </w:r>
                </w:p>
              </w:tc>
            </w:tr>
          </w:tbl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 w:rsidR="00B8299F" w:rsidRDefault="00B8299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8299F">
        <w:trPr>
          <w:trHeight w:val="676"/>
        </w:trPr>
        <w:tc>
          <w:tcPr>
            <w:tcW w:w="1809" w:type="dxa"/>
            <w:vAlign w:val="center"/>
          </w:tcPr>
          <w:p w:rsidR="00B8299F" w:rsidRDefault="00D3521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危险源辨识与评价</w:t>
            </w:r>
          </w:p>
        </w:tc>
        <w:tc>
          <w:tcPr>
            <w:tcW w:w="1311" w:type="dxa"/>
          </w:tcPr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O6.1.2</w:t>
            </w:r>
          </w:p>
        </w:tc>
        <w:tc>
          <w:tcPr>
            <w:tcW w:w="10004" w:type="dxa"/>
          </w:tcPr>
          <w:p w:rsidR="00B8299F" w:rsidRDefault="00D3521C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查销售部的“危险源识别及风险评价表”，识别了电脑辐射、办公电器漏电触电、运输汽车事故等危险源。</w:t>
            </w:r>
          </w:p>
          <w:p w:rsidR="00B8299F" w:rsidRDefault="00D3521C">
            <w:pPr>
              <w:spacing w:line="360" w:lineRule="auto"/>
              <w:ind w:firstLine="468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查《不可接受风险清单》，涉及本部门的有</w:t>
            </w:r>
            <w:r w:rsidR="00C459F2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个不可接受风险，包括：触电、火灾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等。</w:t>
            </w:r>
          </w:p>
          <w:p w:rsidR="00B8299F" w:rsidRDefault="00D3521C">
            <w:pPr>
              <w:spacing w:line="360" w:lineRule="auto"/>
              <w:ind w:firstLine="468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控制措施：危险源控制执行管理方案、配备消防器材、个体防护、日常检查、培训教育、应急预案等运行控制措施。</w:t>
            </w:r>
          </w:p>
          <w:p w:rsidR="00B8299F" w:rsidRDefault="00D3521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B8299F" w:rsidRDefault="00B8299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8299F">
        <w:trPr>
          <w:trHeight w:val="676"/>
        </w:trPr>
        <w:tc>
          <w:tcPr>
            <w:tcW w:w="1809" w:type="dxa"/>
            <w:vAlign w:val="center"/>
          </w:tcPr>
          <w:p w:rsidR="00B8299F" w:rsidRDefault="00D3521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运行策划和控制</w:t>
            </w:r>
          </w:p>
        </w:tc>
        <w:tc>
          <w:tcPr>
            <w:tcW w:w="1311" w:type="dxa"/>
          </w:tcPr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O 8.1</w:t>
            </w:r>
          </w:p>
        </w:tc>
        <w:tc>
          <w:tcPr>
            <w:tcW w:w="10004" w:type="dxa"/>
          </w:tcPr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编制并实施了职业健康安全控制程序和管理制度。</w:t>
            </w:r>
          </w:p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公司目前销售的主要产品有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MPP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电力管、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PVC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－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C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管、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MPP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电缆保护管、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PE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管、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CPVC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管等市政电力通信用塑料管及管件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。</w:t>
            </w:r>
          </w:p>
          <w:p w:rsidR="00B8299F" w:rsidRDefault="00D3521C">
            <w:pPr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20.5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---20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月份检查结果正常，检查人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黄潮贵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在产品装车时，要求装运人员必须穿戴劳动防护用品，合理使用搬运工具。</w:t>
            </w:r>
          </w:p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对外招投标和业务洽谈时明确承诺公司产品环保、无毒无害。</w:t>
            </w:r>
          </w:p>
          <w:p w:rsidR="00B8299F" w:rsidRDefault="00D3521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部门运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行控制能结合产品生命周期方法，基本符合策划要求。</w:t>
            </w:r>
          </w:p>
        </w:tc>
        <w:tc>
          <w:tcPr>
            <w:tcW w:w="1585" w:type="dxa"/>
          </w:tcPr>
          <w:p w:rsidR="00B8299F" w:rsidRDefault="00B8299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8299F">
        <w:trPr>
          <w:trHeight w:val="676"/>
        </w:trPr>
        <w:tc>
          <w:tcPr>
            <w:tcW w:w="1809" w:type="dxa"/>
            <w:vAlign w:val="center"/>
          </w:tcPr>
          <w:p w:rsidR="00B8299F" w:rsidRDefault="00D3521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应急准备和响应</w:t>
            </w:r>
          </w:p>
        </w:tc>
        <w:tc>
          <w:tcPr>
            <w:tcW w:w="1311" w:type="dxa"/>
          </w:tcPr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O 8.2</w:t>
            </w:r>
          </w:p>
        </w:tc>
        <w:tc>
          <w:tcPr>
            <w:tcW w:w="10004" w:type="dxa"/>
          </w:tcPr>
          <w:p w:rsidR="00B8299F" w:rsidRDefault="00D3521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制定实施了《应急准备和响应控制程序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JLKJ-CX14-2019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》，制定了火灾、触电、机械伤害等应急预案。内容包括：目的、适用范围、职责、应急处理细则、演习、必备资料等。</w:t>
            </w:r>
          </w:p>
          <w:p w:rsidR="00B8299F" w:rsidRDefault="00D3521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销售</w:t>
            </w:r>
            <w:r>
              <w:rPr>
                <w:rFonts w:hint="eastAsia"/>
              </w:rPr>
              <w:t>部工作人的在</w:t>
            </w:r>
            <w:r>
              <w:rPr>
                <w:rFonts w:hint="eastAsia"/>
              </w:rPr>
              <w:t>办公室的</w:t>
            </w:r>
            <w:r>
              <w:rPr>
                <w:rFonts w:hint="eastAsia"/>
              </w:rPr>
              <w:t>组织下，于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>触电事故应急演练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日消防应急演练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zCs w:val="22"/>
              </w:rPr>
              <w:t>机械伤害事故应急救援演</w:t>
            </w:r>
            <w:r>
              <w:rPr>
                <w:rFonts w:hint="eastAsia"/>
              </w:rPr>
              <w:t>练。</w:t>
            </w:r>
          </w:p>
          <w:p w:rsidR="00B8299F" w:rsidRDefault="00D3521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>相关</w:t>
            </w:r>
            <w:r>
              <w:rPr>
                <w:rFonts w:hint="eastAsia"/>
              </w:rPr>
              <w:t>演练公司员工的安全逃生意识</w:t>
            </w:r>
            <w:r>
              <w:rPr>
                <w:rFonts w:hint="eastAsia"/>
              </w:rPr>
              <w:t>及紧急救护意识和能力均有</w:t>
            </w:r>
            <w:r>
              <w:rPr>
                <w:rFonts w:hint="eastAsia"/>
              </w:rPr>
              <w:t>明显改善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提高。使员工掌握了安全逃生的方式和路径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掌握了灭火器材的使用。</w:t>
            </w:r>
            <w:r>
              <w:rPr>
                <w:rFonts w:hint="eastAsia"/>
              </w:rPr>
              <w:t>机械伤害时的紧急救护知识和能力均有提高，为企业及员工的安全生产做出良好基础。</w:t>
            </w:r>
          </w:p>
          <w:p w:rsidR="00B8299F" w:rsidRDefault="00D3521C">
            <w:pPr>
              <w:spacing w:line="360" w:lineRule="auto"/>
              <w:ind w:firstLineChars="150" w:firstLine="315"/>
              <w:rPr>
                <w:rFonts w:asciiTheme="minorEastAsia" w:eastAsiaTheme="minorEastAsia" w:hAnsiTheme="minorEastAsia" w:cs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参加了由办公室组织的消防、触电、机械伤害等应急救援演练。</w:t>
            </w:r>
          </w:p>
          <w:p w:rsidR="00B8299F" w:rsidRDefault="00D3521C">
            <w:pPr>
              <w:spacing w:line="360" w:lineRule="auto"/>
              <w:ind w:firstLineChars="150" w:firstLine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现场巡视产品露天按规格堆放，并加盖防晒篷布，安全有效。</w:t>
            </w:r>
          </w:p>
          <w:p w:rsidR="00B8299F" w:rsidRDefault="00D3521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办公室和仓库负责人每月巡查消防设施管理和线路安全情况，查见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.6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月份、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20.7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月份和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.8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月份消除安全检查记录，未发现异常，检查人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黄潮贵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B8299F" w:rsidRDefault="00B8299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:rsidR="00B8299F" w:rsidRDefault="00B8299F">
      <w:pPr>
        <w:jc w:val="center"/>
        <w:rPr>
          <w:rFonts w:ascii="楷体" w:eastAsia="楷体" w:hAnsi="楷体"/>
        </w:rPr>
      </w:pPr>
    </w:p>
    <w:p w:rsidR="00B8299F" w:rsidRDefault="00B8299F">
      <w:pPr>
        <w:jc w:val="center"/>
        <w:rPr>
          <w:rFonts w:ascii="楷体" w:eastAsia="楷体" w:hAnsi="楷体"/>
        </w:rPr>
      </w:pPr>
    </w:p>
    <w:p w:rsidR="00B8299F" w:rsidRDefault="00D3521C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/>
        </w:rPr>
        <w:t>N</w:t>
      </w:r>
    </w:p>
    <w:p w:rsidR="00B8299F" w:rsidRDefault="00B8299F">
      <w:pPr>
        <w:pStyle w:val="a5"/>
        <w:rPr>
          <w:rFonts w:ascii="楷体" w:eastAsia="楷体" w:hAnsi="楷体"/>
        </w:rPr>
      </w:pPr>
    </w:p>
    <w:sectPr w:rsidR="00B8299F" w:rsidSect="00B8299F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21C" w:rsidRDefault="00D3521C" w:rsidP="00B8299F">
      <w:r>
        <w:separator/>
      </w:r>
    </w:p>
  </w:endnote>
  <w:endnote w:type="continuationSeparator" w:id="1">
    <w:p w:rsidR="00D3521C" w:rsidRDefault="00D3521C" w:rsidP="00B8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9F" w:rsidRDefault="00B8299F">
    <w:pPr>
      <w:pStyle w:val="a5"/>
      <w:jc w:val="center"/>
    </w:pPr>
    <w:r>
      <w:rPr>
        <w:b/>
      </w:rPr>
      <w:fldChar w:fldCharType="begin"/>
    </w:r>
    <w:r w:rsidR="00D3521C">
      <w:rPr>
        <w:b/>
      </w:rPr>
      <w:instrText>PAGE</w:instrText>
    </w:r>
    <w:r>
      <w:rPr>
        <w:b/>
      </w:rPr>
      <w:fldChar w:fldCharType="separate"/>
    </w:r>
    <w:r w:rsidR="00C459F2">
      <w:rPr>
        <w:b/>
        <w:noProof/>
      </w:rPr>
      <w:t>3</w:t>
    </w:r>
    <w:r>
      <w:rPr>
        <w:b/>
      </w:rPr>
      <w:fldChar w:fldCharType="end"/>
    </w:r>
    <w:r w:rsidR="00D3521C">
      <w:rPr>
        <w:lang w:val="zh-CN"/>
      </w:rPr>
      <w:t xml:space="preserve">/ </w:t>
    </w:r>
    <w:r>
      <w:rPr>
        <w:b/>
      </w:rPr>
      <w:fldChar w:fldCharType="begin"/>
    </w:r>
    <w:r w:rsidR="00D3521C">
      <w:rPr>
        <w:b/>
      </w:rPr>
      <w:instrText>NUMPAGES</w:instrText>
    </w:r>
    <w:r>
      <w:rPr>
        <w:b/>
      </w:rPr>
      <w:fldChar w:fldCharType="separate"/>
    </w:r>
    <w:r w:rsidR="00C459F2">
      <w:rPr>
        <w:b/>
        <w:noProof/>
      </w:rPr>
      <w:t>3</w:t>
    </w:r>
    <w:r>
      <w:rPr>
        <w:b/>
      </w:rPr>
      <w:fldChar w:fldCharType="end"/>
    </w:r>
  </w:p>
  <w:p w:rsidR="00B8299F" w:rsidRDefault="00B829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21C" w:rsidRDefault="00D3521C" w:rsidP="00B8299F">
      <w:r>
        <w:separator/>
      </w:r>
    </w:p>
  </w:footnote>
  <w:footnote w:type="continuationSeparator" w:id="1">
    <w:p w:rsidR="00D3521C" w:rsidRDefault="00D3521C" w:rsidP="00B8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9F" w:rsidRDefault="00B8299F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B8299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D3521C">
      <w:rPr>
        <w:rStyle w:val="CharChar1"/>
        <w:rFonts w:hint="eastAsia"/>
      </w:rPr>
      <w:t>北京国标联合认证有限公司</w:t>
    </w:r>
    <w:r w:rsidR="00D3521C">
      <w:rPr>
        <w:rStyle w:val="CharChar1"/>
      </w:rPr>
      <w:tab/>
    </w:r>
    <w:r w:rsidR="00D3521C">
      <w:rPr>
        <w:rStyle w:val="CharChar1"/>
      </w:rPr>
      <w:tab/>
    </w:r>
    <w:r w:rsidR="00D3521C">
      <w:rPr>
        <w:rStyle w:val="CharChar1"/>
      </w:rPr>
      <w:tab/>
    </w:r>
  </w:p>
  <w:p w:rsidR="00B8299F" w:rsidRDefault="00B8299F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54.75pt;margin-top:2.2pt;width:172pt;height:20.2pt;z-index:251658240" stroked="f">
          <v:textbox>
            <w:txbxContent>
              <w:p w:rsidR="00B8299F" w:rsidRDefault="00D3521C"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3521C">
      <w:rPr>
        <w:rStyle w:val="CharChar1"/>
        <w:w w:val="90"/>
      </w:rPr>
      <w:t>Beijing International Standard united Certification Co.,Ltd.</w:t>
    </w:r>
  </w:p>
  <w:p w:rsidR="00B8299F" w:rsidRDefault="00B829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225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299F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459F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3521C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8D17160"/>
    <w:rsid w:val="0A13541F"/>
    <w:rsid w:val="0A8B16A1"/>
    <w:rsid w:val="0CB536BB"/>
    <w:rsid w:val="0D7977A6"/>
    <w:rsid w:val="0F2C01FC"/>
    <w:rsid w:val="108219C2"/>
    <w:rsid w:val="17B06453"/>
    <w:rsid w:val="18214E48"/>
    <w:rsid w:val="1D305A40"/>
    <w:rsid w:val="1D3A4DCB"/>
    <w:rsid w:val="1FD9363B"/>
    <w:rsid w:val="21982CDE"/>
    <w:rsid w:val="279A7545"/>
    <w:rsid w:val="2A7B4C2A"/>
    <w:rsid w:val="2A821BF8"/>
    <w:rsid w:val="2E0559A7"/>
    <w:rsid w:val="2F491B86"/>
    <w:rsid w:val="35084AE2"/>
    <w:rsid w:val="38106665"/>
    <w:rsid w:val="39ED3FB9"/>
    <w:rsid w:val="3D756571"/>
    <w:rsid w:val="3EA31569"/>
    <w:rsid w:val="3EE36C15"/>
    <w:rsid w:val="4035200F"/>
    <w:rsid w:val="45FB1B22"/>
    <w:rsid w:val="49616B1E"/>
    <w:rsid w:val="4D141A67"/>
    <w:rsid w:val="4D1B2383"/>
    <w:rsid w:val="4FE7101C"/>
    <w:rsid w:val="50BB1E45"/>
    <w:rsid w:val="526E34CA"/>
    <w:rsid w:val="55B9249D"/>
    <w:rsid w:val="56491EBF"/>
    <w:rsid w:val="5ABF227B"/>
    <w:rsid w:val="5EA12B9A"/>
    <w:rsid w:val="5F6448C8"/>
    <w:rsid w:val="6086742E"/>
    <w:rsid w:val="63314297"/>
    <w:rsid w:val="65212BBB"/>
    <w:rsid w:val="6B266924"/>
    <w:rsid w:val="6CF13CC8"/>
    <w:rsid w:val="71AB042B"/>
    <w:rsid w:val="73BA7815"/>
    <w:rsid w:val="744C5035"/>
    <w:rsid w:val="759A1780"/>
    <w:rsid w:val="77AF6613"/>
    <w:rsid w:val="7C60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8299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B8299F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rsid w:val="00B8299F"/>
    <w:rPr>
      <w:sz w:val="18"/>
      <w:szCs w:val="18"/>
    </w:rPr>
  </w:style>
  <w:style w:type="paragraph" w:styleId="a5">
    <w:name w:val="footer"/>
    <w:basedOn w:val="a"/>
    <w:link w:val="Char0"/>
    <w:uiPriority w:val="99"/>
    <w:rsid w:val="00B82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B82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locked/>
    <w:rsid w:val="00B829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4"/>
    <w:uiPriority w:val="99"/>
    <w:semiHidden/>
    <w:locked/>
    <w:rsid w:val="00B8299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locked/>
    <w:rsid w:val="00B8299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locked/>
    <w:rsid w:val="00B8299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B8299F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qFormat/>
    <w:rsid w:val="00B8299F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qFormat/>
    <w:rsid w:val="00B8299F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99"/>
    <w:qFormat/>
    <w:rsid w:val="00B8299F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209</Words>
  <Characters>1192</Characters>
  <Application>Microsoft Office Word</Application>
  <DocSecurity>0</DocSecurity>
  <Lines>9</Lines>
  <Paragraphs>2</Paragraphs>
  <ScaleCrop>false</ScaleCrop>
  <Company>china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dcterms:created xsi:type="dcterms:W3CDTF">2019-05-18T05:12:00Z</dcterms:created>
  <dcterms:modified xsi:type="dcterms:W3CDTF">2020-10-08T01:47:00Z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