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/>
                <w:sz w:val="24"/>
                <w:szCs w:val="24"/>
              </w:rPr>
              <w:t>部    主管领导/陪同人员：</w:t>
            </w:r>
            <w:r>
              <w:rPr>
                <w:rFonts w:hint="eastAsia"/>
              </w:rPr>
              <w:t>邱伟良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李京田  李蒙生 </w:t>
            </w:r>
            <w:r>
              <w:rPr>
                <w:rFonts w:hint="eastAsia"/>
                <w:sz w:val="24"/>
                <w:szCs w:val="24"/>
              </w:rPr>
              <w:t xml:space="preserve">   审核时间：2020年10月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企业资质</w:t>
            </w:r>
          </w:p>
          <w:p/>
          <w:p>
            <w:r>
              <w:t>组织环境</w:t>
            </w:r>
          </w:p>
          <w:p>
            <w:r>
              <w:rPr>
                <w:rFonts w:hint="eastAsia"/>
              </w:rPr>
              <w:t>相关方</w:t>
            </w:r>
          </w:p>
          <w:p>
            <w:r>
              <w:rPr>
                <w:rFonts w:hint="eastAsia"/>
              </w:rPr>
              <w:t>风险机遇</w:t>
            </w:r>
          </w:p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管理过程、范围、职责权限、管理承诺</w:t>
            </w:r>
          </w:p>
          <w:p>
            <w:r>
              <w:rPr>
                <w:rFonts w:hint="eastAsia"/>
              </w:rPr>
              <w:t>文件、沟通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pStyle w:val="2"/>
            </w:pPr>
          </w:p>
          <w:p/>
          <w:p>
            <w:r>
              <w:t>方针</w:t>
            </w:r>
          </w:p>
          <w:p>
            <w:r>
              <w:rPr>
                <w:rFonts w:hint="eastAsia"/>
              </w:rPr>
              <w:t>目标</w:t>
            </w:r>
          </w:p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r>
              <w:t>资源</w:t>
            </w:r>
          </w:p>
          <w:p/>
          <w:p/>
          <w:p/>
          <w:p>
            <w:r>
              <w:rPr>
                <w:rFonts w:hint="eastAsia"/>
              </w:rPr>
              <w:t>内审</w:t>
            </w:r>
          </w:p>
          <w:p>
            <w:r>
              <w:rPr>
                <w:rFonts w:hint="eastAsia"/>
              </w:rPr>
              <w:t>管理评审</w:t>
            </w:r>
          </w:p>
          <w:p/>
          <w:p/>
          <w:p/>
          <w:p>
            <w:r>
              <w:rPr>
                <w:rFonts w:hint="eastAsia"/>
              </w:rPr>
              <w:t>不符合及纠正措施</w:t>
            </w:r>
          </w:p>
          <w:p>
            <w:r>
              <w:t>改进总则/</w:t>
            </w:r>
          </w:p>
          <w:p>
            <w:r>
              <w:t>持续改进</w:t>
            </w:r>
          </w:p>
        </w:tc>
        <w:tc>
          <w:tcPr>
            <w:tcW w:w="960" w:type="dxa"/>
          </w:tcPr>
          <w:p/>
          <w:p/>
          <w:p>
            <w:r>
              <w:rPr>
                <w:rFonts w:hint="eastAsia"/>
              </w:rPr>
              <w:t>4.1</w:t>
            </w:r>
          </w:p>
          <w:p>
            <w:r>
              <w:rPr>
                <w:rFonts w:hint="eastAsia"/>
              </w:rPr>
              <w:t>4.2</w:t>
            </w:r>
          </w:p>
          <w:p>
            <w:r>
              <w:rPr>
                <w:rFonts w:hint="eastAsia"/>
              </w:rPr>
              <w:t>6.1</w:t>
            </w:r>
          </w:p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4.3</w:t>
            </w:r>
          </w:p>
          <w:p>
            <w:r>
              <w:rPr>
                <w:rFonts w:hint="eastAsia"/>
              </w:rPr>
              <w:t>4.4</w:t>
            </w:r>
          </w:p>
          <w:p>
            <w:r>
              <w:rPr>
                <w:rFonts w:hint="eastAsia"/>
              </w:rPr>
              <w:t>5.1</w:t>
            </w:r>
          </w:p>
          <w:p>
            <w:r>
              <w:rPr>
                <w:rFonts w:hint="eastAsia"/>
              </w:rPr>
              <w:t>5.3</w:t>
            </w:r>
          </w:p>
          <w:p>
            <w:r>
              <w:rPr>
                <w:rFonts w:hint="eastAsia"/>
              </w:rPr>
              <w:t>7.4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  <w:p>
            <w:pPr>
              <w:pStyle w:val="2"/>
            </w:pPr>
          </w:p>
          <w:p>
            <w:r>
              <w:rPr>
                <w:rFonts w:hint="eastAsia"/>
              </w:rPr>
              <w:t>5.2</w:t>
            </w:r>
          </w:p>
          <w:p>
            <w:r>
              <w:rPr>
                <w:rFonts w:hint="eastAsia"/>
              </w:rPr>
              <w:t>6.2</w:t>
            </w:r>
          </w:p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r>
              <w:rPr>
                <w:rFonts w:hint="eastAsia"/>
              </w:rPr>
              <w:t>7.1</w:t>
            </w:r>
          </w:p>
          <w:p/>
          <w:p/>
          <w:p/>
          <w:p>
            <w:r>
              <w:rPr>
                <w:rFonts w:hint="eastAsia"/>
              </w:rPr>
              <w:t>9.2</w:t>
            </w:r>
          </w:p>
          <w:p>
            <w:r>
              <w:rPr>
                <w:rFonts w:hint="eastAsia"/>
              </w:rPr>
              <w:t>9.3</w:t>
            </w:r>
          </w:p>
          <w:p/>
          <w:p/>
          <w:p/>
          <w:p>
            <w:r>
              <w:rPr>
                <w:rFonts w:hint="eastAsia"/>
              </w:rPr>
              <w:t>10.1</w:t>
            </w:r>
          </w:p>
          <w:p>
            <w:r>
              <w:rPr>
                <w:rFonts w:hint="eastAsia"/>
              </w:rPr>
              <w:t>10.2</w:t>
            </w:r>
          </w:p>
          <w:p>
            <w:r>
              <w:rPr>
                <w:rFonts w:hint="eastAsia"/>
              </w:rPr>
              <w:t>10.3</w:t>
            </w:r>
          </w:p>
        </w:tc>
        <w:tc>
          <w:tcPr>
            <w:tcW w:w="100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提供了营业执照（统一社会信用代码:</w:t>
            </w:r>
            <w:r>
              <w:t xml:space="preserve"> </w:t>
            </w:r>
            <w:r>
              <w:rPr>
                <w:szCs w:val="22"/>
              </w:rPr>
              <w:t>91110105MA01MANB1P</w:t>
            </w:r>
            <w:r>
              <w:rPr>
                <w:rFonts w:hint="eastAsia"/>
              </w:rPr>
              <w:t>，资质文件有效</w:t>
            </w:r>
          </w:p>
          <w:p>
            <w:r>
              <w:rPr>
                <w:rFonts w:hint="eastAsia"/>
              </w:rPr>
              <w:t>提供了营业执照（统一社会信用代码: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91110105MA01MANB1P</w:t>
            </w:r>
            <w:r>
              <w:rPr>
                <w:rFonts w:hint="eastAsia"/>
                <w:szCs w:val="22"/>
              </w:rPr>
              <w:t>），</w:t>
            </w:r>
            <w:r>
              <w:rPr>
                <w:rFonts w:hint="eastAsia"/>
              </w:rPr>
              <w:t>资质文件有效。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总经理：敖江昵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 管代：王福华</w:t>
            </w:r>
            <w:r>
              <w:rPr>
                <w:rFonts w:hint="eastAsia"/>
              </w:rPr>
              <w:tab/>
            </w:r>
          </w:p>
          <w:p>
            <w:r>
              <w:rPr>
                <w:rFonts w:hint="eastAsia"/>
              </w:rPr>
              <w:t>注：本次审核未远程审核，使用微信询问；微信传输文件、记录；微信视频/拍摄现场照片等方式进行审核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与企业负责人微信沟通：</w:t>
            </w:r>
            <w:r>
              <w:rPr>
                <w:szCs w:val="22"/>
              </w:rPr>
              <w:t>2019年08月28日</w:t>
            </w:r>
            <w:r>
              <w:rPr>
                <w:rFonts w:hint="eastAsia"/>
              </w:rPr>
              <w:t>成立，，销售模式为投标、客户介绍、网络宣传等。目前行业竞争激烈，利润空间较小。企业销售服务，基本无环境污染。主要环境因素为固废排放、火灾。</w:t>
            </w:r>
            <w:r>
              <w:rPr>
                <w:rFonts w:hint="eastAsia"/>
                <w:lang w:val="en-US" w:eastAsia="zh-CN"/>
              </w:rPr>
              <w:t>不可接受风险为：火灾、触电、意外伤害。</w:t>
            </w:r>
            <w:r>
              <w:rPr>
                <w:rFonts w:hint="eastAsia"/>
              </w:rPr>
              <w:t>设置有垃圾存放点，配备有灭火器。设置有垃圾存放点，配备有灭火器。</w:t>
            </w:r>
          </w:p>
          <w:p>
            <w:r>
              <w:rPr>
                <w:rFonts w:hint="eastAsia"/>
              </w:rPr>
              <w:t>与组织环境管理体系有关的相关方主要包括：顾客、股东、员工、银行、外部供应商、雇员及其他为组织工作者、法律法规及监管机关、非政府组织等</w:t>
            </w:r>
          </w:p>
          <w:p>
            <w:r>
              <w:rPr>
                <w:rFonts w:hint="eastAsia"/>
              </w:rPr>
              <w:t>重要环境因素失控造成的风险，如固废废弃物(硒鼓/墨盒带/灯管等)未按规定进行管控，造成的危废污染；突发事件，如意外火灾造成的环境污染，合规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</w:t>
            </w:r>
          </w:p>
          <w:p/>
          <w:p>
            <w:r>
              <w:rPr>
                <w:rFonts w:hint="eastAsia"/>
              </w:rPr>
              <w:t>组织按照GB/T24001-2016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GB/</w:t>
            </w:r>
            <w:r>
              <w:rPr>
                <w:rFonts w:hint="eastAsia"/>
                <w:lang w:val="en-US" w:eastAsia="zh-CN"/>
              </w:rPr>
              <w:t>T45001-2020、职业健康安全</w:t>
            </w:r>
            <w:r>
              <w:rPr>
                <w:rFonts w:hint="eastAsia"/>
              </w:rPr>
              <w:t>标准的要求，建立、实施、保持和持续改进管理体系，包括所需过程及其相互作用。 公司确定了环境管理体系所需的过程及整个组织内的运用，确定这些过程所需的输入和期望的输出，确定这些过程的顺序和相互作用，确定和应用所需的准则和方法（包括监视、测量和提高环境绩效），以确保这些过程的运行和有效控制，以实现组织的预期结果，提高环境绩效，确定并确保获得这些过程所需的资源，规定与这些过程相关的责任和权限，按照6.1的要求所确定的风险和机遇，以及应对风险和机遇的措施，评价这些过程，实施所需的变更，以确保实现这些过程的预期结果，过程方法包括按照组织的环境方针和战略方向，对各过程及其相互作用，系统地进行规定和管理，实现预期结果。公司通过采用 PDCA 循环以及基于风险的思维对过程和体系进行整体控制和管理，从而有效利用机遇并防止发生非预期结果。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</w:rPr>
              <w:t xml:space="preserve">确定环境管理体系的范围: </w:t>
            </w:r>
            <w:bookmarkStart w:id="0" w:name="组织名称"/>
            <w:r>
              <w:rPr>
                <w:rFonts w:hint="eastAsia"/>
                <w:lang w:val="en-US" w:eastAsia="zh-CN"/>
              </w:rPr>
              <w:t>位于</w:t>
            </w:r>
            <w:r>
              <w:t>北京市海淀区清华科技园区创业大厦501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End w:id="0"/>
            <w:r>
              <w:rPr>
                <w:color w:val="000000"/>
                <w:szCs w:val="21"/>
              </w:rPr>
              <w:t>北京绿岸壹号能源科技有限公司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O：环保机械设备的销售服务及相关职业健康安全管理活动</w:t>
            </w:r>
          </w:p>
          <w:p>
            <w:pPr>
              <w:ind w:left="210" w:hanging="210" w:hangingChars="100"/>
            </w:pPr>
            <w:r>
              <w:rPr>
                <w:rFonts w:hint="eastAsia" w:ascii="宋体" w:hAnsi="宋体"/>
                <w:szCs w:val="21"/>
              </w:rPr>
              <w:t>E：环保机械设备的销售服务及相关环境管理活动</w:t>
            </w:r>
            <w:bookmarkEnd w:id="1"/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公司保持形成为保证产品、过程或服务质量满足规定的或潜在的要求，把企业的组织机构、职责和权限、工作方法和程序、技术力量和业务活动、资金和资源、信息等协调统一起来所形成的文件化信息。</w:t>
            </w:r>
          </w:p>
          <w:p>
            <w:r>
              <w:rPr>
                <w:rFonts w:hint="eastAsia"/>
              </w:rPr>
              <w:t>总经理通过如下方式（主要以会议、培训、交流、文件和记录等型式）对其建立、实施和改进环境管理体系的承诺提供证据。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策划了《文件控制程序》《记录控制程序》规定了文件的编制、审批、标识、复制、更改、保存等要求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《信息沟通和数据分析控制程序》规定了内外部信息交流、沟通方式、内容，以确保环境管理体系得到有效运行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具体二阶段审核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环境/职业健康安全方针是：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守法诚信追求质量，预防污染保护环境；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关爱员工健康安全，持续改进追求卓越。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固体废弃物100%分类，合理处理；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环境污染事故发生率为零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各类重伤以上事故发生率为零；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火灾事故发生率为零。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管理方案：1 严格按照固体分类设置可回收、不可回收、固体废弃物存放处2 办公区域实行袋装化，定点集中处理3 执行《固体废弃物的管理办法》。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目标：火灾事故为0</w:t>
            </w:r>
          </w:p>
          <w:p>
            <w:r>
              <w:rPr>
                <w:rFonts w:hint="eastAsia"/>
              </w:rPr>
              <w:t>管理方案：1 根据实际需要，合理配置消防灭火器2制定火灾应急预案，成立火灾应急小组，定期进行消防演习3 采取教育和警示办法，组织员工安全知识培训4 定期检查维护消防器材的运行，保存好记录，保证消防设施正常使用5执行相关国家规定，对行政部(技术部）各种线路检查整理使之处于安全状态6加强易燃品的管理。</w:t>
            </w:r>
          </w:p>
          <w:p>
            <w:r>
              <w:rPr>
                <w:rFonts w:hint="eastAsia"/>
              </w:rPr>
              <w:t>环境目标考虑了重要环境因素，与环境方针一致，可测量。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公司确定、提供为建立、实施、保持和改进环境管理体系所需的资源。查公司现有资源，包括人力资源、基础设施（含办公场所、办公设备/设施、交通和通讯设施、消防安全设施等）、信息、技术、资金等</w:t>
            </w:r>
          </w:p>
          <w:p/>
          <w:p/>
          <w:p>
            <w:r>
              <w:rPr>
                <w:rFonts w:hint="eastAsia"/>
              </w:rPr>
              <w:t>2020年6月20日实施了一次内审，有内审计划、检查表、报告；内审不符合已关闭</w:t>
            </w:r>
          </w:p>
          <w:p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日进行了管理评审，有审核计划、输入资料、评审报告。</w:t>
            </w:r>
          </w:p>
          <w:p>
            <w:r>
              <w:rPr>
                <w:rFonts w:hint="eastAsia"/>
              </w:rPr>
              <w:t>内审管理评审基本有效。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与总经理交流公司在持续改进方面主要做了哪些工作：1．提高绩效的PDCA循环和过程方法活动的建立，正逐步趋于完善，主要通过方针目标的建立，为公司明确改进方向，通过各种监测活动发现问题、查找问题， 运用过程方法包括按照组织的环境方针和战略方向，对各过程及其相互作用，系统地进行管理，从而实现预期结果运用分析与评价，寻找变化趋势，以发现潜在问题，获得有效的过程绩效，采取措施实现持续改进。</w:t>
            </w:r>
          </w:p>
          <w:p>
            <w:r>
              <w:rPr>
                <w:rFonts w:hint="eastAsia"/>
              </w:rPr>
              <w:t>2. 编制并实施了不合格和纠正措施管理规定，明确了采取措施予以控制和纠正和处置产生的后果信息的方法，确定并选择了纠正、预防或减少不利影响为改进机会，包括评审和分析不合格、确定不合格的原因、确定是否存在或可能发生类似的不合格、实施所需的措施和评审所采取的纠正措施的有效性。各部门环境目标是改进的主要目标，主要通过目标完成情况考核汇总，环境目标进行统计分析并形成了记录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3.通过员工质量意识的提高，将提高绩效的循环工作做的更好。公司的不合格和纠正措施大多通过平时工作监督检查来实现。通过员工质量意识的提高，防止不符合或不合格的发生。在内审中发现的1个不符合项，已采取了纠正措施，并进行了有效整改。</w:t>
            </w:r>
          </w:p>
          <w:p>
            <w:r>
              <w:rPr>
                <w:rFonts w:hint="eastAsia"/>
                <w:szCs w:val="21"/>
              </w:rPr>
              <w:t>提供的《不符合、纠正措施控制程序》规定了体系运行中的不符合、纠正措施和预防措施控制要求。经与该部门交流：经过日常的监视和测量及检查未发生环境运行过程中的不符合、事故、事件。故没有采取纠正和预防措施的需求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Y</w:t>
            </w:r>
          </w:p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Y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Y</w:t>
            </w:r>
          </w:p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Y</w:t>
            </w:r>
          </w:p>
          <w:p/>
          <w:p/>
          <w:p/>
          <w:p>
            <w:r>
              <w:rPr>
                <w:rFonts w:hint="eastAsia"/>
              </w:rPr>
              <w:t>Y</w:t>
            </w:r>
          </w:p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Y</w:t>
            </w:r>
          </w:p>
          <w:p/>
          <w:p/>
          <w:p/>
          <w:p/>
          <w:p>
            <w:r>
              <w:rPr>
                <w:rFonts w:hint="eastAsi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Lucida Sans"/>
                <w:b w:val="0"/>
                <w:bCs w:val="0"/>
                <w:szCs w:val="20"/>
              </w:rPr>
              <w:t>环境运行控制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宋体" w:cs="Lucida Sans"/>
                <w:b w:val="0"/>
                <w:bCs w:val="0"/>
                <w:color w:val="auto"/>
                <w:szCs w:val="20"/>
              </w:rPr>
            </w:pPr>
            <w:r>
              <w:rPr>
                <w:rFonts w:hint="eastAsia" w:ascii="Times New Roman" w:hAnsi="Times New Roman" w:eastAsia="宋体" w:cs="Lucida Sans"/>
                <w:b w:val="0"/>
                <w:bCs w:val="0"/>
                <w:color w:val="auto"/>
                <w:szCs w:val="20"/>
              </w:rPr>
              <w:t>E</w:t>
            </w:r>
            <w:r>
              <w:rPr>
                <w:rFonts w:hint="eastAsia" w:eastAsia="宋体" w:cs="Lucida Sans"/>
                <w:b w:val="0"/>
                <w:bCs w:val="0"/>
                <w:color w:val="auto"/>
                <w:szCs w:val="20"/>
                <w:lang w:val="en-US" w:eastAsia="zh-CN"/>
              </w:rPr>
              <w:t>O</w:t>
            </w:r>
            <w:r>
              <w:rPr>
                <w:rFonts w:ascii="Times New Roman" w:hAnsi="Times New Roman" w:eastAsia="宋体" w:cs="Lucida Sans"/>
                <w:b w:val="0"/>
                <w:bCs w:val="0"/>
                <w:color w:val="auto"/>
                <w:szCs w:val="20"/>
              </w:rPr>
              <w:t>8.1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ind w:firstLine="420" w:firstLineChars="200"/>
              <w:rPr>
                <w:lang w:val="en-GB"/>
              </w:rPr>
            </w:pPr>
            <w:r>
              <w:rPr>
                <w:rFonts w:hint="eastAsia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办公过程使用的电器如：空调、电脑、灯具均符合安全设计要求，使用过程注意安全，预防触电，工作时间平均每天8小时；</w:t>
            </w:r>
          </w:p>
          <w:p>
            <w:pPr>
              <w:pStyle w:val="2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办公区域内配置的灭火器,在有效期内</w:t>
            </w:r>
          </w:p>
          <w:p>
            <w:pPr>
              <w:ind w:firstLine="420" w:firstLineChars="200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办公用品按要求由</w:t>
            </w:r>
            <w:r>
              <w:rPr>
                <w:rFonts w:hint="eastAsia"/>
                <w:lang w:val="en-US" w:eastAsia="zh-CN"/>
              </w:rPr>
              <w:t>综合部</w:t>
            </w:r>
            <w:r>
              <w:rPr>
                <w:rFonts w:hint="eastAsia"/>
                <w:lang w:val="en-GB"/>
              </w:rPr>
              <w:t>负责发放，作好记录；</w:t>
            </w:r>
          </w:p>
          <w:p>
            <w:pPr>
              <w:ind w:firstLine="420" w:firstLineChars="200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相关方施加影响：公司能够控制或能够施加影响的相关方有周边商户、固体废弃物处理等。提供了“致相关方的公开信”，将公司关于办公用品采购、固体废弃物处理等方面环境控制要求发放到了周边商户，督促影响各相关方按照环境管理体系要求对环境施加影响。</w:t>
            </w:r>
          </w:p>
          <w:p>
            <w:pPr>
              <w:ind w:firstLine="420" w:firstLineChars="200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公司办公产生的废硒鼓、废墨盒、色带由供应方公司回收；</w:t>
            </w:r>
          </w:p>
          <w:p>
            <w:pPr>
              <w:pStyle w:val="2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提供有社保缴费凭证</w:t>
            </w:r>
          </w:p>
          <w:p>
            <w:pPr>
              <w:pStyle w:val="2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提供有人员体检报告</w:t>
            </w:r>
            <w:bookmarkStart w:id="2" w:name="_GoBack"/>
            <w:bookmarkEnd w:id="2"/>
          </w:p>
        </w:tc>
        <w:tc>
          <w:tcPr>
            <w:tcW w:w="158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Lucida Sans"/>
                <w:b w:val="0"/>
                <w:bCs w:val="0"/>
                <w:szCs w:val="20"/>
              </w:rPr>
              <w:t>应急准备和响应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Times New Roman" w:hAnsi="Times New Roman" w:eastAsia="宋体" w:cs="Lucida Sans"/>
                <w:b w:val="0"/>
                <w:bCs w:val="0"/>
                <w:szCs w:val="20"/>
              </w:rPr>
            </w:pPr>
            <w:r>
              <w:rPr>
                <w:rFonts w:ascii="Times New Roman" w:hAnsi="Times New Roman" w:eastAsia="宋体" w:cs="Lucida Sans"/>
                <w:b w:val="0"/>
                <w:bCs w:val="0"/>
                <w:szCs w:val="20"/>
              </w:rPr>
              <w:t>E</w:t>
            </w:r>
            <w:r>
              <w:rPr>
                <w:rFonts w:hint="eastAsia" w:eastAsia="宋体" w:cs="Lucida Sans"/>
                <w:b w:val="0"/>
                <w:bCs w:val="0"/>
                <w:szCs w:val="20"/>
                <w:lang w:val="en-US" w:eastAsia="zh-CN"/>
              </w:rPr>
              <w:t>O</w:t>
            </w:r>
            <w:r>
              <w:rPr>
                <w:rFonts w:ascii="Times New Roman" w:hAnsi="Times New Roman" w:eastAsia="宋体" w:cs="Lucida Sans"/>
                <w:b w:val="0"/>
                <w:bCs w:val="0"/>
                <w:szCs w:val="20"/>
              </w:rPr>
              <w:t>8.2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ind w:firstLine="420" w:firstLineChars="200"/>
              <w:rPr>
                <w:rFonts w:hint="eastAsia" w:cs="Lucida Sans"/>
                <w:b w:val="0"/>
                <w:bCs w:val="0"/>
                <w:szCs w:val="20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宋体" w:cs="Lucida Sans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cs="Lucida Sans"/>
                <w:b w:val="0"/>
                <w:bCs w:val="0"/>
                <w:szCs w:val="20"/>
                <w:lang w:val="en-US" w:eastAsia="zh-CN"/>
              </w:rPr>
              <w:t>参加公司统一组织的应急演练活动，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GB" w:eastAsia="zh-CN" w:bidi="ar-SA"/>
              </w:rPr>
            </w:pPr>
          </w:p>
        </w:tc>
        <w:tc>
          <w:tcPr>
            <w:tcW w:w="158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是否具备二阶段审核结论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0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通过一阶段对受审核方的管理、办公及销售巡视和观察，对管理体系绩效要求有重大影响的过程、活动、场所和现场运行进行观察、巡视及总体性评价，组织具备二阶段审核条件，可进行二阶段审核。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二阶段重点审核：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E:环境因素识别、重要环境因素管理方案、相关方的信息沟通、应急准备和响应控制措施等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ahoma"/>
                <w:szCs w:val="21"/>
                <w:lang w:val="en-US" w:eastAsia="zh-CN"/>
              </w:rPr>
              <w:t>O:危险源辨识、不可接受风险识别及管理方案、</w:t>
            </w: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相关方的信息沟通、应急准备和响应控制措施等</w:t>
            </w: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重点审核部门：综合部、销售部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重点审核过程：环境因素识别、风险识别评价、运行过程、监视和测量、不符合控制、合规性评价等。</w:t>
            </w:r>
          </w:p>
          <w:p>
            <w:pPr>
              <w:tabs>
                <w:tab w:val="left" w:pos="7380"/>
              </w:tabs>
              <w:rPr>
                <w:rFonts w:hint="eastAsia" w:ascii="宋体" w:hAnsi="宋体" w:eastAsia="宋体" w:cs="Tahom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重点审核场所：销售场所、办公场所。</w:t>
            </w:r>
          </w:p>
          <w:p>
            <w:pPr>
              <w:tabs>
                <w:tab w:val="left" w:pos="7380"/>
              </w:tabs>
              <w:rPr>
                <w:rFonts w:hint="default" w:ascii="宋体" w:hAnsi="宋体" w:eastAsia="宋体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szCs w:val="21"/>
                <w:lang w:val="en-US" w:eastAsia="zh-CN"/>
              </w:rPr>
              <w:t>审核时间：2020.10.10</w:t>
            </w:r>
          </w:p>
        </w:tc>
        <w:tc>
          <w:tcPr>
            <w:tcW w:w="1585" w:type="dxa"/>
          </w:tcPr>
          <w:p>
            <w:pPr>
              <w:rPr>
                <w:rFonts w:hint="eastAsia"/>
              </w:rPr>
            </w:pPr>
          </w:p>
        </w:tc>
      </w:tr>
    </w:tbl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03"/>
    <w:rsid w:val="00055FEF"/>
    <w:rsid w:val="00096D13"/>
    <w:rsid w:val="002533A3"/>
    <w:rsid w:val="00A23403"/>
    <w:rsid w:val="00AA0AFF"/>
    <w:rsid w:val="00AD6246"/>
    <w:rsid w:val="00D974BF"/>
    <w:rsid w:val="00EC5957"/>
    <w:rsid w:val="1A093DA2"/>
    <w:rsid w:val="2F597C7F"/>
    <w:rsid w:val="36FD1CAA"/>
    <w:rsid w:val="420162D6"/>
    <w:rsid w:val="6A351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404</Words>
  <Characters>2309</Characters>
  <Lines>19</Lines>
  <Paragraphs>5</Paragraphs>
  <TotalTime>0</TotalTime>
  <ScaleCrop>false</ScaleCrop>
  <LinksUpToDate>false</LinksUpToDate>
  <CharactersWithSpaces>2708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2020-10-11T06:36:30Z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