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60"/>
        </w:tabs>
        <w:snapToGrid w:val="0"/>
        <w:spacing w:line="480" w:lineRule="auto"/>
        <w:rPr>
          <w:rFonts w:hint="default" w:eastAsia="宋体"/>
          <w:b/>
          <w:lang w:val="en-US" w:eastAsia="zh-CN"/>
        </w:rPr>
      </w:pPr>
      <w:r>
        <w:rPr>
          <w:rFonts w:hint="eastAsia"/>
          <w:b/>
          <w:lang w:eastAsia="zh-CN"/>
        </w:rPr>
        <w:tab/>
      </w:r>
      <w:r>
        <w:rPr>
          <w:rFonts w:hint="eastAsia"/>
          <w:b/>
          <w:lang w:val="en-US" w:eastAsia="zh-CN"/>
        </w:rPr>
        <w:t xml:space="preserve">          </w:t>
      </w:r>
      <w:r>
        <w:rPr>
          <w:rFonts w:hint="eastAsia"/>
          <w:b w:val="0"/>
          <w:bCs/>
          <w:sz w:val="21"/>
          <w:szCs w:val="21"/>
          <w:lang w:val="en-US" w:eastAsia="zh-CN"/>
        </w:rPr>
        <w:t xml:space="preserve"> </w:t>
      </w:r>
      <w:r>
        <w:rPr>
          <w:rFonts w:hint="eastAsia" w:ascii="宋体" w:hAnsi="宋体"/>
          <w:b w:val="0"/>
          <w:bCs/>
          <w:kern w:val="0"/>
          <w:sz w:val="21"/>
          <w:szCs w:val="21"/>
        </w:rPr>
        <w:t>合同号:</w:t>
      </w:r>
      <w:r>
        <w:rPr>
          <w:rFonts w:hint="eastAsia" w:ascii="宋体" w:hAnsi="宋体"/>
          <w:b w:val="0"/>
          <w:bCs/>
          <w:kern w:val="0"/>
          <w:sz w:val="21"/>
          <w:szCs w:val="21"/>
          <w:u w:val="single"/>
        </w:rPr>
        <w:t xml:space="preserve"> </w:t>
      </w:r>
      <w:bookmarkStart w:id="0" w:name="合同编号"/>
      <w:r>
        <w:rPr>
          <w:rFonts w:hint="eastAsia" w:ascii="宋体" w:hAnsi="宋体"/>
          <w:b w:val="0"/>
          <w:bCs/>
          <w:kern w:val="0"/>
          <w:sz w:val="21"/>
          <w:szCs w:val="21"/>
          <w:u w:val="single"/>
        </w:rPr>
        <w:t>0345-2019-QEO-2020</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大同墨西科技有限责任公司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618"/>
        <w:gridCol w:w="283"/>
        <w:gridCol w:w="1019"/>
        <w:gridCol w:w="1510"/>
        <w:gridCol w:w="2800"/>
        <w:gridCol w:w="199"/>
        <w:gridCol w:w="850"/>
        <w:gridCol w:w="241"/>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1" w:type="dxa"/>
            <w:vAlign w:val="center"/>
          </w:tcPr>
          <w:p>
            <w:pPr>
              <w:jc w:val="center"/>
              <w:rPr>
                <w:b/>
                <w:sz w:val="21"/>
                <w:szCs w:val="21"/>
              </w:rPr>
            </w:pPr>
            <w:r>
              <w:rPr>
                <w:rFonts w:hint="eastAsia"/>
                <w:b/>
                <w:sz w:val="21"/>
                <w:szCs w:val="21"/>
              </w:rPr>
              <w:t>姓名</w:t>
            </w:r>
          </w:p>
        </w:tc>
        <w:tc>
          <w:tcPr>
            <w:tcW w:w="901" w:type="dxa"/>
            <w:gridSpan w:val="2"/>
            <w:vAlign w:val="center"/>
          </w:tcPr>
          <w:p>
            <w:pPr>
              <w:jc w:val="center"/>
              <w:rPr>
                <w:b/>
                <w:sz w:val="21"/>
                <w:szCs w:val="21"/>
              </w:rPr>
            </w:pPr>
            <w:r>
              <w:rPr>
                <w:rFonts w:hint="eastAsia"/>
                <w:b/>
                <w:sz w:val="21"/>
                <w:szCs w:val="21"/>
              </w:rPr>
              <w:t>性别</w:t>
            </w:r>
          </w:p>
        </w:tc>
        <w:tc>
          <w:tcPr>
            <w:tcW w:w="1019" w:type="dxa"/>
            <w:vAlign w:val="center"/>
          </w:tcPr>
          <w:p>
            <w:pPr>
              <w:jc w:val="center"/>
              <w:rPr>
                <w:b/>
                <w:sz w:val="21"/>
                <w:szCs w:val="21"/>
              </w:rPr>
            </w:pPr>
            <w:r>
              <w:rPr>
                <w:rFonts w:hint="eastAsia"/>
                <w:b/>
                <w:sz w:val="21"/>
                <w:szCs w:val="21"/>
              </w:rPr>
              <w:t>职务</w:t>
            </w:r>
          </w:p>
        </w:tc>
        <w:tc>
          <w:tcPr>
            <w:tcW w:w="1510" w:type="dxa"/>
            <w:vAlign w:val="center"/>
          </w:tcPr>
          <w:p>
            <w:pPr>
              <w:jc w:val="center"/>
              <w:rPr>
                <w:b/>
                <w:sz w:val="21"/>
                <w:szCs w:val="21"/>
              </w:rPr>
            </w:pPr>
            <w:r>
              <w:rPr>
                <w:rFonts w:hint="eastAsia"/>
                <w:b/>
                <w:sz w:val="21"/>
                <w:szCs w:val="21"/>
              </w:rPr>
              <w:t>注册级别</w:t>
            </w:r>
          </w:p>
        </w:tc>
        <w:tc>
          <w:tcPr>
            <w:tcW w:w="2800" w:type="dxa"/>
            <w:vAlign w:val="center"/>
          </w:tcPr>
          <w:p>
            <w:pPr>
              <w:jc w:val="center"/>
              <w:rPr>
                <w:b/>
                <w:sz w:val="21"/>
                <w:szCs w:val="21"/>
              </w:rPr>
            </w:pPr>
            <w:r>
              <w:rPr>
                <w:rFonts w:hint="eastAsia"/>
                <w:b/>
                <w:sz w:val="21"/>
                <w:szCs w:val="21"/>
              </w:rPr>
              <w:t>审核员注册号</w:t>
            </w:r>
          </w:p>
        </w:tc>
        <w:tc>
          <w:tcPr>
            <w:tcW w:w="1290" w:type="dxa"/>
            <w:gridSpan w:val="3"/>
            <w:vAlign w:val="center"/>
          </w:tcPr>
          <w:p>
            <w:pPr>
              <w:jc w:val="center"/>
              <w:rPr>
                <w:b/>
                <w:sz w:val="21"/>
                <w:szCs w:val="21"/>
              </w:rPr>
            </w:pPr>
            <w:r>
              <w:rPr>
                <w:rFonts w:hint="eastAsia"/>
                <w:b/>
                <w:sz w:val="21"/>
                <w:szCs w:val="21"/>
              </w:rPr>
              <w:t>专业代码</w:t>
            </w:r>
          </w:p>
        </w:tc>
        <w:tc>
          <w:tcPr>
            <w:tcW w:w="137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941" w:type="dxa"/>
            <w:vAlign w:val="center"/>
          </w:tcPr>
          <w:p>
            <w:pPr>
              <w:jc w:val="center"/>
              <w:rPr>
                <w:b/>
                <w:sz w:val="21"/>
                <w:szCs w:val="21"/>
              </w:rPr>
            </w:pPr>
            <w:r>
              <w:rPr>
                <w:b/>
                <w:sz w:val="21"/>
                <w:szCs w:val="21"/>
              </w:rPr>
              <w:t>周涛</w:t>
            </w:r>
          </w:p>
        </w:tc>
        <w:tc>
          <w:tcPr>
            <w:tcW w:w="901" w:type="dxa"/>
            <w:gridSpan w:val="2"/>
            <w:vAlign w:val="center"/>
          </w:tcPr>
          <w:p>
            <w:pPr>
              <w:jc w:val="center"/>
              <w:rPr>
                <w:b/>
                <w:sz w:val="21"/>
                <w:szCs w:val="21"/>
              </w:rPr>
            </w:pPr>
            <w:r>
              <w:rPr>
                <w:b/>
                <w:sz w:val="21"/>
                <w:szCs w:val="21"/>
              </w:rPr>
              <w:t>男</w:t>
            </w:r>
          </w:p>
        </w:tc>
        <w:tc>
          <w:tcPr>
            <w:tcW w:w="1019" w:type="dxa"/>
            <w:vAlign w:val="center"/>
          </w:tcPr>
          <w:p>
            <w:pPr>
              <w:jc w:val="center"/>
              <w:rPr>
                <w:b/>
                <w:sz w:val="21"/>
                <w:szCs w:val="21"/>
              </w:rPr>
            </w:pPr>
            <w:r>
              <w:rPr>
                <w:b/>
                <w:sz w:val="21"/>
                <w:szCs w:val="21"/>
              </w:rPr>
              <w:t>组长</w:t>
            </w:r>
          </w:p>
        </w:tc>
        <w:tc>
          <w:tcPr>
            <w:tcW w:w="151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800" w:type="dxa"/>
            <w:vAlign w:val="center"/>
          </w:tcPr>
          <w:p>
            <w:pPr>
              <w:jc w:val="center"/>
              <w:rPr>
                <w:b/>
                <w:sz w:val="21"/>
                <w:szCs w:val="21"/>
              </w:rPr>
            </w:pPr>
            <w:r>
              <w:rPr>
                <w:b/>
                <w:sz w:val="21"/>
                <w:szCs w:val="21"/>
              </w:rPr>
              <w:t>2019-N1QMS-3072033</w:t>
            </w:r>
          </w:p>
          <w:p>
            <w:pPr>
              <w:jc w:val="center"/>
              <w:rPr>
                <w:b/>
                <w:sz w:val="21"/>
                <w:szCs w:val="21"/>
              </w:rPr>
            </w:pPr>
            <w:r>
              <w:rPr>
                <w:b/>
                <w:sz w:val="21"/>
                <w:szCs w:val="21"/>
              </w:rPr>
              <w:t>2018-N1EMS-2072033</w:t>
            </w:r>
          </w:p>
          <w:p>
            <w:pPr>
              <w:jc w:val="center"/>
              <w:rPr>
                <w:b/>
                <w:sz w:val="21"/>
                <w:szCs w:val="21"/>
              </w:rPr>
            </w:pPr>
            <w:r>
              <w:rPr>
                <w:b/>
                <w:sz w:val="21"/>
                <w:szCs w:val="21"/>
              </w:rPr>
              <w:t>2018-N1OHSMS-2072033</w:t>
            </w:r>
          </w:p>
        </w:tc>
        <w:tc>
          <w:tcPr>
            <w:tcW w:w="1290" w:type="dxa"/>
            <w:gridSpan w:val="3"/>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373" w:type="dxa"/>
            <w:vAlign w:val="center"/>
          </w:tcPr>
          <w:p>
            <w:pPr>
              <w:jc w:val="center"/>
              <w:rPr>
                <w:b/>
                <w:sz w:val="21"/>
                <w:szCs w:val="21"/>
              </w:rPr>
            </w:pPr>
            <w:r>
              <w:rPr>
                <w:b/>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1" w:type="dxa"/>
            <w:vAlign w:val="center"/>
          </w:tcPr>
          <w:p>
            <w:pPr>
              <w:jc w:val="center"/>
              <w:rPr>
                <w:b/>
                <w:sz w:val="21"/>
                <w:szCs w:val="21"/>
              </w:rPr>
            </w:pPr>
            <w:r>
              <w:rPr>
                <w:b/>
                <w:sz w:val="21"/>
                <w:szCs w:val="21"/>
              </w:rPr>
              <w:t>姜小清</w:t>
            </w:r>
          </w:p>
        </w:tc>
        <w:tc>
          <w:tcPr>
            <w:tcW w:w="901" w:type="dxa"/>
            <w:gridSpan w:val="2"/>
            <w:vAlign w:val="center"/>
          </w:tcPr>
          <w:p>
            <w:pPr>
              <w:jc w:val="center"/>
              <w:rPr>
                <w:b/>
                <w:sz w:val="21"/>
                <w:szCs w:val="21"/>
              </w:rPr>
            </w:pPr>
            <w:r>
              <w:rPr>
                <w:b/>
                <w:sz w:val="21"/>
                <w:szCs w:val="21"/>
              </w:rPr>
              <w:t>男</w:t>
            </w:r>
          </w:p>
        </w:tc>
        <w:tc>
          <w:tcPr>
            <w:tcW w:w="1019" w:type="dxa"/>
            <w:vAlign w:val="center"/>
          </w:tcPr>
          <w:p>
            <w:pPr>
              <w:jc w:val="center"/>
              <w:rPr>
                <w:b/>
                <w:sz w:val="21"/>
                <w:szCs w:val="21"/>
              </w:rPr>
            </w:pPr>
            <w:r>
              <w:rPr>
                <w:b/>
                <w:sz w:val="21"/>
                <w:szCs w:val="21"/>
              </w:rPr>
              <w:t>组员</w:t>
            </w:r>
          </w:p>
        </w:tc>
        <w:tc>
          <w:tcPr>
            <w:tcW w:w="151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800" w:type="dxa"/>
            <w:vAlign w:val="center"/>
          </w:tcPr>
          <w:p>
            <w:pPr>
              <w:jc w:val="center"/>
              <w:rPr>
                <w:b/>
                <w:sz w:val="21"/>
                <w:szCs w:val="21"/>
              </w:rPr>
            </w:pPr>
            <w:r>
              <w:rPr>
                <w:b/>
                <w:sz w:val="21"/>
                <w:szCs w:val="21"/>
              </w:rPr>
              <w:t>2017-N1QMS-2201919</w:t>
            </w:r>
          </w:p>
          <w:p>
            <w:pPr>
              <w:jc w:val="center"/>
              <w:rPr>
                <w:b/>
                <w:sz w:val="21"/>
                <w:szCs w:val="21"/>
              </w:rPr>
            </w:pPr>
            <w:r>
              <w:rPr>
                <w:b/>
                <w:sz w:val="21"/>
                <w:szCs w:val="21"/>
              </w:rPr>
              <w:t>2018-N1EMS-2201919</w:t>
            </w:r>
          </w:p>
          <w:p>
            <w:pPr>
              <w:jc w:val="center"/>
              <w:rPr>
                <w:b/>
                <w:sz w:val="21"/>
                <w:szCs w:val="21"/>
              </w:rPr>
            </w:pPr>
            <w:r>
              <w:rPr>
                <w:b/>
                <w:sz w:val="21"/>
                <w:szCs w:val="21"/>
              </w:rPr>
              <w:t>2019-N1OHSMS-2201919</w:t>
            </w:r>
          </w:p>
        </w:tc>
        <w:tc>
          <w:tcPr>
            <w:tcW w:w="1290" w:type="dxa"/>
            <w:gridSpan w:val="3"/>
            <w:vAlign w:val="center"/>
          </w:tcPr>
          <w:p>
            <w:pPr>
              <w:jc w:val="center"/>
              <w:rPr>
                <w:b/>
                <w:sz w:val="21"/>
                <w:szCs w:val="21"/>
              </w:rPr>
            </w:pPr>
          </w:p>
        </w:tc>
        <w:tc>
          <w:tcPr>
            <w:tcW w:w="1373" w:type="dxa"/>
            <w:vAlign w:val="center"/>
          </w:tcPr>
          <w:p>
            <w:pPr>
              <w:jc w:val="center"/>
              <w:rPr>
                <w:b/>
                <w:sz w:val="21"/>
                <w:szCs w:val="21"/>
              </w:rPr>
            </w:pPr>
            <w:r>
              <w:rPr>
                <w:b/>
                <w:sz w:val="21"/>
                <w:szCs w:val="21"/>
              </w:rPr>
              <w:t>ISC-2201919</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527"/>
        <w:gridCol w:w="960"/>
        <w:gridCol w:w="1920"/>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FF0000"/>
                <w:sz w:val="21"/>
              </w:rPr>
              <w:t>大同墨西科技有限责任公司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 xml:space="preserve">    50</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山西省大同市开发区云州街1169号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037000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山西省大同市开发区云州街1169号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037000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山西省大同市开发区云州街1169号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037000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527" w:type="dxa"/>
          </w:tcPr>
          <w:p>
            <w:pPr>
              <w:ind w:firstLine="422" w:firstLineChars="200"/>
              <w:rPr>
                <w:rFonts w:hint="eastAsia" w:ascii="宋体" w:eastAsia="宋体"/>
                <w:b/>
                <w:sz w:val="21"/>
                <w:lang w:eastAsia="zh-CN"/>
              </w:rPr>
            </w:pPr>
            <w:r>
              <w:rPr>
                <w:rFonts w:hint="eastAsia" w:ascii="宋体"/>
                <w:b/>
                <w:sz w:val="21"/>
                <w:lang w:val="en-US" w:eastAsia="zh-CN"/>
              </w:rPr>
              <w:t>杨彩霞</w:t>
            </w:r>
          </w:p>
        </w:tc>
        <w:tc>
          <w:tcPr>
            <w:tcW w:w="960" w:type="dxa"/>
            <w:vAlign w:val="center"/>
          </w:tcPr>
          <w:p>
            <w:pPr>
              <w:jc w:val="center"/>
              <w:rPr>
                <w:rFonts w:ascii="宋体"/>
                <w:b/>
                <w:sz w:val="21"/>
              </w:rPr>
            </w:pPr>
            <w:r>
              <w:rPr>
                <w:rFonts w:hint="eastAsia" w:ascii="宋体" w:hAnsi="宋体"/>
                <w:b/>
                <w:sz w:val="21"/>
              </w:rPr>
              <w:t>电话</w:t>
            </w:r>
            <w:r>
              <w:rPr>
                <w:b/>
                <w:sz w:val="16"/>
                <w:szCs w:val="16"/>
              </w:rPr>
              <w:t>.</w:t>
            </w:r>
          </w:p>
        </w:tc>
        <w:tc>
          <w:tcPr>
            <w:tcW w:w="1929" w:type="dxa"/>
            <w:gridSpan w:val="2"/>
            <w:vAlign w:val="center"/>
          </w:tcPr>
          <w:p>
            <w:pPr>
              <w:jc w:val="center"/>
              <w:rPr>
                <w:rFonts w:hint="default" w:ascii="宋体" w:eastAsia="宋体"/>
                <w:b/>
                <w:sz w:val="21"/>
                <w:lang w:val="en-US" w:eastAsia="zh-CN"/>
              </w:rPr>
            </w:pPr>
            <w:bookmarkStart w:id="18" w:name="联系人电话Add"/>
            <w:r>
              <w:rPr>
                <w:rFonts w:ascii="宋体"/>
                <w:b/>
                <w:sz w:val="21"/>
              </w:rPr>
              <w:t>1</w:t>
            </w:r>
            <w:bookmarkEnd w:id="18"/>
            <w:r>
              <w:rPr>
                <w:rFonts w:hint="eastAsia" w:ascii="宋体"/>
                <w:b/>
                <w:sz w:val="21"/>
                <w:lang w:val="en-US" w:eastAsia="zh-CN"/>
              </w:rPr>
              <w:t>8734299615</w:t>
            </w:r>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527" w:type="dxa"/>
            <w:vAlign w:val="center"/>
          </w:tcPr>
          <w:p>
            <w:pPr>
              <w:jc w:val="center"/>
              <w:rPr>
                <w:rFonts w:hint="default" w:ascii="宋体" w:hAnsi="宋体" w:eastAsia="宋体"/>
                <w:b/>
                <w:sz w:val="21"/>
                <w:szCs w:val="21"/>
                <w:lang w:val="en-US" w:eastAsia="zh-CN"/>
              </w:rPr>
            </w:pPr>
            <w:r>
              <w:rPr>
                <w:rFonts w:hint="eastAsia" w:ascii="宋体" w:hAnsi="宋体"/>
                <w:b/>
                <w:sz w:val="21"/>
                <w:szCs w:val="21"/>
                <w:lang w:val="en-US" w:eastAsia="zh-CN"/>
              </w:rPr>
              <w:t>陈永忠</w:t>
            </w:r>
          </w:p>
        </w:tc>
        <w:tc>
          <w:tcPr>
            <w:tcW w:w="960" w:type="dxa"/>
            <w:vAlign w:val="center"/>
          </w:tcPr>
          <w:p>
            <w:pPr>
              <w:jc w:val="center"/>
              <w:rPr>
                <w:rFonts w:ascii="宋体" w:hAnsi="宋体"/>
                <w:b/>
                <w:sz w:val="21"/>
                <w:szCs w:val="21"/>
              </w:rPr>
            </w:pPr>
            <w:r>
              <w:rPr>
                <w:rFonts w:hint="eastAsia" w:ascii="宋体" w:hAnsi="宋体"/>
                <w:b/>
                <w:sz w:val="21"/>
                <w:szCs w:val="21"/>
              </w:rPr>
              <w:t>总经理</w:t>
            </w:r>
          </w:p>
        </w:tc>
        <w:tc>
          <w:tcPr>
            <w:tcW w:w="1929" w:type="dxa"/>
            <w:gridSpan w:val="2"/>
            <w:vAlign w:val="center"/>
          </w:tcPr>
          <w:p>
            <w:pPr>
              <w:jc w:val="center"/>
              <w:rPr>
                <w:rFonts w:ascii="宋体" w:hAnsi="宋体"/>
                <w:b/>
                <w:sz w:val="21"/>
                <w:szCs w:val="21"/>
              </w:rPr>
            </w:pPr>
            <w:bookmarkStart w:id="20" w:name="法人"/>
            <w:r>
              <w:rPr>
                <w:rFonts w:ascii="宋体" w:hAnsi="宋体"/>
                <w:b/>
                <w:sz w:val="21"/>
                <w:szCs w:val="21"/>
              </w:rPr>
              <w:t>赵建新</w:t>
            </w:r>
            <w:bookmarkEnd w:id="20"/>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hint="default" w:ascii="宋体" w:eastAsia="宋体"/>
                <w:b/>
                <w:sz w:val="21"/>
                <w:lang w:val="en-US" w:eastAsia="zh-CN"/>
              </w:rPr>
            </w:pPr>
            <w:r>
              <w:rPr>
                <w:rFonts w:hint="eastAsia" w:ascii="宋体"/>
                <w:b/>
                <w:sz w:val="21"/>
                <w:lang w:val="en-US" w:eastAsia="zh-CN"/>
              </w:rPr>
              <w:t>张玉蓉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487" w:type="dxa"/>
            <w:gridSpan w:val="2"/>
            <w:vAlign w:val="center"/>
          </w:tcPr>
          <w:p>
            <w:pPr>
              <w:rPr>
                <w:rFonts w:ascii="宋体" w:hAnsi="宋体"/>
                <w:b/>
                <w:sz w:val="21"/>
                <w:szCs w:val="21"/>
              </w:rPr>
            </w:pPr>
            <w:bookmarkStart w:id="21" w:name="审核日期"/>
            <w:r>
              <w:rPr>
                <w:rFonts w:ascii="宋体" w:hAnsi="宋体"/>
                <w:b/>
                <w:sz w:val="21"/>
                <w:szCs w:val="21"/>
              </w:rPr>
              <w:t>2020年09月28日 上午至2020年09月29日 上午</w:t>
            </w:r>
            <w:bookmarkEnd w:id="21"/>
          </w:p>
        </w:tc>
        <w:tc>
          <w:tcPr>
            <w:tcW w:w="1920"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color w:val="000000"/>
                <w:sz w:val="21"/>
                <w:szCs w:val="21"/>
              </w:rPr>
            </w:pPr>
            <w:bookmarkStart w:id="22" w:name="审核范围"/>
            <w:r>
              <w:rPr>
                <w:rFonts w:hint="eastAsia" w:ascii="宋体" w:hAnsi="宋体"/>
                <w:sz w:val="21"/>
                <w:szCs w:val="21"/>
              </w:rPr>
              <w:t>Q：石墨烯相关产品、电热膜、电子产品的销售</w:t>
            </w:r>
          </w:p>
          <w:p>
            <w:pPr>
              <w:rPr>
                <w:rFonts w:ascii="宋体" w:hAnsi="宋体"/>
                <w:sz w:val="21"/>
                <w:szCs w:val="21"/>
              </w:rPr>
            </w:pPr>
            <w:r>
              <w:rPr>
                <w:rFonts w:hint="eastAsia" w:ascii="宋体" w:hAnsi="宋体"/>
                <w:sz w:val="21"/>
                <w:szCs w:val="21"/>
              </w:rPr>
              <w:t>E：石墨烯相关产品、电热膜、电子产品的销售及相关环境管理活动</w:t>
            </w:r>
          </w:p>
          <w:p>
            <w:pPr>
              <w:spacing w:line="360" w:lineRule="exact"/>
              <w:rPr>
                <w:rFonts w:ascii="宋体" w:hAnsi="宋体"/>
                <w:b/>
                <w:sz w:val="21"/>
                <w:szCs w:val="21"/>
              </w:rPr>
            </w:pPr>
            <w:r>
              <w:rPr>
                <w:rFonts w:hint="eastAsia" w:ascii="宋体" w:hAnsi="宋体"/>
                <w:sz w:val="21"/>
                <w:szCs w:val="21"/>
              </w:rPr>
              <w:t>O：石墨烯相关产品、电热膜、电子产品的销售及相关职业健康安全管理活动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527" w:type="dxa"/>
          </w:tcPr>
          <w:p>
            <w:pPr>
              <w:spacing w:line="260" w:lineRule="exact"/>
              <w:rPr>
                <w:rFonts w:hint="eastAsia" w:ascii="宋体" w:hAnsi="宋体"/>
                <w:sz w:val="21"/>
                <w:szCs w:val="21"/>
                <w:lang w:val="en-US" w:eastAsia="zh-CN"/>
              </w:rPr>
            </w:pPr>
            <w:bookmarkStart w:id="23" w:name="专业代码"/>
            <w:r>
              <w:rPr>
                <w:rFonts w:hint="eastAsia" w:ascii="宋体" w:hAnsi="宋体"/>
                <w:sz w:val="21"/>
                <w:szCs w:val="21"/>
                <w:lang w:val="en-US" w:eastAsia="zh-CN"/>
              </w:rPr>
              <w:t>Q：29.12.00</w:t>
            </w:r>
          </w:p>
          <w:p>
            <w:pPr>
              <w:spacing w:line="260" w:lineRule="exact"/>
              <w:rPr>
                <w:rFonts w:hint="eastAsia" w:ascii="宋体" w:hAnsi="宋体"/>
                <w:sz w:val="21"/>
                <w:szCs w:val="21"/>
                <w:lang w:val="en-US" w:eastAsia="zh-CN"/>
              </w:rPr>
            </w:pPr>
            <w:r>
              <w:rPr>
                <w:rFonts w:hint="eastAsia" w:ascii="宋体" w:hAnsi="宋体"/>
                <w:sz w:val="21"/>
                <w:szCs w:val="21"/>
                <w:lang w:val="en-US" w:eastAsia="zh-CN"/>
              </w:rPr>
              <w:t>E：29.12.00</w:t>
            </w:r>
          </w:p>
          <w:p>
            <w:pPr>
              <w:spacing w:line="260" w:lineRule="exact"/>
              <w:rPr>
                <w:rFonts w:hint="eastAsia" w:ascii="宋体" w:hAnsi="宋体"/>
                <w:sz w:val="21"/>
                <w:szCs w:val="21"/>
                <w:lang w:val="en-US" w:eastAsia="zh-CN"/>
              </w:rPr>
            </w:pPr>
            <w:r>
              <w:rPr>
                <w:rFonts w:hint="eastAsia" w:ascii="宋体" w:hAnsi="宋体"/>
                <w:sz w:val="21"/>
                <w:szCs w:val="21"/>
                <w:lang w:val="en-US" w:eastAsia="zh-CN"/>
              </w:rPr>
              <w:t>O：29.12.00</w:t>
            </w:r>
            <w:bookmarkEnd w:id="23"/>
          </w:p>
        </w:tc>
        <w:tc>
          <w:tcPr>
            <w:tcW w:w="96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929" w:type="dxa"/>
            <w:gridSpan w:val="2"/>
          </w:tcPr>
          <w:p>
            <w:pPr>
              <w:spacing w:line="260" w:lineRule="exact"/>
              <w:rPr>
                <w:rFonts w:hint="eastAsia" w:ascii="宋体" w:hAnsi="宋体"/>
                <w:sz w:val="21"/>
                <w:szCs w:val="21"/>
                <w:lang w:val="en-US" w:eastAsia="zh-CN"/>
              </w:rPr>
            </w:pPr>
          </w:p>
          <w:p>
            <w:pPr>
              <w:spacing w:line="260" w:lineRule="exact"/>
              <w:ind w:firstLine="210" w:firstLineChars="100"/>
              <w:rPr>
                <w:rFonts w:hint="default" w:ascii="宋体" w:hAnsi="宋体" w:eastAsia="宋体"/>
                <w:b/>
                <w:sz w:val="21"/>
                <w:szCs w:val="21"/>
                <w:lang w:val="en-US" w:eastAsia="zh-CN"/>
              </w:rPr>
            </w:pPr>
            <w:r>
              <w:rPr>
                <w:rFonts w:hint="eastAsia" w:ascii="宋体" w:hAnsi="宋体"/>
                <w:sz w:val="21"/>
                <w:szCs w:val="21"/>
                <w:lang w:val="en-US" w:eastAsia="zh-CN"/>
              </w:rPr>
              <w:t>2022.8.6</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b/>
                <w:sz w:val="21"/>
                <w:lang w:val="en-US" w:eastAsia="zh-CN"/>
              </w:rPr>
            </w:pPr>
          </w:p>
          <w:p>
            <w:pPr>
              <w:spacing w:line="260" w:lineRule="exact"/>
              <w:rPr>
                <w:rFonts w:hint="default" w:ascii="宋体" w:eastAsia="宋体"/>
                <w:b/>
                <w:sz w:val="21"/>
                <w:lang w:val="en-US" w:eastAsia="zh-CN"/>
              </w:rPr>
            </w:pPr>
            <w:r>
              <w:rPr>
                <w:rFonts w:hint="eastAsia" w:ascii="宋体" w:hAnsi="宋体"/>
                <w:sz w:val="21"/>
                <w:szCs w:val="21"/>
                <w:lang w:val="en-US" w:eastAsia="zh-CN"/>
              </w:rPr>
              <w:t>2019.7.27～2019.8.4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sz w:val="21"/>
          <w:szCs w:val="21"/>
        </w:rPr>
        <w:t>石墨烯相关产品、电热膜、电子产品的销售</w:t>
      </w:r>
      <w:r>
        <w:rPr>
          <w:rFonts w:hint="eastAsia" w:ascii="宋体" w:hAnsi="宋体"/>
          <w:sz w:val="21"/>
          <w:szCs w:val="21"/>
          <w:lang w:eastAsia="zh-CN"/>
        </w:rPr>
        <w:t>。</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sz w:val="21"/>
          <w:szCs w:val="21"/>
          <w:lang w:val="en-US" w:eastAsia="zh-CN"/>
        </w:rPr>
        <w:t>从上次审核结束日的2019年8月4日至2020年9月29日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tLeast"/>
              <w:rPr>
                <w:rFonts w:hint="eastAsia" w:ascii="宋体" w:hAnsi="宋体"/>
                <w:sz w:val="21"/>
                <w:szCs w:val="21"/>
                <w:lang w:val="en-US" w:eastAsia="zh-CN"/>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ascii="宋体" w:hAnsi="宋体"/>
                <w:sz w:val="21"/>
                <w:szCs w:val="21"/>
                <w:lang w:val="en-US" w:eastAsia="zh-CN"/>
              </w:rPr>
              <w:t>经营范围：石墨烯相关产品、电热膜、电子产品的销售。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60" w:lineRule="atLeast"/>
              <w:rPr>
                <w:rFonts w:hint="eastAsia" w:ascii="宋体" w:hAnsi="宋体"/>
                <w:sz w:val="21"/>
                <w:szCs w:val="21"/>
                <w:lang w:val="en-US" w:eastAsia="zh-CN"/>
              </w:rPr>
            </w:pPr>
            <w:r>
              <w:rPr>
                <w:rFonts w:hint="eastAsia" w:ascii="宋体" w:hAnsi="宋体"/>
                <w:sz w:val="21"/>
                <w:szCs w:val="21"/>
                <w:lang w:val="en-US" w:eastAsia="zh-CN"/>
              </w:rPr>
              <w:t>提供了《组织内外部环境因素识别表》：</w:t>
            </w:r>
          </w:p>
          <w:p>
            <w:pPr>
              <w:spacing w:line="360" w:lineRule="atLeast"/>
              <w:rPr>
                <w:rFonts w:hint="eastAsia" w:ascii="宋体" w:hAnsi="宋体"/>
                <w:sz w:val="21"/>
                <w:szCs w:val="21"/>
                <w:lang w:val="en-US" w:eastAsia="zh-CN"/>
              </w:rPr>
            </w:pPr>
            <w:r>
              <w:rPr>
                <w:rFonts w:hint="eastAsia" w:ascii="宋体" w:hAnsi="宋体"/>
                <w:sz w:val="21"/>
                <w:szCs w:val="21"/>
                <w:lang w:val="en-US" w:eastAsia="zh-CN"/>
              </w:rPr>
              <w:t>内部环境：资源因素－公司提供符合石墨烯相关产品、电热膜、电子产品的销售的场所，配备适宜的硬件和软件设施设备。信息来源：设施设备清单－具体现状描述：本公司设施设备可以确保石墨烯相关产品、电热膜、电子产品的销售，基本的质量控制要求－SWOT分析：WT……</w:t>
            </w:r>
          </w:p>
          <w:p>
            <w:pPr>
              <w:spacing w:line="360" w:lineRule="atLeast"/>
              <w:rPr>
                <w:rFonts w:hint="eastAsia" w:ascii="宋体" w:hAnsi="宋体"/>
                <w:sz w:val="21"/>
                <w:szCs w:val="21"/>
                <w:lang w:val="en-US" w:eastAsia="zh-CN"/>
              </w:rPr>
            </w:pPr>
            <w:r>
              <w:rPr>
                <w:rFonts w:hint="eastAsia" w:ascii="宋体" w:hAnsi="宋体"/>
                <w:sz w:val="21"/>
                <w:szCs w:val="21"/>
                <w:lang w:val="en-US" w:eastAsia="zh-CN"/>
              </w:rPr>
              <w:t>外部环境：竞争力－公司类别：石墨烯相关产品、电热膜、电子产品的销售，当前市场占有率不高，其他类似企业比较多－信息来源：市场调查和分析－具体现状描述：本公司产品质量稳定，但在市场中同行也多，竞争压力大－SWOT分析：ST……</w:t>
            </w:r>
          </w:p>
          <w:p>
            <w:pPr>
              <w:spacing w:line="360" w:lineRule="atLeast"/>
              <w:rPr>
                <w:rFonts w:hint="eastAsia" w:ascii="宋体" w:hAnsi="宋体" w:eastAsia="宋体"/>
                <w:b/>
                <w:sz w:val="21"/>
                <w:szCs w:val="21"/>
                <w:lang w:eastAsia="zh-CN"/>
              </w:rPr>
            </w:pPr>
            <w:r>
              <w:rPr>
                <w:rFonts w:hint="eastAsia" w:ascii="宋体" w:hAnsi="宋体"/>
                <w:sz w:val="21"/>
                <w:szCs w:val="21"/>
                <w:lang w:val="en-US" w:eastAsia="zh-CN"/>
              </w:rPr>
              <w:t>公司管理层已确定了外部和内部因素，已经对经营环境、内外部环境进行分析并提出对策，并进行了监视和评审。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tLeast"/>
              <w:rPr>
                <w:rFonts w:hint="eastAsia" w:ascii="宋体" w:hAnsi="宋体"/>
                <w:sz w:val="21"/>
                <w:szCs w:val="21"/>
                <w:lang w:val="en-US" w:eastAsia="zh-CN"/>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ascii="宋体" w:hAnsi="宋体"/>
                <w:sz w:val="21"/>
                <w:szCs w:val="21"/>
                <w:lang w:val="en-US" w:eastAsia="zh-CN"/>
              </w:rPr>
              <w:t>相关方包括顾客、所有者、组织中的成员、供应商、银行、工会、合伙人、竞争对手或社会团体或行业协会。在每年的管理评审前，由相关部门负责人进行识别并评估其适用性,具体部门及识别见管理评审输入。 主要顾客群：房地产开发商、机关单位及企事业单位等</w:t>
            </w:r>
          </w:p>
          <w:p>
            <w:pPr>
              <w:spacing w:line="360" w:lineRule="atLeast"/>
              <w:rPr>
                <w:rFonts w:hint="eastAsia" w:ascii="宋体" w:hAnsi="宋体"/>
                <w:sz w:val="21"/>
                <w:szCs w:val="21"/>
                <w:lang w:val="en-US" w:eastAsia="zh-CN"/>
              </w:rPr>
            </w:pPr>
            <w:r>
              <w:rPr>
                <w:rFonts w:hint="eastAsia" w:ascii="宋体" w:hAnsi="宋体"/>
                <w:sz w:val="21"/>
                <w:szCs w:val="21"/>
                <w:lang w:val="en-US" w:eastAsia="zh-CN"/>
              </w:rPr>
              <w:t>相关方期望或要求监测与更新：管理者代表每年在管理评审前组织一次全面的内外部内外部环境要素识别与评审。</w:t>
            </w:r>
          </w:p>
          <w:p>
            <w:pPr>
              <w:spacing w:line="360" w:lineRule="atLeast"/>
              <w:rPr>
                <w:rFonts w:hint="eastAsia" w:ascii="宋体" w:hAnsi="宋体"/>
                <w:sz w:val="21"/>
                <w:szCs w:val="21"/>
                <w:lang w:val="en-US" w:eastAsia="zh-CN"/>
              </w:rPr>
            </w:pPr>
            <w:r>
              <w:rPr>
                <w:rFonts w:hint="eastAsia" w:ascii="宋体" w:hAnsi="宋体"/>
                <w:sz w:val="21"/>
                <w:szCs w:val="21"/>
                <w:lang w:val="en-US" w:eastAsia="zh-CN"/>
              </w:rPr>
              <w:t>各部门在获得内外部环境要素信息变化时，应及时告知管理者代表，由管理者代表对《相关方期望或要求识别表》进行修订。</w:t>
            </w:r>
          </w:p>
          <w:p>
            <w:pPr>
              <w:spacing w:line="360" w:lineRule="atLeast"/>
              <w:rPr>
                <w:rFonts w:hint="eastAsia" w:ascii="宋体" w:hAnsi="宋体" w:eastAsia="宋体"/>
                <w:b/>
                <w:sz w:val="21"/>
                <w:szCs w:val="21"/>
                <w:lang w:eastAsia="zh-CN"/>
              </w:rPr>
            </w:pPr>
            <w:r>
              <w:rPr>
                <w:rFonts w:hint="eastAsia" w:ascii="宋体" w:hAnsi="宋体"/>
                <w:sz w:val="21"/>
                <w:szCs w:val="21"/>
                <w:lang w:val="en-US" w:eastAsia="zh-CN"/>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eastAsia="宋体"/>
                <w:b/>
                <w:sz w:val="21"/>
                <w:szCs w:val="21"/>
                <w:lang w:eastAsia="zh-CN"/>
              </w:rPr>
            </w:pPr>
            <w:r>
              <w:rPr>
                <w:rFonts w:ascii="宋体" w:hAnsi="宋体"/>
                <w:b/>
                <w:sz w:val="21"/>
                <w:szCs w:val="21"/>
              </w:rPr>
              <w:t>3.</w:t>
            </w: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宋体" w:hAnsi="宋体"/>
                <w:b/>
                <w:sz w:val="21"/>
                <w:szCs w:val="21"/>
                <w:lang w:eastAsia="zh-CN"/>
              </w:rPr>
              <w:t>：</w:t>
            </w:r>
            <w:r>
              <w:rPr>
                <w:rFonts w:hint="eastAsia" w:ascii="宋体" w:hAnsi="宋体"/>
                <w:sz w:val="21"/>
                <w:szCs w:val="21"/>
                <w:lang w:val="en-US" w:eastAsia="zh-CN"/>
              </w:rPr>
              <w:t>管理方针：“顾客第一  遵纪守法  预防为主  持续改进”，通过管理手册的分发和开会等沟通使全体员工理解方针，通过内审和管理评审保持方针的适宜性和有效性。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0"/>
              <w:rPr>
                <w:b/>
                <w:color w:val="000000" w:themeColor="text1"/>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b/>
                <w:color w:val="000000" w:themeColor="text1"/>
              </w:rPr>
              <w:t>制定了《风险和机遇的应对控制程序》，明确风险和机遇事件的识别方法/途径、风险和机遇事件的评估方式、制定主要风险和机遇事件的应对措施的要求、评价这些措施有效性的方法。</w:t>
            </w:r>
          </w:p>
          <w:p>
            <w:pPr>
              <w:spacing w:line="280" w:lineRule="exact"/>
              <w:rPr>
                <w:rFonts w:hint="eastAsia" w:ascii="宋体" w:hAnsi="宋体"/>
                <w:sz w:val="21"/>
                <w:szCs w:val="21"/>
                <w:lang w:val="en-US" w:eastAsia="zh-CN"/>
              </w:rPr>
            </w:pPr>
            <w:r>
              <w:rPr>
                <w:rFonts w:hint="eastAsia" w:ascii="宋体" w:hAnsi="宋体"/>
                <w:sz w:val="21"/>
                <w:szCs w:val="21"/>
                <w:lang w:val="en-US" w:eastAsia="zh-CN"/>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80" w:lineRule="exact"/>
              <w:rPr>
                <w:rFonts w:hint="eastAsia" w:ascii="宋体" w:hAnsi="宋体"/>
                <w:sz w:val="21"/>
                <w:szCs w:val="21"/>
                <w:lang w:val="en-US" w:eastAsia="zh-CN"/>
              </w:rPr>
            </w:pPr>
            <w:r>
              <w:rPr>
                <w:rFonts w:hint="eastAsia" w:ascii="宋体" w:hAnsi="宋体"/>
                <w:sz w:val="21"/>
                <w:szCs w:val="21"/>
                <w:lang w:val="en-US" w:eastAsia="zh-CN"/>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80" w:lineRule="exact"/>
              <w:rPr>
                <w:rFonts w:hint="eastAsia" w:ascii="宋体" w:hAnsi="宋体" w:eastAsia="宋体"/>
                <w:b/>
                <w:sz w:val="21"/>
                <w:szCs w:val="21"/>
                <w:lang w:eastAsia="zh-CN"/>
              </w:rPr>
            </w:pPr>
            <w:r>
              <w:rPr>
                <w:rFonts w:hint="eastAsia" w:ascii="宋体" w:hAnsi="宋体"/>
                <w:sz w:val="21"/>
                <w:szCs w:val="21"/>
                <w:lang w:val="en-US" w:eastAsia="zh-CN"/>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rPr>
                <w:rFonts w:hint="eastAsia" w:ascii="宋体" w:hAnsi="宋体"/>
                <w:sz w:val="21"/>
                <w:szCs w:val="21"/>
                <w:lang w:val="en-US" w:eastAsia="zh-CN"/>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人力资源、基础设施、文件、机构、职责、产品和服务的要求、外部提供的产品和服务、产品放行、不合格输出控制、绩效评价、改进等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sz w:val="21"/>
                <w:szCs w:val="21"/>
                <w:u w:val="single"/>
                <w:lang w:val="en-US" w:eastAsia="zh-CN"/>
              </w:rPr>
              <w:t xml:space="preserve"> 采购过程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宋体" w:hAnsi="宋体"/>
                <w:sz w:val="21"/>
                <w:szCs w:val="21"/>
                <w:u w:val="single"/>
                <w:lang w:val="en-US" w:eastAsia="zh-CN"/>
              </w:rPr>
              <w:t>销售服务过程</w:t>
            </w:r>
            <w:r>
              <w:rPr>
                <w:rFonts w:hint="eastAsia" w:ascii="宋体" w:hAnsi="宋体"/>
                <w:b/>
                <w:color w:val="000000" w:themeColor="text1"/>
                <w:sz w:val="20"/>
                <w:szCs w:val="20"/>
                <w:u w:val="single"/>
              </w:rPr>
              <w:t xml:space="preserve"> </w:t>
            </w:r>
          </w:p>
          <w:p>
            <w:pPr>
              <w:tabs>
                <w:tab w:val="left" w:pos="540"/>
              </w:tabs>
              <w:spacing w:line="300" w:lineRule="exact"/>
              <w:ind w:left="211" w:hanging="201" w:hangingChars="100"/>
              <w:rPr>
                <w:rFonts w:ascii="宋体" w:hAnsi="宋体"/>
                <w:b/>
                <w:sz w:val="21"/>
                <w:szCs w:val="21"/>
              </w:rPr>
            </w:pPr>
            <w:r>
              <w:rPr>
                <w:rFonts w:ascii="宋体" w:hAnsi="宋体"/>
                <w:b/>
                <w:color w:val="000000" w:themeColor="text1"/>
                <w:sz w:val="20"/>
                <w:szCs w:val="20"/>
              </w:rPr>
              <w:pict>
                <v:shape id="_x0000_s2051" o:spid="_x0000_s2051"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eastAsia" w:ascii="宋体" w:hAnsi="宋体"/>
                <w:b/>
                <w:color w:val="000000" w:themeColor="text1"/>
                <w:sz w:val="20"/>
                <w:szCs w:val="20"/>
                <w:u w:val="none"/>
              </w:rPr>
              <w:t xml:space="preserve"> </w:t>
            </w:r>
            <w:r>
              <w:rPr>
                <w:rFonts w:hint="eastAsia" w:ascii="宋体" w:hAnsi="宋体"/>
                <w:sz w:val="21"/>
                <w:szCs w:val="21"/>
                <w:u w:val="none"/>
                <w:lang w:val="en-US" w:eastAsia="zh-CN"/>
              </w:rPr>
              <w:t xml:space="preserve"> Q8,3</w:t>
            </w:r>
            <w:r>
              <w:rPr>
                <w:rFonts w:hint="eastAsia" w:ascii="宋体" w:hAnsi="宋体"/>
                <w:sz w:val="21"/>
                <w:szCs w:val="21"/>
                <w:u w:val="single"/>
                <w:lang w:val="en-US" w:eastAsia="zh-CN"/>
              </w:rPr>
              <w:t>，</w:t>
            </w:r>
            <w:r>
              <w:rPr>
                <w:rFonts w:hint="eastAsia" w:ascii="宋体" w:hAnsi="宋体"/>
                <w:sz w:val="21"/>
                <w:szCs w:val="21"/>
                <w:lang w:val="en-US" w:eastAsia="zh-CN"/>
              </w:rPr>
              <w:t>不适用理由：暂时无销售方面的研发。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b/>
                <w:sz w:val="21"/>
                <w:szCs w:val="21"/>
              </w:rPr>
            </w:pPr>
            <w:r>
              <w:rPr>
                <w:rFonts w:hint="eastAsia" w:ascii="宋体" w:hAnsi="宋体"/>
                <w:sz w:val="21"/>
                <w:szCs w:val="21"/>
                <w:lang w:val="en-US" w:eastAsia="zh-CN"/>
              </w:rPr>
              <w:t>根据公司经营性质，识别了各部门和场所的环境因素，并对环境因素进行了评价，评价出了重要环境因素（火灾、固体废弃物排放)，识别基本齐全，评价合理。基本了解评价动态变更的及时性。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b/>
                <w:sz w:val="21"/>
                <w:szCs w:val="21"/>
              </w:rPr>
            </w:pPr>
            <w:r>
              <w:rPr>
                <w:b/>
                <w:color w:val="000000" w:themeColor="text1"/>
                <w:sz w:val="20"/>
                <w:szCs w:val="20"/>
              </w:rPr>
              <w:t xml:space="preserve"> </w:t>
            </w:r>
            <w:r>
              <w:rPr>
                <w:rFonts w:hint="eastAsia" w:ascii="宋体" w:hAnsi="宋体"/>
                <w:sz w:val="21"/>
                <w:szCs w:val="21"/>
                <w:lang w:val="en-US" w:eastAsia="zh-CN"/>
              </w:rPr>
              <w:t>根据组织经营性质，识别了各部门和场所的危险源，并对危险源进行了评价，评价出不可接受风险（火灾、交通意外伤害），识别基本齐全，评价合理。基本了解评价动态变更的及时性。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color w:val="000000" w:themeColor="text1"/>
                <w:szCs w:val="21"/>
              </w:rPr>
              <w:t>会议</w:t>
            </w:r>
            <w:r>
              <w:rPr>
                <w:rFonts w:hint="eastAsia" w:ascii="宋体" w:hAnsi="宋体"/>
                <w:b/>
                <w:color w:val="000000" w:themeColor="text1"/>
                <w:szCs w:val="21"/>
                <w:lang w:val="en-US" w:eastAsia="zh-CN"/>
              </w:rPr>
              <w:t>培训</w:t>
            </w:r>
            <w:r>
              <w:rPr>
                <w:rFonts w:hint="eastAsia" w:ascii="宋体" w:hAnsi="宋体"/>
                <w:b/>
                <w:color w:val="000000" w:themeColor="text1"/>
                <w:szCs w:val="21"/>
                <w:lang w:eastAsia="zh-CN"/>
              </w:rPr>
              <w:t>、</w:t>
            </w:r>
            <w:r>
              <w:rPr>
                <w:rFonts w:hint="eastAsia" w:ascii="宋体" w:hAnsi="宋体"/>
                <w:b/>
                <w:color w:val="000000" w:themeColor="text1"/>
                <w:szCs w:val="21"/>
              </w:rPr>
              <w:t>网络</w:t>
            </w:r>
            <w:r>
              <w:rPr>
                <w:rFonts w:hint="eastAsia" w:ascii="宋体" w:hAnsi="宋体"/>
                <w:b/>
                <w:color w:val="000000" w:themeColor="text1"/>
                <w:szCs w:val="21"/>
                <w:lang w:eastAsia="zh-CN"/>
              </w:rPr>
              <w:t>、</w:t>
            </w:r>
            <w:r>
              <w:rPr>
                <w:rFonts w:hint="eastAsia" w:ascii="宋体" w:hAnsi="宋体"/>
                <w:b/>
                <w:color w:val="000000" w:themeColor="text1"/>
                <w:szCs w:val="21"/>
              </w:rPr>
              <w:t>公示</w:t>
            </w:r>
            <w:r>
              <w:rPr>
                <w:rFonts w:hint="eastAsia" w:ascii="宋体" w:hAnsi="宋体"/>
                <w:b/>
                <w:color w:val="000000" w:themeColor="text1"/>
                <w:szCs w:val="21"/>
                <w:lang w:val="en-US" w:eastAsia="zh-CN"/>
              </w:rPr>
              <w:t>等。</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在公司各职能和层次上建立了质量、环境、职业健康安全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line="240" w:lineRule="exact"/>
              <w:rPr>
                <w:rFonts w:hint="eastAsia" w:ascii="宋体" w:hAnsi="宋体"/>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公司按照制定的文件和记录控制相关程序，对管理体系有关的文件、记录等成文信息进行有效控制，在使用处均有文件的有效版本。公司文件为手册、程序文件、作业文件三层。</w:t>
            </w:r>
          </w:p>
          <w:p>
            <w:pPr>
              <w:spacing w:line="240" w:lineRule="exact"/>
              <w:rPr>
                <w:rFonts w:hint="default" w:ascii="宋体" w:hAnsi="宋体" w:eastAsia="宋体"/>
                <w:b/>
                <w:sz w:val="21"/>
                <w:szCs w:val="21"/>
                <w:lang w:val="en-US" w:eastAsia="zh-CN"/>
              </w:rPr>
            </w:pPr>
            <w:r>
              <w:rPr>
                <w:rFonts w:hint="eastAsia" w:ascii="宋体" w:hAnsi="宋体"/>
                <w:sz w:val="21"/>
                <w:szCs w:val="21"/>
                <w:lang w:val="en-US" w:eastAsia="zh-CN"/>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sz w:val="21"/>
                <w:szCs w:val="21"/>
                <w:lang w:val="en-US" w:eastAsia="zh-CN"/>
              </w:rPr>
              <w:t>该公司员工50人，管理人员8人，销售人员5人，采购1人，都具备相应的资质和能力，人力资源满足要求。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hint="default" w:ascii="宋体" w:hAnsi="宋体"/>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设备主要是销售服务设备及办公设备，如电脑、打印机、复印机、公用汽车等。</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运行环境无特殊要求，公司办公场所干净整洁、人际关系融洽，能满足要求。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p>
          <w:p>
            <w:pPr>
              <w:spacing w:line="240" w:lineRule="exact"/>
              <w:rPr>
                <w:rFonts w:hint="default" w:ascii="宋体" w:hAnsi="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监视测量设备，无，对销售人员进行考核。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知识</w:t>
            </w:r>
            <w:r>
              <w:rPr>
                <w:rFonts w:hint="eastAsia" w:ascii="宋体" w:hAnsi="宋体"/>
                <w:b/>
                <w:sz w:val="21"/>
                <w:szCs w:val="21"/>
                <w:lang w:eastAsia="zh-CN"/>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公司确定运行过程所需的知识，内部来源包括公司运作准则（管理制度、工作记录等）、石墨烯产品专业技术应用、销售过程管理等。外部来源包括外来资料、法律法规、市场信息等。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安全设施有干粉灭火器</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240" w:lineRule="exact"/>
              <w:rPr>
                <w:rFonts w:hint="eastAsia" w:ascii="宋体" w:hAnsi="宋体"/>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 xml:space="preserve"> 1. 管理方针：“顾客第一  遵纪守法  预防为主  持续改进”</w:t>
            </w:r>
          </w:p>
          <w:p>
            <w:pPr>
              <w:spacing w:line="240" w:lineRule="exact"/>
              <w:rPr>
                <w:rFonts w:hint="eastAsia" w:ascii="宋体" w:hAnsi="宋体"/>
                <w:sz w:val="21"/>
                <w:szCs w:val="21"/>
                <w:lang w:val="en-US" w:eastAsia="zh-CN"/>
              </w:rPr>
            </w:pPr>
            <w:r>
              <w:rPr>
                <w:rFonts w:hint="eastAsia" w:ascii="宋体" w:hAnsi="宋体"/>
                <w:sz w:val="21"/>
                <w:szCs w:val="21"/>
                <w:lang w:val="en-US" w:eastAsia="zh-CN"/>
              </w:rPr>
              <w:t>2. 管理方针与企业的经营宗旨相适应，协调；</w:t>
            </w:r>
          </w:p>
          <w:p>
            <w:pPr>
              <w:spacing w:line="240" w:lineRule="exact"/>
              <w:rPr>
                <w:rFonts w:hint="default" w:ascii="宋体" w:hAnsi="宋体" w:eastAsia="宋体"/>
                <w:b/>
                <w:sz w:val="21"/>
                <w:szCs w:val="21"/>
                <w:lang w:val="en-US" w:eastAsia="zh-CN"/>
              </w:rPr>
            </w:pPr>
            <w:r>
              <w:rPr>
                <w:rFonts w:hint="eastAsia" w:ascii="宋体" w:hAnsi="宋体"/>
                <w:sz w:val="21"/>
                <w:szCs w:val="21"/>
                <w:lang w:val="en-US" w:eastAsia="zh-CN"/>
              </w:rPr>
              <w:t>3. 通过会议传达，沟通，让全体员工理解执行。并定期进行评审（一般一年一次）。2020年6月10日评审，方针有效、适宜。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宋体" w:hAnsi="宋体" w:eastAsia="宋体"/>
                <w:b/>
                <w:sz w:val="21"/>
                <w:szCs w:val="21"/>
                <w:lang w:eastAsia="zh-CN"/>
              </w:rPr>
            </w:pPr>
            <w:r>
              <w:rPr>
                <w:rFonts w:hint="eastAsia" w:ascii="宋体" w:hAnsi="宋体"/>
                <w:b/>
                <w:sz w:val="21"/>
                <w:szCs w:val="21"/>
              </w:rPr>
              <w:t>内部沟通的情况：内部沟通方式：</w:t>
            </w:r>
            <w:r>
              <w:rPr>
                <w:rFonts w:hint="eastAsia"/>
                <w:b w:val="0"/>
                <w:bCs/>
                <w:color w:val="000000" w:themeColor="text1"/>
                <w:sz w:val="20"/>
                <w:szCs w:val="20"/>
              </w:rPr>
              <w:t>会议、公告栏、发放文件、</w:t>
            </w:r>
            <w:r>
              <w:rPr>
                <w:rFonts w:hint="eastAsia"/>
                <w:b w:val="0"/>
                <w:bCs/>
                <w:color w:val="000000" w:themeColor="text1"/>
                <w:sz w:val="20"/>
                <w:szCs w:val="20"/>
                <w:lang w:val="en-US" w:eastAsia="zh-CN"/>
              </w:rPr>
              <w:t>微信、</w:t>
            </w:r>
            <w:r>
              <w:rPr>
                <w:rFonts w:hint="eastAsia"/>
                <w:b w:val="0"/>
                <w:bCs/>
                <w:color w:val="000000" w:themeColor="text1"/>
                <w:sz w:val="20"/>
                <w:szCs w:val="20"/>
              </w:rPr>
              <w:t>网络等</w:t>
            </w:r>
            <w:r>
              <w:rPr>
                <w:rFonts w:hint="eastAsia"/>
                <w:b w:val="0"/>
                <w:bCs/>
                <w:color w:val="000000" w:themeColor="text1"/>
                <w:sz w:val="20"/>
                <w:szCs w:val="20"/>
                <w:lang w:eastAsia="zh-CN"/>
              </w:rPr>
              <w:t>。</w:t>
            </w:r>
          </w:p>
          <w:p>
            <w:pPr>
              <w:spacing w:line="240" w:lineRule="exact"/>
              <w:rPr>
                <w:rFonts w:hint="eastAsia" w:ascii="宋体" w:hAnsi="宋体" w:eastAsia="宋体"/>
                <w:b/>
                <w:sz w:val="21"/>
                <w:szCs w:val="21"/>
                <w:lang w:eastAsia="zh-CN"/>
              </w:rPr>
            </w:pPr>
            <w:r>
              <w:rPr>
                <w:rFonts w:hint="eastAsia" w:ascii="宋体" w:hAnsi="宋体"/>
                <w:b/>
                <w:sz w:val="21"/>
                <w:szCs w:val="21"/>
              </w:rPr>
              <w:t>内部沟通的效果：</w:t>
            </w:r>
            <w:r>
              <w:rPr>
                <w:rFonts w:hint="eastAsia"/>
                <w:b w:val="0"/>
                <w:bCs/>
                <w:color w:val="000000" w:themeColor="text1"/>
                <w:sz w:val="20"/>
                <w:szCs w:val="20"/>
              </w:rPr>
              <w:t>能够得到有效沟通</w:t>
            </w:r>
            <w:r>
              <w:rPr>
                <w:rFonts w:hint="eastAsia"/>
                <w:b w:val="0"/>
                <w:bCs/>
                <w:color w:val="000000" w:themeColor="text1"/>
                <w:sz w:val="20"/>
                <w:szCs w:val="20"/>
                <w:lang w:eastAsia="zh-CN"/>
              </w:rPr>
              <w:t>。</w:t>
            </w:r>
          </w:p>
          <w:p>
            <w:pPr>
              <w:spacing w:line="240" w:lineRule="exact"/>
              <w:rPr>
                <w:rFonts w:ascii="宋体" w:hAnsi="宋体"/>
                <w:b/>
                <w:sz w:val="21"/>
                <w:szCs w:val="21"/>
              </w:rPr>
            </w:pPr>
          </w:p>
          <w:p>
            <w:pPr>
              <w:spacing w:line="240" w:lineRule="exact"/>
              <w:rPr>
                <w:b w:val="0"/>
                <w:bCs/>
                <w:color w:val="000000" w:themeColor="text1"/>
                <w:sz w:val="20"/>
                <w:szCs w:val="20"/>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b w:val="0"/>
                <w:bCs/>
                <w:color w:val="000000" w:themeColor="text1"/>
                <w:sz w:val="20"/>
                <w:szCs w:val="20"/>
              </w:rPr>
              <w:t>顾客满意度调查表的发放、电话回访、到顾客现场进行询问等形式</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b w:val="0"/>
                <w:bCs/>
                <w:color w:val="000000" w:themeColor="text1"/>
                <w:sz w:val="20"/>
                <w:szCs w:val="20"/>
              </w:rPr>
              <w:t>进行接收、答复，但未进行记录。</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b w:val="0"/>
                <w:bCs/>
                <w:color w:val="000000" w:themeColor="text1"/>
                <w:sz w:val="20"/>
                <w:szCs w:val="20"/>
              </w:rPr>
              <w:t>对相关方进行了书面告知，见到相关方告知书。</w:t>
            </w:r>
          </w:p>
          <w:p>
            <w:pPr>
              <w:spacing w:line="240" w:lineRule="exact"/>
              <w:rPr>
                <w:rFonts w:ascii="宋体" w:hAnsi="宋体"/>
                <w:b/>
                <w:sz w:val="21"/>
                <w:szCs w:val="21"/>
              </w:rPr>
            </w:pPr>
          </w:p>
          <w:p>
            <w:pPr>
              <w:spacing w:line="240" w:lineRule="exact"/>
              <w:rPr>
                <w:b/>
                <w:color w:val="000000" w:themeColor="text1"/>
                <w:sz w:val="20"/>
                <w:szCs w:val="20"/>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b w:val="0"/>
                <w:bCs/>
                <w:color w:val="000000" w:themeColor="text1"/>
                <w:sz w:val="20"/>
                <w:szCs w:val="20"/>
              </w:rPr>
              <w:t>参与了管理体系文件的制定，每年召开一次员工代表会议，未保留记录。</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b w:val="0"/>
                <w:bCs/>
                <w:color w:val="000000" w:themeColor="text1"/>
                <w:sz w:val="20"/>
                <w:szCs w:val="20"/>
              </w:rPr>
              <w:t>对相关方进行了书面告知，见到相关方告知书。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00" w:firstLineChars="200"/>
              <w:rPr>
                <w:rFonts w:ascii="宋体" w:hAnsi="宋体"/>
                <w:b/>
                <w:sz w:val="21"/>
                <w:szCs w:val="21"/>
              </w:rPr>
            </w:pPr>
            <w:r>
              <w:rPr>
                <w:rFonts w:hint="eastAsia"/>
                <w:b w:val="0"/>
                <w:bCs/>
                <w:color w:val="000000" w:themeColor="text1"/>
                <w:sz w:val="20"/>
                <w:szCs w:val="20"/>
              </w:rPr>
              <w:t>公司识别关键过程：采购过程，需要确认的过程：销售服务过程，对其过程进行了重点控制，进行确认，控制有效。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hint="default" w:ascii="宋体" w:hAnsi="宋体" w:eastAsia="宋体"/>
                <w:b w:val="0"/>
                <w:bCs/>
                <w:sz w:val="21"/>
                <w:szCs w:val="21"/>
                <w:lang w:val="en-US" w:eastAsia="zh-CN"/>
              </w:rPr>
            </w:pPr>
            <w:r>
              <w:rPr>
                <w:rFonts w:hint="eastAsia" w:ascii="宋体" w:hAnsi="宋体"/>
                <w:b/>
                <w:sz w:val="21"/>
                <w:szCs w:val="21"/>
                <w:lang w:val="en-US" w:eastAsia="zh-CN"/>
              </w:rPr>
              <w:t xml:space="preserve">    </w:t>
            </w:r>
            <w:r>
              <w:rPr>
                <w:b w:val="0"/>
                <w:bCs/>
                <w:color w:val="000000" w:themeColor="text1"/>
                <w:sz w:val="20"/>
                <w:szCs w:val="20"/>
              </w:rPr>
              <w:t xml:space="preserve"> </w:t>
            </w:r>
            <w:r>
              <w:rPr>
                <w:rFonts w:hint="eastAsia"/>
                <w:b w:val="0"/>
                <w:bCs/>
                <w:color w:val="000000" w:themeColor="text1"/>
                <w:sz w:val="20"/>
                <w:szCs w:val="20"/>
              </w:rPr>
              <w:t>能稳定向顾客提供较满意的销售服务。对顾客进行满意度调查，并进行了简要分析。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sz w:val="20"/>
                <w:szCs w:val="20"/>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numPr>
                <w:ilvl w:val="0"/>
                <w:numId w:val="2"/>
              </w:numPr>
              <w:spacing w:line="240" w:lineRule="exact"/>
              <w:rPr>
                <w:rFonts w:ascii="宋体" w:hAnsi="宋体"/>
                <w:b/>
                <w:sz w:val="21"/>
                <w:szCs w:val="21"/>
              </w:rPr>
            </w:pPr>
          </w:p>
          <w:p>
            <w:pPr>
              <w:spacing w:line="240" w:lineRule="exact"/>
              <w:rPr>
                <w:rFonts w:hint="eastAsia"/>
                <w:b w:val="0"/>
                <w:bCs/>
                <w:color w:val="000000" w:themeColor="text1"/>
                <w:sz w:val="20"/>
                <w:szCs w:val="20"/>
              </w:rPr>
            </w:pPr>
            <w:r>
              <w:rPr>
                <w:rFonts w:hint="eastAsia" w:ascii="宋体" w:hAnsi="宋体"/>
                <w:b/>
                <w:sz w:val="21"/>
                <w:szCs w:val="21"/>
                <w:lang w:val="en-US" w:eastAsia="zh-CN"/>
              </w:rPr>
              <w:t xml:space="preserve">    </w:t>
            </w:r>
            <w:r>
              <w:rPr>
                <w:b/>
                <w:color w:val="000000" w:themeColor="text1"/>
                <w:sz w:val="20"/>
                <w:szCs w:val="20"/>
              </w:rPr>
              <w:t xml:space="preserve"> </w:t>
            </w:r>
            <w:r>
              <w:rPr>
                <w:rFonts w:hint="eastAsia"/>
                <w:b w:val="0"/>
                <w:bCs/>
                <w:color w:val="000000" w:themeColor="text1"/>
                <w:sz w:val="20"/>
                <w:szCs w:val="20"/>
              </w:rPr>
              <w:t>能对发现的不符合项及时进行纠正和控制。</w:t>
            </w:r>
          </w:p>
          <w:p>
            <w:pPr>
              <w:spacing w:line="240" w:lineRule="exact"/>
              <w:rPr>
                <w:rFonts w:hint="default"/>
                <w:b w:val="0"/>
                <w:bCs/>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spacing w:line="240" w:lineRule="exact"/>
              <w:rPr>
                <w:rFonts w:hint="eastAsia"/>
                <w:b w:val="0"/>
                <w:bCs/>
                <w:color w:val="000000" w:themeColor="text1"/>
                <w:sz w:val="20"/>
                <w:szCs w:val="20"/>
              </w:rPr>
            </w:pPr>
            <w:r>
              <w:rPr>
                <w:rFonts w:hint="eastAsia"/>
                <w:b w:val="0"/>
                <w:bCs/>
                <w:color w:val="000000" w:themeColor="text1"/>
                <w:sz w:val="20"/>
                <w:szCs w:val="20"/>
              </w:rPr>
              <w:t>对重要环境因素进行了识别（火灾、固体废弃物），控制基本有效。对周边环境影响不大，可得到有效控制。对相关方进行了必要告知。</w:t>
            </w:r>
          </w:p>
          <w:p>
            <w:pPr>
              <w:spacing w:line="240" w:lineRule="exact"/>
              <w:rPr>
                <w:rFonts w:hint="default"/>
                <w:b w:val="0"/>
                <w:bCs/>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numPr>
                <w:ilvl w:val="0"/>
                <w:numId w:val="0"/>
              </w:numPr>
              <w:spacing w:line="240" w:lineRule="exact"/>
              <w:rPr>
                <w:rFonts w:hint="default" w:ascii="宋体" w:hAnsi="宋体"/>
                <w:b/>
                <w:sz w:val="21"/>
                <w:szCs w:val="21"/>
                <w:lang w:val="en-US" w:eastAsia="zh-CN"/>
              </w:rPr>
            </w:pPr>
            <w:r>
              <w:rPr>
                <w:rFonts w:hint="eastAsia" w:ascii="宋体" w:hAnsi="宋体"/>
                <w:b/>
                <w:sz w:val="21"/>
                <w:szCs w:val="21"/>
                <w:lang w:val="en-US" w:eastAsia="zh-CN"/>
              </w:rPr>
              <w:t xml:space="preserve">   </w:t>
            </w:r>
            <w:r>
              <w:rPr>
                <w:b/>
                <w:color w:val="000000" w:themeColor="text1"/>
                <w:sz w:val="20"/>
                <w:szCs w:val="20"/>
              </w:rPr>
              <w:t xml:space="preserve"> </w:t>
            </w:r>
            <w:r>
              <w:rPr>
                <w:rFonts w:hint="eastAsia"/>
                <w:b w:val="0"/>
                <w:bCs/>
                <w:color w:val="000000" w:themeColor="text1"/>
                <w:sz w:val="20"/>
                <w:szCs w:val="20"/>
              </w:rPr>
              <w:t>对不可接受危险源进行了识别（火灾、交通意外伤害），控制基本有效。目前公司不可接受危险源对公司及周边环境影响不大，可得到有效控制。对相关方进行了必要告知。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b/>
                <w:color w:val="000000" w:themeColor="text1"/>
                <w:spacing w:val="-4"/>
                <w:sz w:val="20"/>
                <w:szCs w:val="20"/>
              </w:rPr>
              <w:t xml:space="preserve"> </w:t>
            </w:r>
            <w:r>
              <w:rPr>
                <w:rFonts w:hint="eastAsia"/>
                <w:b w:val="0"/>
                <w:bCs/>
                <w:color w:val="000000" w:themeColor="text1"/>
                <w:spacing w:val="-4"/>
                <w:sz w:val="20"/>
                <w:szCs w:val="20"/>
              </w:rPr>
              <w:t>对火灾突发事件等制定了应急预案，提供了火灾“应急预案演练记录”，对演练效果进行评价。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b w:val="0"/>
                <w:bCs/>
                <w:color w:val="000000" w:themeColor="text1"/>
                <w:sz w:val="20"/>
                <w:szCs w:val="20"/>
              </w:rPr>
              <w:t>无</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spacing w:line="240" w:lineRule="exact"/>
              <w:rPr>
                <w:rFonts w:hint="default" w:ascii="宋体" w:hAnsi="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p>
          <w:p>
            <w:pPr>
              <w:spacing w:line="240" w:lineRule="exact"/>
              <w:ind w:firstLine="105" w:firstLineChars="50"/>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sz w:val="20"/>
                <w:szCs w:val="20"/>
              </w:rPr>
              <w:t>对质量、环境、职业健康安全目标进行了考核，查到20</w:t>
            </w:r>
            <w:r>
              <w:rPr>
                <w:rFonts w:hint="eastAsia"/>
                <w:b w:val="0"/>
                <w:bCs/>
                <w:color w:val="000000" w:themeColor="text1"/>
                <w:sz w:val="20"/>
                <w:szCs w:val="20"/>
                <w:lang w:val="en-US" w:eastAsia="zh-CN"/>
              </w:rPr>
              <w:t>20</w:t>
            </w:r>
            <w:r>
              <w:rPr>
                <w:rFonts w:hint="eastAsia"/>
                <w:b w:val="0"/>
                <w:bCs/>
                <w:color w:val="000000" w:themeColor="text1"/>
                <w:sz w:val="20"/>
                <w:szCs w:val="20"/>
              </w:rPr>
              <w:t>年第一、二季度公司及各部门完成情况，各项质量、环境、职业健康安全目标均已完成。目标具备可测量性。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eastAsia" w:ascii="宋体" w:hAnsi="宋体"/>
                <w:b/>
                <w:sz w:val="21"/>
                <w:szCs w:val="21"/>
                <w:lang w:val="en-US" w:eastAsia="zh-CN"/>
              </w:rPr>
            </w:pPr>
            <w:r>
              <w:rPr>
                <w:rFonts w:hint="eastAsia" w:ascii="宋体" w:hAnsi="宋体"/>
                <w:b/>
                <w:sz w:val="21"/>
                <w:szCs w:val="21"/>
                <w:lang w:val="en-US" w:eastAsia="zh-CN"/>
              </w:rPr>
              <w:t xml:space="preserve">    </w:t>
            </w:r>
          </w:p>
          <w:p>
            <w:pPr>
              <w:numPr>
                <w:ilvl w:val="0"/>
                <w:numId w:val="0"/>
              </w:numPr>
              <w:spacing w:line="240" w:lineRule="exact"/>
              <w:ind w:leftChars="-50"/>
              <w:rPr>
                <w:rFonts w:hint="default" w:ascii="宋体" w:hAnsi="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sz w:val="20"/>
                <w:szCs w:val="20"/>
              </w:rPr>
              <w:t>能稳定向顾客提供较满意的销售服务。对顾客进行满意度调查，并进行了简要分析。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lang w:val="en-US" w:eastAsia="zh-CN"/>
              </w:rPr>
              <w:t xml:space="preserve">  </w:t>
            </w:r>
            <w:r>
              <w:rPr>
                <w:rFonts w:hint="eastAsia"/>
                <w:b w:val="0"/>
                <w:bCs/>
                <w:color w:val="000000" w:themeColor="text1"/>
                <w:sz w:val="20"/>
                <w:szCs w:val="20"/>
              </w:rPr>
              <w:t>本年度内审已按计划实施，内审策划审核方案中考虑了拟审核的过程和区域的状况和重要性，内审时间20</w:t>
            </w:r>
            <w:r>
              <w:rPr>
                <w:rFonts w:hint="eastAsia"/>
                <w:b w:val="0"/>
                <w:bCs/>
                <w:color w:val="000000" w:themeColor="text1"/>
                <w:sz w:val="20"/>
                <w:szCs w:val="20"/>
                <w:lang w:val="en-US" w:eastAsia="zh-CN"/>
              </w:rPr>
              <w:t>20</w:t>
            </w:r>
            <w:r>
              <w:rPr>
                <w:rFonts w:hint="eastAsia"/>
                <w:b w:val="0"/>
                <w:bCs/>
                <w:color w:val="000000" w:themeColor="text1"/>
                <w:sz w:val="20"/>
                <w:szCs w:val="20"/>
              </w:rPr>
              <w:t>.6.1</w:t>
            </w:r>
            <w:r>
              <w:rPr>
                <w:rFonts w:hint="eastAsia"/>
                <w:b w:val="0"/>
                <w:bCs/>
                <w:color w:val="000000" w:themeColor="text1"/>
                <w:sz w:val="20"/>
                <w:szCs w:val="20"/>
                <w:lang w:eastAsia="zh-CN"/>
              </w:rPr>
              <w:t>，</w:t>
            </w:r>
            <w:r>
              <w:rPr>
                <w:rFonts w:hint="eastAsia"/>
                <w:b w:val="0"/>
                <w:bCs/>
                <w:color w:val="000000" w:themeColor="text1"/>
                <w:sz w:val="20"/>
                <w:szCs w:val="20"/>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b/>
                <w:color w:val="000000" w:themeColor="text1"/>
                <w:sz w:val="20"/>
                <w:szCs w:val="20"/>
              </w:rPr>
              <w:t xml:space="preserve"> </w:t>
            </w:r>
            <w:r>
              <w:rPr>
                <w:rFonts w:hint="eastAsia"/>
                <w:b w:val="0"/>
                <w:bCs/>
                <w:color w:val="000000" w:themeColor="text1"/>
                <w:sz w:val="20"/>
                <w:szCs w:val="20"/>
              </w:rPr>
              <w:t>本年度管理评审已按计划实施，管理评审时间：20</w:t>
            </w:r>
            <w:r>
              <w:rPr>
                <w:rFonts w:hint="eastAsia"/>
                <w:b w:val="0"/>
                <w:bCs/>
                <w:color w:val="000000" w:themeColor="text1"/>
                <w:sz w:val="20"/>
                <w:szCs w:val="20"/>
                <w:lang w:val="en-US" w:eastAsia="zh-CN"/>
              </w:rPr>
              <w:t>20</w:t>
            </w:r>
            <w:r>
              <w:rPr>
                <w:rFonts w:hint="eastAsia"/>
                <w:b w:val="0"/>
                <w:bCs/>
                <w:color w:val="000000" w:themeColor="text1"/>
                <w:sz w:val="20"/>
                <w:szCs w:val="20"/>
              </w:rPr>
              <w:t>年</w:t>
            </w:r>
            <w:r>
              <w:rPr>
                <w:rFonts w:hint="eastAsia"/>
                <w:b w:val="0"/>
                <w:bCs/>
                <w:color w:val="000000" w:themeColor="text1"/>
                <w:sz w:val="20"/>
                <w:szCs w:val="20"/>
                <w:lang w:val="en-US" w:eastAsia="zh-CN"/>
              </w:rPr>
              <w:t>6</w:t>
            </w:r>
            <w:r>
              <w:rPr>
                <w:rFonts w:hint="eastAsia"/>
                <w:b w:val="0"/>
                <w:bCs/>
                <w:color w:val="000000" w:themeColor="text1"/>
                <w:sz w:val="20"/>
                <w:szCs w:val="20"/>
              </w:rPr>
              <w:t>月</w:t>
            </w:r>
            <w:r>
              <w:rPr>
                <w:rFonts w:hint="eastAsia"/>
                <w:b w:val="0"/>
                <w:bCs/>
                <w:color w:val="000000" w:themeColor="text1"/>
                <w:sz w:val="20"/>
                <w:szCs w:val="20"/>
                <w:lang w:val="en-US" w:eastAsia="zh-CN"/>
              </w:rPr>
              <w:t>10</w:t>
            </w:r>
            <w:r>
              <w:rPr>
                <w:rFonts w:hint="eastAsia"/>
                <w:b w:val="0"/>
                <w:bCs/>
                <w:color w:val="000000" w:themeColor="text1"/>
                <w:sz w:val="20"/>
                <w:szCs w:val="20"/>
              </w:rPr>
              <w:t>日，管理评审考虑了体系变更需求，评审了方针有效、适宜和充分。制定了改进措施，体系运行基本有效。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jc w:val="both"/>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b w:val="0"/>
                <w:bCs/>
                <w:color w:val="000000" w:themeColor="text1"/>
                <w:sz w:val="20"/>
                <w:szCs w:val="20"/>
              </w:rPr>
              <w:t xml:space="preserve"> </w:t>
            </w:r>
            <w:r>
              <w:rPr>
                <w:rFonts w:hint="eastAsia"/>
                <w:b w:val="0"/>
                <w:bCs/>
                <w:color w:val="000000" w:themeColor="text1"/>
                <w:sz w:val="20"/>
                <w:szCs w:val="20"/>
              </w:rPr>
              <w:t>该公司主要污染物是火灾、固体废弃物，公司定期对防止火灾的灭火器和消防栓等设施协同物业检查有效性及废纸、墨盒等固废运行实施检查，结果基本满足相关要求。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widowControl w:val="0"/>
              <w:numPr>
                <w:ilvl w:val="0"/>
                <w:numId w:val="0"/>
              </w:numPr>
              <w:spacing w:line="240" w:lineRule="exact"/>
              <w:jc w:val="both"/>
              <w:rPr>
                <w:rFonts w:ascii="宋体" w:hAnsi="宋体"/>
                <w:b/>
                <w:sz w:val="21"/>
                <w:szCs w:val="21"/>
              </w:rPr>
            </w:pPr>
          </w:p>
          <w:p>
            <w:pPr>
              <w:widowControl w:val="0"/>
              <w:numPr>
                <w:ilvl w:val="0"/>
                <w:numId w:val="0"/>
              </w:numPr>
              <w:spacing w:line="240" w:lineRule="exact"/>
              <w:jc w:val="both"/>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sz w:val="20"/>
                <w:szCs w:val="20"/>
                <w:lang w:val="en-US" w:eastAsia="zh-CN"/>
              </w:rPr>
              <w:t>不适用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jc w:val="both"/>
              <w:rPr>
                <w:rFonts w:hint="default" w:ascii="宋体" w:hAnsi="宋体" w:eastAsia="宋体"/>
                <w:b w:val="0"/>
                <w:bCs/>
                <w:sz w:val="21"/>
                <w:szCs w:val="21"/>
                <w:lang w:val="en-US" w:eastAsia="zh-CN"/>
              </w:rPr>
            </w:pPr>
            <w:r>
              <w:rPr>
                <w:rFonts w:hint="eastAsia" w:ascii="宋体" w:hAnsi="宋体"/>
                <w:b/>
                <w:sz w:val="21"/>
                <w:szCs w:val="21"/>
                <w:lang w:val="en-US" w:eastAsia="zh-CN"/>
              </w:rPr>
              <w:t xml:space="preserve"> </w:t>
            </w:r>
            <w:r>
              <w:rPr>
                <w:rFonts w:hint="eastAsia" w:ascii="宋体" w:hAnsi="宋体"/>
                <w:b w:val="0"/>
                <w:bCs/>
                <w:sz w:val="21"/>
                <w:szCs w:val="21"/>
                <w:lang w:val="en-US" w:eastAsia="zh-CN"/>
              </w:rPr>
              <w:t xml:space="preserve"> </w:t>
            </w:r>
            <w:r>
              <w:rPr>
                <w:rFonts w:hint="eastAsia"/>
                <w:b w:val="0"/>
                <w:bCs/>
                <w:color w:val="000000" w:themeColor="text1"/>
                <w:sz w:val="20"/>
                <w:szCs w:val="20"/>
              </w:rPr>
              <w:t>公司定期对职业健康安全管理体系运行进行检查，结果基本满足相关要求。</w:t>
            </w:r>
          </w:p>
          <w:p>
            <w:pPr>
              <w:spacing w:line="300" w:lineRule="exact"/>
              <w:rPr>
                <w:rFonts w:ascii="宋体" w:hAnsi="宋体"/>
                <w:b w:val="0"/>
                <w:bCs/>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b w:val="0"/>
                <w:bCs/>
                <w:color w:val="000000" w:themeColor="text1"/>
                <w:sz w:val="20"/>
                <w:szCs w:val="20"/>
              </w:rPr>
              <w:t>荣获2018年度“能源革命，大同尖兵”突出贡献奖  总经理赵建新荣获“能源革命，大同尖兵”奖。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b w:val="0"/>
                <w:bCs/>
                <w:color w:val="000000" w:themeColor="text1"/>
                <w:sz w:val="20"/>
                <w:szCs w:val="20"/>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lang w:val="en-US" w:eastAsia="zh-CN"/>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 xml:space="preserve">   </w:t>
            </w:r>
          </w:p>
          <w:p>
            <w:pPr>
              <w:numPr>
                <w:ilvl w:val="0"/>
                <w:numId w:val="0"/>
              </w:numPr>
              <w:spacing w:line="240" w:lineRule="exact"/>
              <w:rPr>
                <w:rFonts w:hint="eastAsia"/>
                <w:b/>
                <w:color w:val="000000" w:themeColor="text1"/>
                <w:sz w:val="20"/>
                <w:szCs w:val="20"/>
              </w:rPr>
            </w:pPr>
          </w:p>
          <w:p>
            <w:pPr>
              <w:numPr>
                <w:ilvl w:val="0"/>
                <w:numId w:val="0"/>
              </w:numPr>
              <w:spacing w:line="240" w:lineRule="exact"/>
              <w:ind w:firstLine="800" w:firstLineChars="400"/>
              <w:rPr>
                <w:rFonts w:hint="default" w:ascii="宋体" w:hAnsi="宋体" w:eastAsia="宋体"/>
                <w:b/>
                <w:sz w:val="21"/>
                <w:szCs w:val="21"/>
                <w:lang w:val="en-US" w:eastAsia="zh-CN"/>
              </w:rPr>
            </w:pPr>
            <w:r>
              <w:rPr>
                <w:rFonts w:hint="eastAsia"/>
                <w:b w:val="0"/>
                <w:bCs/>
                <w:color w:val="000000" w:themeColor="text1"/>
                <w:sz w:val="20"/>
                <w:szCs w:val="20"/>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lang w:val="en-US" w:eastAsia="zh-CN"/>
              </w:rPr>
            </w:pPr>
            <w:r>
              <w:rPr>
                <w:rFonts w:hint="eastAsia" w:ascii="宋体" w:hAnsi="宋体"/>
                <w:b/>
                <w:sz w:val="21"/>
                <w:szCs w:val="21"/>
              </w:rPr>
              <w:t>创新情况</w:t>
            </w:r>
            <w:r>
              <w:rPr>
                <w:rFonts w:hint="eastAsia" w:ascii="宋体" w:hAnsi="宋体"/>
                <w:b/>
                <w:sz w:val="21"/>
                <w:szCs w:val="21"/>
                <w:lang w:val="en-US" w:eastAsia="zh-CN"/>
              </w:rPr>
              <w:t xml:space="preserve">   </w:t>
            </w:r>
          </w:p>
          <w:p>
            <w:pPr>
              <w:widowControl w:val="0"/>
              <w:numPr>
                <w:ilvl w:val="0"/>
                <w:numId w:val="0"/>
              </w:numPr>
              <w:spacing w:line="240" w:lineRule="exact"/>
              <w:jc w:val="both"/>
              <w:rPr>
                <w:rFonts w:hint="eastAsia" w:ascii="宋体" w:hAnsi="宋体"/>
                <w:b/>
                <w:sz w:val="21"/>
                <w:szCs w:val="21"/>
                <w:lang w:val="en-US" w:eastAsia="zh-CN"/>
              </w:rPr>
            </w:pPr>
            <w:r>
              <w:rPr>
                <w:rFonts w:hint="eastAsia" w:ascii="宋体" w:hAnsi="宋体"/>
                <w:b/>
                <w:sz w:val="21"/>
                <w:szCs w:val="21"/>
                <w:lang w:val="en-US" w:eastAsia="zh-CN"/>
              </w:rPr>
              <w:t xml:space="preserve">  </w:t>
            </w:r>
          </w:p>
          <w:p>
            <w:pPr>
              <w:widowControl w:val="0"/>
              <w:numPr>
                <w:ilvl w:val="0"/>
                <w:numId w:val="0"/>
              </w:numPr>
              <w:spacing w:line="240" w:lineRule="exact"/>
              <w:jc w:val="both"/>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rPr>
              <w:t>无创新</w:t>
            </w:r>
            <w:r>
              <w:rPr>
                <w:rFonts w:hint="eastAsia"/>
                <w:b w:val="0"/>
                <w:bCs/>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b w:val="0"/>
                <w:bCs/>
                <w:color w:val="000000" w:themeColor="text1"/>
                <w:sz w:val="21"/>
                <w:szCs w:val="21"/>
                <w:lang w:val="en-US" w:eastAsia="zh-CN"/>
              </w:rPr>
              <w:t>经现场检查，办公室已经配备了灭火器，办公室人员也了解应急预案及应急物资准备情况，纠正措施有效。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2"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p>
          <w:p>
            <w:pPr>
              <w:spacing w:line="280" w:lineRule="exact"/>
              <w:ind w:firstLine="200" w:firstLineChars="100"/>
              <w:rPr>
                <w:rFonts w:ascii="宋体" w:hAnsi="宋体"/>
                <w:b w:val="0"/>
                <w:bCs/>
                <w:szCs w:val="21"/>
              </w:rPr>
            </w:pPr>
            <w:r>
              <w:rPr>
                <w:rFonts w:hint="eastAsia"/>
                <w:b w:val="0"/>
                <w:bCs/>
                <w:color w:val="000000" w:themeColor="text1"/>
                <w:sz w:val="20"/>
                <w:szCs w:val="20"/>
              </w:rPr>
              <w:t>该公司建立并实施的质量、环境、职业健康安全管理体系基本符合标准要求，对可能存在的重要风险基本可以得到有效控制，服务质量稳定，没有出现过质量、环境和职业健康安全事故以及顾客投诉等事件，该公司初步建立了自我完善和自我改进机制，管理体系运行基本有效。现场开</w:t>
            </w:r>
            <w:r>
              <w:rPr>
                <w:rFonts w:hint="eastAsia" w:ascii="Times New Roman" w:hAnsi="Times New Roman" w:cs="Times New Roman"/>
                <w:b w:val="0"/>
                <w:bCs/>
                <w:color w:val="000000" w:themeColor="text1"/>
                <w:sz w:val="20"/>
                <w:szCs w:val="20"/>
              </w:rPr>
              <w:t>具的</w:t>
            </w:r>
            <w:r>
              <w:rPr>
                <w:rFonts w:hint="eastAsia" w:ascii="Times New Roman" w:hAnsi="Times New Roman" w:cs="Times New Roman"/>
                <w:b w:val="0"/>
                <w:bCs/>
                <w:color w:val="000000" w:themeColor="text1"/>
                <w:sz w:val="20"/>
                <w:szCs w:val="20"/>
                <w:lang w:val="en-US" w:eastAsia="zh-CN"/>
              </w:rPr>
              <w:t>0</w:t>
            </w:r>
            <w:r>
              <w:rPr>
                <w:rFonts w:hint="eastAsia" w:ascii="Times New Roman" w:hAnsi="Times New Roman" w:cs="Times New Roman"/>
                <w:b w:val="0"/>
                <w:bCs/>
                <w:color w:val="000000" w:themeColor="text1"/>
                <w:sz w:val="20"/>
                <w:szCs w:val="20"/>
              </w:rPr>
              <w:t>项一般不</w:t>
            </w:r>
            <w:r>
              <w:rPr>
                <w:rFonts w:hint="eastAsia"/>
                <w:b w:val="0"/>
                <w:bCs/>
                <w:color w:val="000000" w:themeColor="text1"/>
                <w:sz w:val="20"/>
                <w:szCs w:val="20"/>
              </w:rPr>
              <w:t>符合在规定的期限内采取纠正措施并经审核组书面验证有效，同意推荐该公司质量、环境、职业健康安全管理体系认证注册。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r>
        <w:drawing>
          <wp:anchor distT="0" distB="0" distL="114300" distR="114300" simplePos="0" relativeHeight="251665408" behindDoc="1" locked="0" layoutInCell="1" allowOverlap="1">
            <wp:simplePos x="0" y="0"/>
            <wp:positionH relativeFrom="column">
              <wp:posOffset>1885315</wp:posOffset>
            </wp:positionH>
            <wp:positionV relativeFrom="paragraph">
              <wp:posOffset>202565</wp:posOffset>
            </wp:positionV>
            <wp:extent cx="497840" cy="504190"/>
            <wp:effectExtent l="0" t="0" r="10160" b="3810"/>
            <wp:wrapTight wrapText="bothSides">
              <wp:wrapPolygon>
                <wp:start x="0" y="0"/>
                <wp:lineTo x="0" y="21219"/>
                <wp:lineTo x="20939" y="21219"/>
                <wp:lineTo x="2093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rFonts w:hint="eastAsia" w:eastAsia="宋体"/>
          <w:b/>
          <w:sz w:val="21"/>
          <w:lang w:val="en-US" w:eastAsia="zh-CN"/>
        </w:rPr>
      </w:pPr>
      <w:r>
        <w:rPr>
          <w:rFonts w:hint="eastAsia"/>
          <w:b/>
          <w:sz w:val="21"/>
        </w:rPr>
        <w:t>审核组组员（签名）：</w:t>
      </w:r>
      <w:r>
        <w:rPr>
          <w:rFonts w:hint="eastAsia"/>
          <w:b/>
          <w:sz w:val="21"/>
          <w:lang w:val="en-US" w:eastAsia="zh-CN"/>
        </w:rPr>
        <w:t>姜小清</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2020.9.29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2160" w:firstLineChars="900"/>
        <w:rPr>
          <w:rFonts w:hint="eastAsia"/>
          <w:b/>
          <w:sz w:val="21"/>
          <w:szCs w:val="21"/>
        </w:rPr>
      </w:pPr>
      <w:r>
        <w:drawing>
          <wp:anchor distT="0" distB="0" distL="114300" distR="114300" simplePos="0" relativeHeight="251666432" behindDoc="1" locked="0" layoutInCell="1" allowOverlap="1">
            <wp:simplePos x="0" y="0"/>
            <wp:positionH relativeFrom="column">
              <wp:posOffset>1266190</wp:posOffset>
            </wp:positionH>
            <wp:positionV relativeFrom="paragraph">
              <wp:posOffset>188595</wp:posOffset>
            </wp:positionV>
            <wp:extent cx="497840" cy="504190"/>
            <wp:effectExtent l="0" t="0" r="10160" b="3810"/>
            <wp:wrapTight wrapText="bothSides">
              <wp:wrapPolygon>
                <wp:start x="0" y="0"/>
                <wp:lineTo x="0" y="21219"/>
                <wp:lineTo x="20939" y="21219"/>
                <wp:lineTo x="20939"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CA323"/>
    <w:multiLevelType w:val="singleLevel"/>
    <w:tmpl w:val="9C0CA323"/>
    <w:lvl w:ilvl="0" w:tentative="0">
      <w:start w:val="5"/>
      <w:numFmt w:val="decimal"/>
      <w:suff w:val="space"/>
      <w:lvlText w:val="%1."/>
      <w:lvlJc w:val="left"/>
    </w:lvl>
  </w:abstractNum>
  <w:abstractNum w:abstractNumId="1">
    <w:nsid w:val="AF0384EF"/>
    <w:multiLevelType w:val="singleLevel"/>
    <w:tmpl w:val="AF0384EF"/>
    <w:lvl w:ilvl="0" w:tentative="0">
      <w:start w:val="6"/>
      <w:numFmt w:val="decimal"/>
      <w:suff w:val="space"/>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0E11CBEE"/>
    <w:multiLevelType w:val="singleLevel"/>
    <w:tmpl w:val="0E11CBEE"/>
    <w:lvl w:ilvl="0" w:tentative="0">
      <w:start w:val="2"/>
      <w:numFmt w:val="decimal"/>
      <w:lvlText w:val="%1."/>
      <w:lvlJc w:val="left"/>
      <w:pPr>
        <w:tabs>
          <w:tab w:val="left" w:pos="312"/>
        </w:tabs>
      </w:pPr>
    </w:lvl>
  </w:abstractNum>
  <w:abstractNum w:abstractNumId="4">
    <w:nsid w:val="33917EC8"/>
    <w:multiLevelType w:val="singleLevel"/>
    <w:tmpl w:val="33917EC8"/>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59524D"/>
    <w:rsid w:val="1644026F"/>
    <w:rsid w:val="34937E8C"/>
    <w:rsid w:val="3CE1147A"/>
    <w:rsid w:val="630A5A0C"/>
    <w:rsid w:val="6E682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开门大吉～ISO认证服务</cp:lastModifiedBy>
  <cp:lastPrinted>2019-04-18T08:15:00Z</cp:lastPrinted>
  <dcterms:modified xsi:type="dcterms:W3CDTF">2020-09-29T02:50:02Z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