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、"/>
            <w:bookmarkStart w:id="5" w:name="审核类型"/>
            <w:r>
              <w:rPr>
                <w:rFonts w:hint="eastAsia"/>
                <w:b/>
                <w:szCs w:val="21"/>
              </w:rPr>
              <w:t>Q:监查1,E:监查1,O:监查1</w:t>
            </w:r>
            <w:bookmarkEnd w:id="4"/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德玛仕河北仪器仪表有限公司</w:t>
            </w:r>
            <w:bookmarkEnd w:id="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lang w:val="en-US" w:eastAsia="zh-CN"/>
              </w:rPr>
              <w:t>办公室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  <w:sz w:val="21"/>
                <w:lang w:val="en-US" w:eastAsia="zh-CN"/>
              </w:rPr>
              <w:t>孙恒叶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  <w:r>
              <w:rPr>
                <w:rFonts w:hint="eastAsia" w:ascii="Times New Roman" w:hAnsi="Times New Roman" w:cs="Times New Roman"/>
                <w:sz w:val="21"/>
                <w:lang w:val="en-US" w:eastAsia="zh-CN"/>
              </w:rPr>
              <w:t>未能提供对员工进行查体的证据。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28001-2011 idt OHSAS 18001:2007标准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4.5.1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2553335</wp:posOffset>
                  </wp:positionH>
                  <wp:positionV relativeFrom="paragraph">
                    <wp:posOffset>134620</wp:posOffset>
                  </wp:positionV>
                  <wp:extent cx="744855" cy="754380"/>
                  <wp:effectExtent l="0" t="0" r="4445" b="7620"/>
                  <wp:wrapTight wrapText="bothSides">
                    <wp:wrapPolygon>
                      <wp:start x="0" y="0"/>
                      <wp:lineTo x="0" y="21091"/>
                      <wp:lineTo x="21361" y="21091"/>
                      <wp:lineTo x="21361" y="0"/>
                      <wp:lineTo x="0" y="0"/>
                    </wp:wrapPolygon>
                  </wp:wrapTight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 contrast="8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75438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alpha val="56000"/>
                            </a:srgbClr>
                          </a:solidFill>
                          <a:ln>
                            <a:noFill/>
                          </a:ln>
                          <a:effectLst>
                            <a:outerShdw algn="ctr" rotWithShape="0">
                              <a:srgbClr val="808080">
                                <a:alpha val="10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  <w:lang w:eastAsia="zh-C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4639945</wp:posOffset>
                  </wp:positionH>
                  <wp:positionV relativeFrom="paragraph">
                    <wp:posOffset>18415</wp:posOffset>
                  </wp:positionV>
                  <wp:extent cx="926465" cy="698500"/>
                  <wp:effectExtent l="0" t="0" r="635" b="0"/>
                  <wp:wrapSquare wrapText="bothSides"/>
                  <wp:docPr id="4" name="图片 4" descr="c4a3de7b48136ffd63e71f81253aa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4a3de7b48136ffd63e71f81253aaa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bright="4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730885</wp:posOffset>
                  </wp:positionH>
                  <wp:positionV relativeFrom="paragraph">
                    <wp:posOffset>71120</wp:posOffset>
                  </wp:positionV>
                  <wp:extent cx="744855" cy="754380"/>
                  <wp:effectExtent l="0" t="0" r="4445" b="7620"/>
                  <wp:wrapTight wrapText="bothSides">
                    <wp:wrapPolygon>
                      <wp:start x="0" y="0"/>
                      <wp:lineTo x="0" y="21091"/>
                      <wp:lineTo x="21361" y="21091"/>
                      <wp:lineTo x="21361" y="0"/>
                      <wp:lineTo x="0" y="0"/>
                    </wp:wrapPolygon>
                  </wp:wrapTight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 contrast="8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75438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alpha val="56000"/>
                            </a:srgbClr>
                          </a:solidFill>
                          <a:ln>
                            <a:noFill/>
                          </a:ln>
                          <a:effectLst>
                            <a:outerShdw algn="ctr" rotWithShape="0">
                              <a:srgbClr val="808080">
                                <a:alpha val="10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after="80"/>
              <w:rPr>
                <w:rFonts w:hint="eastAsia" w:ascii="方正仿宋简体" w:eastAsia="方正仿宋简体"/>
                <w:b/>
                <w:sz w:val="24"/>
                <w:lang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80"/>
              <w:rPr>
                <w:rFonts w:hint="eastAsia" w:ascii="方正仿宋简体" w:eastAsia="方正仿宋简体"/>
                <w:b/>
                <w:sz w:val="24"/>
              </w:rPr>
            </w:pPr>
          </w:p>
          <w:p>
            <w:pPr>
              <w:spacing w:before="120" w:after="80"/>
              <w:rPr>
                <w:rFonts w:hint="eastAsia" w:ascii="方正仿宋简体" w:eastAsia="方正仿宋简体"/>
                <w:b/>
                <w:sz w:val="24"/>
              </w:rPr>
            </w:pP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2020.9.25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2020.9.25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2020.9.25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default" w:ascii="方正仿宋简体" w:eastAsia="宋体"/>
                <w:b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经检查，企业以及安排员工查体，有体检报告；再询查办公室负责人，已经对GB/T28001-2011标准4.5.1条款，</w:t>
            </w:r>
            <w:r>
              <w:t>对职业健康安全绩效进行例行监视和测量。</w:t>
            </w:r>
            <w:r>
              <w:rPr>
                <w:rFonts w:hint="eastAsia"/>
                <w:lang w:val="en-US" w:eastAsia="zh-CN"/>
              </w:rPr>
              <w:t>理解透彻。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4026535</wp:posOffset>
                  </wp:positionH>
                  <wp:positionV relativeFrom="paragraph">
                    <wp:posOffset>165100</wp:posOffset>
                  </wp:positionV>
                  <wp:extent cx="744855" cy="754380"/>
                  <wp:effectExtent l="0" t="0" r="4445" b="7620"/>
                  <wp:wrapTight wrapText="bothSides">
                    <wp:wrapPolygon>
                      <wp:start x="0" y="0"/>
                      <wp:lineTo x="0" y="21091"/>
                      <wp:lineTo x="21361" y="21091"/>
                      <wp:lineTo x="21361" y="0"/>
                      <wp:lineTo x="0" y="0"/>
                    </wp:wrapPolygon>
                  </wp:wrapTight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 contrast="8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75438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alpha val="56000"/>
                            </a:srgbClr>
                          </a:solidFill>
                          <a:ln>
                            <a:noFill/>
                          </a:ln>
                          <a:effectLst>
                            <a:outerShdw algn="ctr" rotWithShape="0">
                              <a:srgbClr val="808080">
                                <a:alpha val="10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2020.9.26</w:t>
            </w:r>
            <w:r>
              <w:rPr>
                <w:rFonts w:hint="eastAsia" w:ascii="方正仿宋简体" w:eastAsia="方正仿宋简体"/>
                <w:b/>
              </w:rPr>
              <w:t xml:space="preserve">      </w:t>
            </w:r>
          </w:p>
        </w:tc>
      </w:tr>
    </w:tbl>
    <w:p>
      <w:pPr>
        <w:widowControl/>
        <w:jc w:val="center"/>
        <w:rPr>
          <w:rFonts w:eastAsia="黑体"/>
          <w:sz w:val="24"/>
        </w:rPr>
      </w:pPr>
      <w:r>
        <w:rPr>
          <w:rFonts w:eastAsia="黑体"/>
          <w:sz w:val="24"/>
        </w:rPr>
        <w:br w:type="page"/>
      </w:r>
    </w:p>
    <w:p>
      <w:pPr>
        <w:widowControl/>
        <w:jc w:val="center"/>
        <w:rPr>
          <w:rFonts w:hint="eastAsia" w:eastAsia="黑体"/>
          <w:sz w:val="24"/>
          <w:lang w:eastAsia="zh-CN"/>
        </w:rPr>
      </w:pPr>
      <w:r>
        <w:rPr>
          <w:rFonts w:hint="eastAsia" w:eastAsia="黑体"/>
          <w:sz w:val="24"/>
          <w:lang w:eastAsia="zh-CN"/>
        </w:rPr>
        <w:drawing>
          <wp:inline distT="0" distB="0" distL="114300" distR="114300">
            <wp:extent cx="6320790" cy="9223375"/>
            <wp:effectExtent l="0" t="0" r="3810" b="9525"/>
            <wp:docPr id="6" name="图片 6" descr="b5868cdb7cd80829ea6e067400256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5868cdb7cd80829ea6e0674002562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3655" cy="9028430"/>
            <wp:effectExtent l="0" t="0" r="4445" b="1270"/>
            <wp:docPr id="7" name="图片 7" descr="体检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体检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902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3655" cy="9028430"/>
            <wp:effectExtent l="0" t="0" r="4445" b="1270"/>
            <wp:docPr id="8" name="图片 8" descr="体检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体检_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902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3655" cy="9028430"/>
            <wp:effectExtent l="0" t="0" r="4445" b="1270"/>
            <wp:docPr id="9" name="图片 9" descr="体检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体检_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902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3655" cy="9028430"/>
            <wp:effectExtent l="0" t="0" r="4445" b="1270"/>
            <wp:docPr id="10" name="图片 10" descr="体检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体检_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902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3655" cy="9028430"/>
            <wp:effectExtent l="0" t="0" r="4445" b="1270"/>
            <wp:docPr id="11" name="图片 11" descr="体检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体检_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902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eastAsia="黑体"/>
          <w:sz w:val="36"/>
          <w:lang w:eastAsia="zh-CN"/>
        </w:rPr>
      </w:pPr>
      <w:r>
        <w:rPr>
          <w:rFonts w:hint="eastAsia" w:ascii="黑体" w:eastAsia="黑体"/>
          <w:sz w:val="36"/>
          <w:lang w:eastAsia="zh-CN"/>
        </w:rPr>
        <w:drawing>
          <wp:inline distT="0" distB="0" distL="114300" distR="114300">
            <wp:extent cx="6386830" cy="8771255"/>
            <wp:effectExtent l="0" t="0" r="1270" b="4445"/>
            <wp:docPr id="12" name="图片 12" descr="体检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体检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>
      <w:pPr>
        <w:jc w:val="center"/>
        <w:rPr>
          <w:rFonts w:hint="eastAsia" w:ascii="黑体" w:eastAsia="黑体"/>
          <w:szCs w:val="21"/>
        </w:rPr>
      </w:pPr>
      <w:r>
        <w:rPr>
          <w:rFonts w:hint="eastAsia" w:ascii="黑体" w:eastAsia="黑体"/>
          <w:sz w:val="36"/>
        </w:rPr>
        <w:t>培训有效性评价记录</w:t>
      </w:r>
      <w:r>
        <w:rPr>
          <w:rFonts w:hint="eastAsia" w:ascii="黑体" w:eastAsia="黑体"/>
          <w:szCs w:val="21"/>
        </w:rPr>
        <w:t xml:space="preserve">  </w:t>
      </w:r>
    </w:p>
    <w:p>
      <w:pPr>
        <w:jc w:val="center"/>
        <w:rPr>
          <w:rFonts w:hint="eastAsia" w:ascii="黑体" w:eastAsia="黑体"/>
          <w:szCs w:val="21"/>
        </w:rPr>
      </w:pPr>
      <w:r>
        <w:rPr>
          <w:rFonts w:hint="eastAsia" w:ascii="黑体" w:eastAsia="黑体"/>
          <w:szCs w:val="21"/>
        </w:rPr>
        <w:t xml:space="preserve">                                                        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6"/>
        <w:gridCol w:w="2252"/>
        <w:gridCol w:w="1800"/>
        <w:gridCol w:w="48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培训时间</w:t>
            </w:r>
          </w:p>
        </w:tc>
        <w:tc>
          <w:tcPr>
            <w:tcW w:w="22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</w:rPr>
              <w:t>20</w:t>
            </w:r>
            <w:r>
              <w:rPr>
                <w:rFonts w:hint="eastAsia"/>
                <w:szCs w:val="22"/>
                <w:lang w:val="en-US" w:eastAsia="zh-CN"/>
              </w:rPr>
              <w:t>20</w:t>
            </w:r>
            <w:r>
              <w:rPr>
                <w:rFonts w:hint="eastAsia"/>
                <w:szCs w:val="22"/>
              </w:rPr>
              <w:t>.</w:t>
            </w:r>
            <w:r>
              <w:rPr>
                <w:rFonts w:hint="eastAsia"/>
                <w:szCs w:val="22"/>
                <w:lang w:val="en-US" w:eastAsia="zh-CN"/>
              </w:rPr>
              <w:t>9</w:t>
            </w:r>
            <w:r>
              <w:rPr>
                <w:rFonts w:hint="eastAsia"/>
                <w:szCs w:val="22"/>
              </w:rPr>
              <w:t>.</w:t>
            </w:r>
            <w:r>
              <w:rPr>
                <w:rFonts w:hint="eastAsia"/>
                <w:szCs w:val="22"/>
                <w:lang w:val="en-US" w:eastAsia="zh-CN"/>
              </w:rPr>
              <w:t>25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培训课程</w:t>
            </w:r>
          </w:p>
        </w:tc>
        <w:tc>
          <w:tcPr>
            <w:tcW w:w="4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/>
                <w:szCs w:val="22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GB/T</w:t>
            </w:r>
            <w:r>
              <w:rPr>
                <w:rFonts w:ascii="宋体" w:hAnsi="宋体"/>
                <w:sz w:val="24"/>
                <w:szCs w:val="24"/>
              </w:rPr>
              <w:t>28001</w:t>
            </w:r>
            <w:r>
              <w:rPr>
                <w:rFonts w:hint="eastAsia" w:ascii="宋体" w:hAnsi="宋体"/>
                <w:sz w:val="24"/>
                <w:szCs w:val="24"/>
              </w:rPr>
              <w:t>-201</w:t>
            </w:r>
            <w:r>
              <w:rPr>
                <w:rFonts w:ascii="宋体" w:hAnsi="宋体"/>
                <w:sz w:val="24"/>
                <w:szCs w:val="24"/>
              </w:rPr>
              <w:t>1</w:t>
            </w:r>
            <w:r>
              <w:rPr>
                <w:rFonts w:hint="eastAsia" w:ascii="宋体" w:hAnsi="宋体"/>
                <w:sz w:val="24"/>
                <w:szCs w:val="24"/>
              </w:rPr>
              <w:t>标准</w:t>
            </w:r>
            <w:r>
              <w:rPr>
                <w:rFonts w:ascii="宋体" w:hAnsi="宋体"/>
                <w:sz w:val="24"/>
                <w:szCs w:val="24"/>
              </w:rPr>
              <w:t>4</w:t>
            </w:r>
            <w:r>
              <w:rPr>
                <w:rFonts w:hint="eastAsia" w:ascii="宋体" w:hAnsi="宋体"/>
                <w:sz w:val="24"/>
                <w:szCs w:val="24"/>
              </w:rPr>
              <w:t>.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sz w:val="24"/>
                <w:szCs w:val="24"/>
              </w:rPr>
              <w:t>.1条款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培训老师</w:t>
            </w:r>
          </w:p>
        </w:tc>
        <w:tc>
          <w:tcPr>
            <w:tcW w:w="89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eastAsia="宋体"/>
                <w:szCs w:val="22"/>
                <w:lang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周老师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</w:trPr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培训人员</w:t>
            </w:r>
          </w:p>
        </w:tc>
        <w:tc>
          <w:tcPr>
            <w:tcW w:w="89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柳星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0" w:hRule="atLeast"/>
        </w:trPr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left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培训内容</w:t>
            </w:r>
          </w:p>
        </w:tc>
        <w:tc>
          <w:tcPr>
            <w:tcW w:w="89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GB/T</w:t>
            </w:r>
            <w:r>
              <w:rPr>
                <w:szCs w:val="22"/>
              </w:rPr>
              <w:t>28001</w:t>
            </w:r>
            <w:r>
              <w:rPr>
                <w:rFonts w:hint="eastAsia"/>
                <w:szCs w:val="22"/>
              </w:rPr>
              <w:t>-201</w:t>
            </w:r>
            <w:r>
              <w:rPr>
                <w:szCs w:val="22"/>
              </w:rPr>
              <w:t>1</w:t>
            </w:r>
            <w:r>
              <w:rPr>
                <w:rFonts w:hint="eastAsia"/>
                <w:szCs w:val="22"/>
              </w:rPr>
              <w:t>标准</w:t>
            </w:r>
            <w:r>
              <w:rPr>
                <w:szCs w:val="22"/>
              </w:rPr>
              <w:t>4</w:t>
            </w:r>
            <w:r>
              <w:rPr>
                <w:rFonts w:hint="eastAsia"/>
                <w:szCs w:val="22"/>
              </w:rPr>
              <w:t>.</w:t>
            </w:r>
            <w:r>
              <w:rPr>
                <w:rFonts w:hint="eastAsia"/>
                <w:szCs w:val="22"/>
                <w:lang w:val="en-US" w:eastAsia="zh-CN"/>
              </w:rPr>
              <w:t>5</w:t>
            </w:r>
            <w:r>
              <w:rPr>
                <w:rFonts w:hint="eastAsia"/>
                <w:szCs w:val="22"/>
              </w:rPr>
              <w:t>.1条款</w:t>
            </w:r>
          </w:p>
          <w:p>
            <w:r>
              <w:t>组织应建立、实施并保持程序，对职业健康安全绩效进行例行监视和测量。程序应规定：</w:t>
            </w:r>
          </w:p>
          <w:p>
            <w:r>
              <w:t xml:space="preserve">    a)</w:t>
            </w:r>
            <w:r>
              <w:rPr>
                <w:rFonts w:hint="eastAsia"/>
              </w:rPr>
              <w:t xml:space="preserve">  </w:t>
            </w:r>
            <w:r>
              <w:t>适合组织需要的定性和定量测量；</w:t>
            </w:r>
          </w:p>
          <w:p>
            <w:r>
              <w:t xml:space="preserve">    b)</w:t>
            </w:r>
            <w:r>
              <w:rPr>
                <w:rFonts w:hint="eastAsia"/>
              </w:rPr>
              <w:t xml:space="preserve">  </w:t>
            </w:r>
            <w:r>
              <w:t>对组织职业健康安全目标满足程度的监视；</w:t>
            </w:r>
          </w:p>
          <w:p>
            <w:r>
              <w:t xml:space="preserve">    c)</w:t>
            </w:r>
            <w:r>
              <w:rPr>
                <w:rFonts w:hint="eastAsia"/>
              </w:rPr>
              <w:t xml:space="preserve">  </w:t>
            </w:r>
            <w:r>
              <w:t>对控制措施有效性（既针对健康也针对安全）的监视；</w:t>
            </w:r>
          </w:p>
          <w:p>
            <w:r>
              <w:t xml:space="preserve">    d)</w:t>
            </w:r>
            <w:r>
              <w:rPr>
                <w:rFonts w:hint="eastAsia"/>
              </w:rPr>
              <w:t xml:space="preserve">  </w:t>
            </w:r>
            <w:r>
              <w:t>主动性绩效测量，即监视是否符合职业健康安全方案、控制措施和运行准则；</w:t>
            </w:r>
          </w:p>
          <w:p>
            <w:pPr>
              <w:ind w:firstLine="420" w:firstLineChars="200"/>
            </w:pPr>
            <w:r>
              <w:t>e)</w:t>
            </w:r>
            <w:r>
              <w:rPr>
                <w:rFonts w:hint="eastAsia"/>
              </w:rPr>
              <w:t xml:space="preserve">  </w:t>
            </w:r>
            <w:r>
              <w:t>被动性绩效测量，即监视健康损害、事件（包括事故、未遂事件等）和其他不良职业健康安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 xml:space="preserve">    </w:t>
            </w:r>
            <w:r>
              <w:t>全绩效的历史证据；</w:t>
            </w:r>
          </w:p>
          <w:p>
            <w:r>
              <w:t xml:space="preserve">    f)  对监视和测量的数据和结果的记录，以便于其后续的纠正措施和预防措施的分析。</w:t>
            </w:r>
          </w:p>
          <w:p>
            <w:pPr>
              <w:jc w:val="left"/>
              <w:rPr>
                <w:rFonts w:hint="eastAsia" w:ascii="宋体" w:hAnsi="宋体"/>
                <w:sz w:val="24"/>
                <w:szCs w:val="24"/>
              </w:rPr>
            </w:pPr>
            <w:r>
              <w:t>如果测量或监视绩效需要设备，适当时，组织应建立并保持程序，对此类设备进行校准和维护。应保存校准和维护活动及其结果的记录。</w:t>
            </w:r>
          </w:p>
          <w:p>
            <w:pPr>
              <w:jc w:val="left"/>
              <w:rPr>
                <w:rFonts w:hint="eastAsia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8" w:hRule="atLeast"/>
        </w:trPr>
        <w:tc>
          <w:tcPr>
            <w:tcW w:w="1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left"/>
              <w:rPr>
                <w:rFonts w:hint="eastAsia" w:eastAsia="宋体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有效性评价</w:t>
            </w:r>
          </w:p>
        </w:tc>
        <w:tc>
          <w:tcPr>
            <w:tcW w:w="89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left"/>
              <w:rPr>
                <w:rFonts w:hint="eastAsia"/>
                <w:szCs w:val="22"/>
                <w:lang w:eastAsia="zh-CN"/>
              </w:rPr>
            </w:pPr>
            <w:r>
              <w:rPr>
                <w:rFonts w:hint="eastAsia"/>
                <w:szCs w:val="22"/>
              </w:rPr>
              <w:t>通过这次培训使对公司的相关人员对</w:t>
            </w:r>
            <w:r>
              <w:rPr>
                <w:rFonts w:hint="eastAsia"/>
                <w:szCs w:val="22"/>
                <w:lang w:val="en-US" w:eastAsia="zh-CN"/>
              </w:rPr>
              <w:t>职业健康安全</w:t>
            </w:r>
            <w:r>
              <w:rPr>
                <w:rFonts w:hint="eastAsia"/>
                <w:szCs w:val="22"/>
              </w:rPr>
              <w:t>管理体系有了比较系统的认识，对于GB/T28001-2011标准4.</w:t>
            </w:r>
            <w:r>
              <w:rPr>
                <w:rFonts w:hint="eastAsia"/>
                <w:szCs w:val="22"/>
                <w:lang w:val="en-US" w:eastAsia="zh-CN"/>
              </w:rPr>
              <w:t>5</w:t>
            </w:r>
            <w:r>
              <w:rPr>
                <w:rFonts w:hint="eastAsia"/>
                <w:szCs w:val="22"/>
              </w:rPr>
              <w:t>.1条款加深的理解，特别是</w:t>
            </w:r>
            <w:r>
              <w:rPr>
                <w:rFonts w:hint="eastAsia"/>
                <w:szCs w:val="22"/>
                <w:lang w:val="en-US" w:eastAsia="zh-CN"/>
              </w:rPr>
              <w:t>员工健康的主动检测</w:t>
            </w:r>
            <w:r>
              <w:rPr>
                <w:rFonts w:hint="eastAsia"/>
                <w:szCs w:val="22"/>
              </w:rPr>
              <w:t>有比较深的理解</w:t>
            </w:r>
            <w:r>
              <w:rPr>
                <w:rFonts w:hint="eastAsia"/>
                <w:szCs w:val="22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95" w:hRule="atLeast"/>
        </w:trPr>
        <w:tc>
          <w:tcPr>
            <w:tcW w:w="100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/>
                <w:szCs w:val="22"/>
              </w:rPr>
            </w:pPr>
            <w:r>
              <w:rPr>
                <w:rFonts w:hint="eastAsia"/>
                <w:szCs w:val="22"/>
              </w:rPr>
              <w:t>评估结论：培训实施有效</w:t>
            </w:r>
          </w:p>
          <w:p>
            <w:pPr>
              <w:ind w:left="7560" w:hanging="7560" w:hangingChars="3600"/>
              <w:jc w:val="left"/>
              <w:rPr>
                <w:rFonts w:hint="default" w:eastAsia="宋体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</w:rPr>
              <w:t xml:space="preserve">                                                                                             </w:t>
            </w:r>
            <w:r>
              <w:rPr>
                <w:rFonts w:hint="eastAsia"/>
                <w:szCs w:val="22"/>
                <w:lang w:val="en-US" w:eastAsia="zh-CN"/>
              </w:rPr>
              <w:t xml:space="preserve">    柳国青</w:t>
            </w:r>
            <w:r>
              <w:rPr>
                <w:rFonts w:hint="eastAsia"/>
                <w:szCs w:val="22"/>
              </w:rPr>
              <w:t>20</w:t>
            </w:r>
            <w:r>
              <w:rPr>
                <w:rFonts w:hint="eastAsia"/>
                <w:szCs w:val="22"/>
                <w:lang w:val="en-US" w:eastAsia="zh-CN"/>
              </w:rPr>
              <w:t>20.9.25</w:t>
            </w:r>
          </w:p>
        </w:tc>
      </w:tr>
    </w:tbl>
    <w:p>
      <w:pPr>
        <w:rPr>
          <w:rFonts w:hint="eastAsia"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4098" o:spid="_x0000_s4098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33794974"/>
    <w:rsid w:val="3B701A8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109</Words>
  <Characters>622</Characters>
  <Lines>5</Lines>
  <Paragraphs>1</Paragraphs>
  <TotalTime>11</TotalTime>
  <ScaleCrop>false</ScaleCrop>
  <LinksUpToDate>false</LinksUpToDate>
  <CharactersWithSpaces>730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开门大吉～ISO认证服务</cp:lastModifiedBy>
  <cp:lastPrinted>2019-05-13T03:02:00Z</cp:lastPrinted>
  <dcterms:modified xsi:type="dcterms:W3CDTF">2020-09-25T01:39:36Z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