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德玛仕河北仪器仪表有限公司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430"/>
        <w:gridCol w:w="2539"/>
        <w:gridCol w:w="81"/>
        <w:gridCol w:w="769"/>
        <w:gridCol w:w="47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4"/>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430" w:type="dxa"/>
            <w:vAlign w:val="center"/>
          </w:tcPr>
          <w:p>
            <w:pPr>
              <w:jc w:val="center"/>
              <w:rPr>
                <w:b/>
                <w:sz w:val="21"/>
                <w:szCs w:val="21"/>
              </w:rPr>
            </w:pPr>
            <w:r>
              <w:rPr>
                <w:rFonts w:hint="eastAsia"/>
                <w:b/>
                <w:sz w:val="21"/>
                <w:szCs w:val="21"/>
              </w:rPr>
              <w:t>注册级别</w:t>
            </w:r>
          </w:p>
        </w:tc>
        <w:tc>
          <w:tcPr>
            <w:tcW w:w="2620" w:type="dxa"/>
            <w:gridSpan w:val="2"/>
            <w:vAlign w:val="center"/>
          </w:tcPr>
          <w:p>
            <w:pPr>
              <w:jc w:val="center"/>
              <w:rPr>
                <w:b/>
                <w:sz w:val="21"/>
                <w:szCs w:val="21"/>
              </w:rPr>
            </w:pPr>
            <w:r>
              <w:rPr>
                <w:rFonts w:hint="eastAsia"/>
                <w:b/>
                <w:sz w:val="21"/>
                <w:szCs w:val="21"/>
              </w:rPr>
              <w:t>审核员注册号</w:t>
            </w:r>
          </w:p>
        </w:tc>
        <w:tc>
          <w:tcPr>
            <w:tcW w:w="1240" w:type="dxa"/>
            <w:gridSpan w:val="2"/>
            <w:vAlign w:val="center"/>
          </w:tcPr>
          <w:p>
            <w:pPr>
              <w:jc w:val="center"/>
              <w:rPr>
                <w:b/>
                <w:sz w:val="21"/>
                <w:szCs w:val="21"/>
              </w:rPr>
            </w:pPr>
            <w:r>
              <w:rPr>
                <w:rFonts w:hint="eastAsia"/>
                <w:b/>
                <w:sz w:val="21"/>
                <w:szCs w:val="21"/>
              </w:rPr>
              <w:t>专业代码</w:t>
            </w:r>
          </w:p>
        </w:tc>
        <w:tc>
          <w:tcPr>
            <w:tcW w:w="114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spacing w:line="240" w:lineRule="exact"/>
              <w:rPr>
                <w:rFonts w:hint="eastAsia" w:ascii="Times New Roman" w:hAnsi="Times New Roman" w:cs="Times New Roman"/>
                <w:sz w:val="18"/>
                <w:szCs w:val="18"/>
              </w:rPr>
            </w:pPr>
            <w:r>
              <w:rPr>
                <w:rFonts w:hint="eastAsia" w:ascii="Times New Roman" w:hAnsi="Times New Roman" w:cs="Times New Roman"/>
                <w:sz w:val="18"/>
                <w:szCs w:val="18"/>
              </w:rPr>
              <w:t>周涛</w:t>
            </w:r>
          </w:p>
        </w:tc>
        <w:tc>
          <w:tcPr>
            <w:tcW w:w="824" w:type="dxa"/>
            <w:gridSpan w:val="2"/>
            <w:vAlign w:val="center"/>
          </w:tcPr>
          <w:p>
            <w:pPr>
              <w:spacing w:line="240" w:lineRule="exact"/>
              <w:rPr>
                <w:rFonts w:hint="eastAsia" w:ascii="Times New Roman" w:hAnsi="Times New Roman" w:cs="Times New Roman"/>
                <w:sz w:val="18"/>
                <w:szCs w:val="18"/>
              </w:rPr>
            </w:pPr>
            <w:r>
              <w:rPr>
                <w:rFonts w:hint="eastAsia" w:ascii="Times New Roman" w:hAnsi="Times New Roman" w:cs="Times New Roman"/>
                <w:sz w:val="18"/>
                <w:szCs w:val="18"/>
              </w:rPr>
              <w:t>男</w:t>
            </w:r>
          </w:p>
        </w:tc>
        <w:tc>
          <w:tcPr>
            <w:tcW w:w="1559" w:type="dxa"/>
            <w:vAlign w:val="center"/>
          </w:tcPr>
          <w:p>
            <w:pPr>
              <w:spacing w:line="240" w:lineRule="exact"/>
              <w:rPr>
                <w:rFonts w:hint="eastAsia" w:ascii="Times New Roman" w:hAnsi="Times New Roman" w:cs="Times New Roman"/>
                <w:sz w:val="18"/>
                <w:szCs w:val="18"/>
              </w:rPr>
            </w:pPr>
            <w:r>
              <w:rPr>
                <w:rFonts w:hint="eastAsia" w:ascii="Times New Roman" w:hAnsi="Times New Roman" w:cs="Times New Roman"/>
                <w:sz w:val="18"/>
                <w:szCs w:val="18"/>
              </w:rPr>
              <w:t>组长</w:t>
            </w:r>
          </w:p>
        </w:tc>
        <w:tc>
          <w:tcPr>
            <w:tcW w:w="1430" w:type="dxa"/>
            <w:vAlign w:val="center"/>
          </w:tcPr>
          <w:p>
            <w:pPr>
              <w:spacing w:line="240" w:lineRule="exact"/>
              <w:rPr>
                <w:rFonts w:hint="eastAsia" w:ascii="Times New Roman" w:hAnsi="Times New Roman" w:cs="Times New Roman"/>
                <w:sz w:val="18"/>
                <w:szCs w:val="18"/>
              </w:rPr>
            </w:pPr>
            <w:r>
              <w:rPr>
                <w:rFonts w:hint="eastAsia" w:ascii="Times New Roman" w:hAnsi="Times New Roman" w:cs="Times New Roman"/>
                <w:sz w:val="18"/>
                <w:szCs w:val="18"/>
              </w:rPr>
              <w:t>Q:审核员</w:t>
            </w:r>
          </w:p>
          <w:p>
            <w:pPr>
              <w:spacing w:line="240" w:lineRule="exact"/>
              <w:rPr>
                <w:rFonts w:hint="eastAsia" w:ascii="Times New Roman" w:hAnsi="Times New Roman" w:cs="Times New Roman"/>
                <w:sz w:val="18"/>
                <w:szCs w:val="18"/>
              </w:rPr>
            </w:pPr>
            <w:r>
              <w:rPr>
                <w:rFonts w:hint="eastAsia" w:ascii="Times New Roman" w:hAnsi="Times New Roman" w:cs="Times New Roman"/>
                <w:sz w:val="18"/>
                <w:szCs w:val="18"/>
              </w:rPr>
              <w:t>E:审核员</w:t>
            </w:r>
          </w:p>
          <w:p>
            <w:pPr>
              <w:spacing w:line="240" w:lineRule="exact"/>
              <w:rPr>
                <w:rFonts w:hint="eastAsia" w:ascii="Times New Roman" w:hAnsi="Times New Roman" w:cs="Times New Roman"/>
                <w:sz w:val="18"/>
                <w:szCs w:val="18"/>
              </w:rPr>
            </w:pPr>
            <w:r>
              <w:rPr>
                <w:rFonts w:hint="eastAsia" w:ascii="Times New Roman" w:hAnsi="Times New Roman" w:cs="Times New Roman"/>
                <w:sz w:val="18"/>
                <w:szCs w:val="18"/>
              </w:rPr>
              <w:t>O:审核员</w:t>
            </w:r>
          </w:p>
        </w:tc>
        <w:tc>
          <w:tcPr>
            <w:tcW w:w="2620" w:type="dxa"/>
            <w:gridSpan w:val="2"/>
            <w:vAlign w:val="center"/>
          </w:tcPr>
          <w:p>
            <w:pPr>
              <w:spacing w:line="240" w:lineRule="exact"/>
              <w:rPr>
                <w:rFonts w:hint="eastAsia" w:ascii="Times New Roman" w:hAnsi="Times New Roman" w:cs="Times New Roman"/>
                <w:sz w:val="18"/>
                <w:szCs w:val="18"/>
              </w:rPr>
            </w:pPr>
            <w:r>
              <w:rPr>
                <w:rFonts w:hint="eastAsia" w:ascii="Times New Roman" w:hAnsi="Times New Roman" w:cs="Times New Roman"/>
                <w:sz w:val="18"/>
                <w:szCs w:val="18"/>
              </w:rPr>
              <w:t>2019-N1QMS-3072033</w:t>
            </w:r>
          </w:p>
          <w:p>
            <w:pPr>
              <w:spacing w:line="240" w:lineRule="exact"/>
              <w:rPr>
                <w:rFonts w:hint="eastAsia" w:ascii="Times New Roman" w:hAnsi="Times New Roman" w:cs="Times New Roman"/>
                <w:sz w:val="18"/>
                <w:szCs w:val="18"/>
              </w:rPr>
            </w:pPr>
            <w:r>
              <w:rPr>
                <w:rFonts w:hint="eastAsia" w:ascii="Times New Roman" w:hAnsi="Times New Roman" w:cs="Times New Roman"/>
                <w:sz w:val="18"/>
                <w:szCs w:val="18"/>
              </w:rPr>
              <w:t>2018-N1EMS-2072033</w:t>
            </w:r>
          </w:p>
          <w:p>
            <w:pPr>
              <w:spacing w:line="240" w:lineRule="exact"/>
              <w:rPr>
                <w:rFonts w:hint="eastAsia" w:ascii="Times New Roman" w:hAnsi="Times New Roman" w:cs="Times New Roman"/>
                <w:sz w:val="18"/>
                <w:szCs w:val="18"/>
              </w:rPr>
            </w:pPr>
            <w:r>
              <w:rPr>
                <w:rFonts w:hint="eastAsia" w:ascii="Times New Roman" w:hAnsi="Times New Roman" w:cs="Times New Roman"/>
                <w:sz w:val="18"/>
                <w:szCs w:val="18"/>
              </w:rPr>
              <w:t>2018-N1OHSMS-2072033</w:t>
            </w:r>
          </w:p>
        </w:tc>
        <w:tc>
          <w:tcPr>
            <w:tcW w:w="1240" w:type="dxa"/>
            <w:gridSpan w:val="2"/>
            <w:vAlign w:val="center"/>
          </w:tcPr>
          <w:p>
            <w:pPr>
              <w:spacing w:line="240" w:lineRule="exact"/>
              <w:rPr>
                <w:rFonts w:hint="eastAsia" w:ascii="Times New Roman" w:hAnsi="Times New Roman" w:cs="Times New Roman"/>
                <w:sz w:val="18"/>
                <w:szCs w:val="18"/>
              </w:rPr>
            </w:pPr>
            <w:r>
              <w:rPr>
                <w:rFonts w:hint="eastAsia" w:ascii="Times New Roman" w:hAnsi="Times New Roman" w:cs="Times New Roman"/>
                <w:sz w:val="18"/>
                <w:szCs w:val="18"/>
              </w:rPr>
              <w:t>Q:29.10.07</w:t>
            </w:r>
          </w:p>
          <w:p>
            <w:pPr>
              <w:spacing w:line="240" w:lineRule="exact"/>
              <w:rPr>
                <w:rFonts w:hint="eastAsia" w:ascii="Times New Roman" w:hAnsi="Times New Roman" w:cs="Times New Roman"/>
                <w:sz w:val="18"/>
                <w:szCs w:val="18"/>
              </w:rPr>
            </w:pPr>
            <w:r>
              <w:rPr>
                <w:rFonts w:hint="eastAsia" w:ascii="Times New Roman" w:hAnsi="Times New Roman" w:cs="Times New Roman"/>
                <w:sz w:val="18"/>
                <w:szCs w:val="18"/>
              </w:rPr>
              <w:t>E:29.10.07</w:t>
            </w:r>
          </w:p>
          <w:p>
            <w:pPr>
              <w:spacing w:line="240" w:lineRule="exact"/>
              <w:rPr>
                <w:rFonts w:hint="eastAsia" w:ascii="Times New Roman" w:hAnsi="Times New Roman" w:cs="Times New Roman"/>
                <w:sz w:val="18"/>
                <w:szCs w:val="18"/>
              </w:rPr>
            </w:pPr>
            <w:r>
              <w:rPr>
                <w:rFonts w:hint="eastAsia" w:ascii="Times New Roman" w:hAnsi="Times New Roman" w:cs="Times New Roman"/>
                <w:sz w:val="18"/>
                <w:szCs w:val="18"/>
              </w:rPr>
              <w:t>O:29.10.07</w:t>
            </w:r>
          </w:p>
        </w:tc>
        <w:tc>
          <w:tcPr>
            <w:tcW w:w="1143" w:type="dxa"/>
            <w:vAlign w:val="center"/>
          </w:tcPr>
          <w:p>
            <w:pPr>
              <w:spacing w:line="240" w:lineRule="exact"/>
              <w:rPr>
                <w:rFonts w:hint="eastAsia" w:ascii="Times New Roman" w:hAnsi="Times New Roman" w:cs="Times New Roman"/>
                <w:sz w:val="18"/>
                <w:szCs w:val="18"/>
              </w:rPr>
            </w:pPr>
            <w:r>
              <w:rPr>
                <w:rFonts w:hint="eastAsia" w:ascii="Times New Roman" w:hAnsi="Times New Roman" w:cs="Times New Roman"/>
                <w:sz w:val="18"/>
                <w:szCs w:val="18"/>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spacing w:line="240" w:lineRule="exact"/>
              <w:rPr>
                <w:rFonts w:hint="eastAsia" w:ascii="Times New Roman" w:hAnsi="Times New Roman" w:cs="Times New Roman"/>
                <w:sz w:val="18"/>
                <w:szCs w:val="18"/>
              </w:rPr>
            </w:pPr>
            <w:r>
              <w:rPr>
                <w:rFonts w:hint="eastAsia"/>
                <w:sz w:val="21"/>
                <w:lang w:val="en-US" w:eastAsia="zh-CN"/>
              </w:rPr>
              <w:t>孙恒叶</w:t>
            </w:r>
          </w:p>
        </w:tc>
        <w:tc>
          <w:tcPr>
            <w:tcW w:w="824" w:type="dxa"/>
            <w:gridSpan w:val="2"/>
            <w:vAlign w:val="center"/>
          </w:tcPr>
          <w:p>
            <w:pPr>
              <w:spacing w:line="240" w:lineRule="exact"/>
              <w:rPr>
                <w:rFonts w:hint="eastAsia" w:ascii="Times New Roman" w:hAnsi="Times New Roman" w:cs="Times New Roman"/>
                <w:sz w:val="18"/>
                <w:szCs w:val="18"/>
              </w:rPr>
            </w:pPr>
            <w:r>
              <w:rPr>
                <w:rFonts w:hint="eastAsia" w:ascii="Times New Roman" w:hAnsi="Times New Roman" w:cs="Times New Roman"/>
                <w:sz w:val="18"/>
                <w:szCs w:val="18"/>
                <w:lang w:val="en-US" w:eastAsia="zh-CN"/>
              </w:rPr>
              <w:t>男</w:t>
            </w:r>
          </w:p>
        </w:tc>
        <w:tc>
          <w:tcPr>
            <w:tcW w:w="1559" w:type="dxa"/>
            <w:vAlign w:val="center"/>
          </w:tcPr>
          <w:p>
            <w:pPr>
              <w:spacing w:line="240" w:lineRule="exact"/>
              <w:rPr>
                <w:rFonts w:hint="eastAsia" w:ascii="Times New Roman" w:hAnsi="Times New Roman" w:cs="Times New Roman"/>
                <w:sz w:val="18"/>
                <w:szCs w:val="18"/>
              </w:rPr>
            </w:pPr>
            <w:r>
              <w:rPr>
                <w:rFonts w:hint="eastAsia" w:ascii="Times New Roman" w:hAnsi="Times New Roman" w:cs="Times New Roman"/>
                <w:sz w:val="18"/>
                <w:szCs w:val="18"/>
                <w:lang w:val="en-US" w:eastAsia="zh-CN"/>
              </w:rPr>
              <w:t>向导</w:t>
            </w:r>
          </w:p>
        </w:tc>
        <w:tc>
          <w:tcPr>
            <w:tcW w:w="6433" w:type="dxa"/>
            <w:gridSpan w:val="6"/>
            <w:vAlign w:val="center"/>
          </w:tcPr>
          <w:p>
            <w:pPr>
              <w:spacing w:line="240" w:lineRule="exact"/>
              <w:rPr>
                <w:rFonts w:hint="eastAsia" w:ascii="Times New Roman" w:hAnsi="Times New Roman" w:cs="Times New Roman"/>
                <w:sz w:val="18"/>
                <w:szCs w:val="18"/>
              </w:rPr>
            </w:pPr>
            <w:r>
              <w:rPr>
                <w:rFonts w:hint="eastAsia" w:ascii="Times New Roman" w:hAnsi="Times New Roman" w:cs="Times New Roman"/>
                <w:sz w:val="18"/>
                <w:szCs w:val="18"/>
                <w:lang w:eastAsia="zh-CN"/>
              </w:rPr>
              <w:t>德玛仕河北仪器仪表有限公司</w:t>
            </w: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r>
        <w:rPr>
          <w:rFonts w:hint="eastAsia"/>
          <w:b/>
          <w:sz w:val="21"/>
          <w:szCs w:val="21"/>
        </w:rPr>
        <w:t>□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德玛仕河北仪器仪表有限公司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ind w:firstLine="422" w:firstLineChars="200"/>
              <w:rPr>
                <w:rFonts w:hint="default" w:ascii="宋体" w:eastAsia="宋体"/>
                <w:b/>
                <w:sz w:val="21"/>
                <w:lang w:val="en-US" w:eastAsia="zh-CN"/>
              </w:rPr>
            </w:pPr>
            <w:r>
              <w:rPr>
                <w:rFonts w:hint="eastAsia" w:ascii="宋体"/>
                <w:b/>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hint="eastAsia" w:ascii="Times New Roman" w:hAnsi="Times New Roman" w:cs="Times New Roman"/>
                <w:sz w:val="21"/>
                <w:szCs w:val="22"/>
                <w:lang w:val="en-US" w:eastAsia="zh-CN"/>
              </w:rPr>
              <w:t>河北省石家庄市高邑县中韩乡河村中坊路中段</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051330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hint="eastAsia" w:ascii="Times New Roman" w:hAnsi="Times New Roman" w:cs="Times New Roman"/>
                <w:sz w:val="21"/>
                <w:szCs w:val="22"/>
                <w:lang w:val="en-US" w:eastAsia="zh-CN"/>
              </w:rPr>
              <w:t>河北省石家庄市高邑县中韩乡河村中坊路中段</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051330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hint="eastAsia" w:ascii="Times New Roman" w:hAnsi="Times New Roman" w:cs="Times New Roman"/>
                <w:sz w:val="21"/>
                <w:szCs w:val="22"/>
                <w:lang w:val="en-US" w:eastAsia="zh-CN"/>
              </w:rPr>
              <w:t>河北省石家庄市高邑县中韩乡河村中坊路中段</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051330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hint="eastAsia" w:ascii="Times New Roman" w:hAnsi="Times New Roman" w:cs="Times New Roman"/>
                <w:sz w:val="21"/>
                <w:szCs w:val="22"/>
                <w:lang w:val="en-US" w:eastAsia="zh-CN"/>
              </w:rPr>
              <w:t>王庆</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hint="eastAsia" w:ascii="Times New Roman" w:hAnsi="Times New Roman" w:cs="Times New Roman"/>
                <w:sz w:val="21"/>
                <w:szCs w:val="22"/>
                <w:lang w:val="en-US" w:eastAsia="zh-CN"/>
              </w:rPr>
              <w:t>18031349586</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hint="eastAsia" w:ascii="Times New Roman" w:hAnsi="Times New Roman" w:cs="Times New Roman"/>
                <w:sz w:val="21"/>
                <w:szCs w:val="22"/>
                <w:lang w:val="en-US" w:eastAsia="zh-CN"/>
              </w:rPr>
              <w:t>柳国青</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hint="eastAsia" w:ascii="Times New Roman" w:hAnsi="Times New Roman" w:cs="Times New Roman"/>
                <w:sz w:val="21"/>
                <w:szCs w:val="22"/>
                <w:lang w:val="en-US" w:eastAsia="zh-CN"/>
              </w:rPr>
              <w:t>石会岩</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hint="eastAsia" w:ascii="Times New Roman" w:hAnsi="Times New Roman" w:cs="Times New Roman"/>
                <w:sz w:val="21"/>
                <w:szCs w:val="22"/>
                <w:lang w:val="en-US" w:eastAsia="zh-CN"/>
              </w:rPr>
              <w:t>2020年09月23日 上午至2020年09月25日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r>
              <w:rPr>
                <w:rFonts w:hint="eastAsia" w:ascii="宋体" w:hAnsi="宋体"/>
              </w:rPr>
              <w:t>：压力表的销售</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rFonts w:hint="eastAsia" w:ascii="宋体" w:hAnsi="宋体"/>
              </w:rPr>
              <w:t>压力表的销售及其所涉及场所的相关环境管理活动</w:t>
            </w:r>
          </w:p>
          <w:p>
            <w:pPr>
              <w:spacing w:line="360" w:lineRule="exact"/>
              <w:rPr>
                <w:rFonts w:hint="eastAsia"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rFonts w:hint="eastAsia" w:ascii="宋体" w:hAnsi="宋体"/>
              </w:rPr>
              <w:t xml:space="preserve">压力表的销售及其所涉及场所的相关职业健康安全管理活动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Q：29.10.07</w:t>
            </w:r>
          </w:p>
          <w:p>
            <w:pPr>
              <w:spacing w:line="260" w:lineRule="exact"/>
              <w:rPr>
                <w:rFonts w:ascii="宋体" w:hAnsi="宋体"/>
                <w:b/>
                <w:sz w:val="21"/>
                <w:szCs w:val="21"/>
              </w:rPr>
            </w:pPr>
            <w:r>
              <w:rPr>
                <w:rFonts w:ascii="宋体" w:hAnsi="宋体"/>
                <w:b/>
                <w:sz w:val="21"/>
                <w:szCs w:val="21"/>
              </w:rPr>
              <w:t>E：29.10.07</w:t>
            </w:r>
          </w:p>
          <w:p>
            <w:pPr>
              <w:spacing w:line="260" w:lineRule="exact"/>
              <w:rPr>
                <w:rFonts w:ascii="宋体" w:hAnsi="宋体"/>
                <w:b/>
                <w:sz w:val="21"/>
                <w:szCs w:val="21"/>
              </w:rPr>
            </w:pPr>
            <w:r>
              <w:rPr>
                <w:rFonts w:ascii="宋体" w:hAnsi="宋体"/>
                <w:b/>
                <w:sz w:val="21"/>
                <w:szCs w:val="21"/>
              </w:rPr>
              <w:t>O：29.10.07</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Times New Roman" w:hAnsi="Times New Roman" w:cs="Times New Roman"/>
                <w:sz w:val="21"/>
                <w:szCs w:val="22"/>
                <w:lang w:val="en-US" w:eastAsia="zh-CN"/>
              </w:rPr>
              <w:t>2022年9月24日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Times New Roman" w:hAnsi="Times New Roman" w:cs="Times New Roman"/>
                <w:sz w:val="21"/>
                <w:szCs w:val="22"/>
                <w:lang w:val="en-US" w:eastAsia="zh-CN"/>
              </w:rPr>
              <w:t>2019年9月7日~9月11日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cs="微软雅黑"/>
          <w:color w:val="222222"/>
          <w:szCs w:val="21"/>
          <w:shd w:val="clear" w:color="auto" w:fill="FFFFFF"/>
          <w:lang w:val="en-US" w:eastAsia="zh-CN"/>
        </w:rPr>
        <w:t>压力表的销售。</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eastAsia="zh-CN"/>
              </w:rPr>
              <w:t>：</w:t>
            </w:r>
            <w:r>
              <w:rPr>
                <w:rFonts w:hint="eastAsia" w:ascii="Times New Roman" w:hAnsi="Times New Roman" w:cs="Times New Roman"/>
                <w:sz w:val="21"/>
                <w:szCs w:val="22"/>
                <w:lang w:val="en-US" w:eastAsia="zh-CN"/>
              </w:rPr>
              <w:t>关于压力表在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eastAsia="zh-CN"/>
              </w:rPr>
              <w:t>：</w:t>
            </w:r>
            <w:r>
              <w:rPr>
                <w:rFonts w:hint="eastAsia" w:ascii="Times New Roman" w:hAnsi="Times New Roman" w:cs="Times New Roman"/>
                <w:sz w:val="21"/>
                <w:szCs w:val="22"/>
                <w:lang w:val="en-US" w:eastAsia="zh-CN"/>
              </w:rPr>
              <w:t>公司确定了与质量环境职业健康安全管理体系有关的相关方包括顾客、政府机构、社区、股东、供应商、内部员工等。相关方对企业的要求有：遵守国家的现行法律法规、保持有效的资质、生产的产品节能环保，对环境无重大污染、对员工进行体检、不断提高技术水平以及不断提高客户满意度等。公司通过关注顾客需求，通过持续改进增强用户满意；遵守国家和地方各项法律法规，履行合规义务；以下行为满足相关方需求和期望：持续改进管理体系过程，提升质量绩效等，公司管理层及相关部门将持续关注相关方需求的变化，必要时通过评估风险和机遇，调整管理体系目标和指标或变更管理过程以适应这些变化或实现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40" w:lineRule="exact"/>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1.管理方针：坚持产品质量第一，确保增进顾客满意；</w:t>
            </w:r>
          </w:p>
          <w:p>
            <w:pPr>
              <w:spacing w:line="240" w:lineRule="exact"/>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坚持遵守法律法规，实现环保安全目标；</w:t>
            </w:r>
          </w:p>
          <w:p>
            <w:pPr>
              <w:spacing w:line="240" w:lineRule="exact"/>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规范企业经营管理，持续改进管理体系</w:t>
            </w:r>
          </w:p>
          <w:p>
            <w:pPr>
              <w:spacing w:line="240" w:lineRule="exact"/>
              <w:rPr>
                <w:rFonts w:hint="eastAsia"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2. 管理方针与企业的经营宗旨相适应，协调；</w:t>
            </w:r>
          </w:p>
          <w:p>
            <w:pPr>
              <w:spacing w:line="240" w:lineRule="exact"/>
              <w:rPr>
                <w:rFonts w:ascii="宋体" w:hAnsi="宋体"/>
                <w:b/>
                <w:sz w:val="21"/>
                <w:szCs w:val="21"/>
              </w:rPr>
            </w:pPr>
            <w:r>
              <w:rPr>
                <w:rFonts w:hint="eastAsia" w:ascii="Times New Roman" w:hAnsi="Times New Roman" w:cs="Times New Roman"/>
                <w:sz w:val="21"/>
                <w:szCs w:val="22"/>
                <w:lang w:val="en-US" w:eastAsia="zh-CN"/>
              </w:rPr>
              <w:t>3. 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eastAsia="宋体"/>
                <w:b/>
                <w:sz w:val="21"/>
                <w:szCs w:val="21"/>
                <w:lang w:eastAsia="zh-CN"/>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eastAsia="zh-CN"/>
              </w:rPr>
              <w:t>：</w:t>
            </w:r>
            <w:r>
              <w:rPr>
                <w:rFonts w:hint="eastAsia" w:ascii="Times New Roman" w:hAnsi="Times New Roman" w:cs="Times New Roman"/>
                <w:sz w:val="21"/>
                <w:szCs w:val="22"/>
                <w:lang w:val="en-US" w:eastAsia="zh-CN"/>
              </w:rPr>
              <w:t>公司编制《应对风险和机遇的措施表》，公司分别从顾客过程、公司内部、外部供方等方面识别了必要的风险和机遇，如：方针和目标变更的需求，产品标准变更，原材料变更，工艺变更、法律法规变更、外部环境（包括空气 水的变化）等风险，制定了相应的应对措施，制定了负责的部门和具体的实施方案，需要的资金和日程安排等，如针对顾客需求的变更，由市场部紧密与客户沟通，是否有更新的需求，经查暂无变更需求。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w:t>
            </w:r>
            <w:r>
              <w:rPr>
                <w:rFonts w:hint="eastAsia" w:ascii="宋体" w:hAnsi="宋体"/>
                <w:b/>
                <w:sz w:val="21"/>
                <w:szCs w:val="21"/>
                <w:lang w:eastAsia="zh-CN"/>
              </w:rPr>
              <w:t>☑</w:t>
            </w: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采购、业务洽谈</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销售服务</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1" o:spid="_x0000_s2051" o:spt="32" type="#_x0000_t32" style="position:absolute;left:0pt;margin-left:157.9pt;margin-top:12.75pt;height:0pt;width:261.75pt;z-index:25166540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6438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w:t>
            </w:r>
            <w:r>
              <w:rPr>
                <w:rFonts w:hint="default" w:ascii="Times New Roman" w:hAnsi="Times New Roman" w:cs="Times New Roman"/>
                <w:b w:val="0"/>
                <w:bCs/>
                <w:color w:val="000000" w:themeColor="text1"/>
                <w:sz w:val="21"/>
                <w:szCs w:val="21"/>
              </w:rPr>
              <w:t xml:space="preserve"> </w:t>
            </w:r>
            <w:r>
              <w:rPr>
                <w:rFonts w:hint="default" w:ascii="Times New Roman" w:hAnsi="Times New Roman" w:cs="Times New Roman"/>
                <w:b w:val="0"/>
                <w:bCs/>
                <w:color w:val="000000" w:themeColor="text1"/>
                <w:sz w:val="21"/>
                <w:szCs w:val="21"/>
                <w:lang w:val="en-US" w:eastAsia="zh-CN"/>
              </w:rPr>
              <w:t>8.3</w:t>
            </w:r>
            <w:r>
              <w:rPr>
                <w:rFonts w:hint="eastAsia" w:ascii="宋体" w:hAnsi="宋体"/>
                <w:b/>
                <w:color w:val="000000" w:themeColor="text1"/>
                <w:sz w:val="20"/>
                <w:szCs w:val="20"/>
              </w:rPr>
              <w:t xml:space="preserve">    ，不适用理由：</w:t>
            </w:r>
            <w:r>
              <w:rPr>
                <w:rFonts w:hint="eastAsia"/>
                <w:sz w:val="21"/>
                <w:szCs w:val="21"/>
                <w:u w:val="single"/>
              </w:rPr>
              <w:t>公司产品和服务特点，</w:t>
            </w:r>
            <w:r>
              <w:rPr>
                <w:rFonts w:hint="eastAsia"/>
                <w:sz w:val="21"/>
                <w:szCs w:val="21"/>
                <w:u w:val="single"/>
                <w:lang w:eastAsia="zh-CN"/>
              </w:rPr>
              <w:t>产品依据国标、行业标准、客户要求进行</w:t>
            </w:r>
            <w:r>
              <w:rPr>
                <w:rFonts w:hint="eastAsia"/>
                <w:sz w:val="21"/>
                <w:szCs w:val="21"/>
                <w:u w:val="single"/>
                <w:lang w:val="en-US" w:eastAsia="zh-CN"/>
              </w:rPr>
              <w:t>销售</w:t>
            </w:r>
            <w:r>
              <w:rPr>
                <w:rFonts w:hint="eastAsia"/>
                <w:sz w:val="21"/>
                <w:szCs w:val="21"/>
                <w:u w:val="single"/>
                <w:lang w:eastAsia="zh-CN"/>
              </w:rPr>
              <w:t>，</w:t>
            </w:r>
            <w:r>
              <w:rPr>
                <w:rFonts w:hint="eastAsia"/>
                <w:sz w:val="21"/>
                <w:szCs w:val="21"/>
                <w:u w:val="single"/>
                <w:lang w:val="en-US" w:eastAsia="zh-CN"/>
              </w:rPr>
              <w:t>销售模式固定</w:t>
            </w:r>
            <w:r>
              <w:rPr>
                <w:rFonts w:hint="eastAsia"/>
                <w:sz w:val="21"/>
                <w:szCs w:val="21"/>
                <w:u w:val="single"/>
                <w:lang w:eastAsia="zh-CN"/>
              </w:rPr>
              <w:t>，无设计开发要求</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cs="Times New Roman"/>
                <w:sz w:val="21"/>
                <w:szCs w:val="21"/>
                <w:lang w:val="en-US" w:eastAsia="zh-CN"/>
              </w:rPr>
              <w:t>办公室组织全体部门对所涉及的环境因素进行识别，并评价出重要环境因素，提供环境因素评价记录，目前环境因素识别基本完整，评价的重要环境因素有固体废弃物排放、火灾的发生</w:t>
            </w:r>
            <w:r>
              <w:rPr>
                <w:rFonts w:hint="eastAsia" w:ascii="宋体" w:hAnsi="宋体" w:cs="Times New Roman"/>
                <w:sz w:val="21"/>
                <w:szCs w:val="21"/>
                <w:lang w:val="en-GB" w:eastAsia="zh-CN"/>
              </w:rPr>
              <w:t>，环境因素识别评价符合要求。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b/>
                <w:sz w:val="21"/>
                <w:szCs w:val="21"/>
              </w:rPr>
            </w:pPr>
            <w:r>
              <w:rPr>
                <w:rFonts w:hint="eastAsia" w:ascii="宋体" w:hAnsi="宋体"/>
                <w:sz w:val="21"/>
                <w:szCs w:val="21"/>
                <w:lang w:val="en-US" w:eastAsia="zh-CN"/>
              </w:rPr>
              <w:t>办公室组织全体部门对所涉及的危险源进行识别，并评价出重大危险源，提供重大危险源评价记录，目前危险源识别基本完整，评价的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sz w:val="21"/>
                <w:szCs w:val="21"/>
              </w:rPr>
              <w:t>火灾、触电、</w:t>
            </w:r>
            <w:r>
              <w:rPr>
                <w:rFonts w:hint="eastAsia"/>
                <w:sz w:val="21"/>
                <w:szCs w:val="21"/>
                <w:lang w:val="en-US" w:eastAsia="zh-CN"/>
              </w:rPr>
              <w:t>车辆</w:t>
            </w:r>
            <w:r>
              <w:rPr>
                <w:rFonts w:hint="eastAsia"/>
                <w:sz w:val="21"/>
                <w:szCs w:val="21"/>
                <w:lang w:eastAsia="zh-CN"/>
              </w:rPr>
              <w:t>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2"/>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eastAsia="宋体" w:cs="Times New Roman"/>
                <w:kern w:val="2"/>
                <w:sz w:val="21"/>
                <w:szCs w:val="21"/>
                <w:lang w:val="en-US" w:eastAsia="zh-CN" w:bidi="ar-SA"/>
              </w:rPr>
              <w:t>培训</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公司质量目标：1、采购产品合格率≥95%；2、顾客满意率≥90%。环境目标：1、固体废弃物分类回收率100%；2、杜绝火灾事故发生。职业健康安全目标：1、杜绝火灾、死亡及重大安全事故发生；2、杜绝职业病发生；3、轻伤事故少于3起/年。</w:t>
            </w:r>
          </w:p>
          <w:p>
            <w:pPr>
              <w:spacing w:line="240" w:lineRule="exact"/>
              <w:rPr>
                <w:rFonts w:ascii="宋体" w:hAnsi="宋体"/>
                <w:b/>
                <w:sz w:val="21"/>
                <w:szCs w:val="21"/>
              </w:rPr>
            </w:pPr>
            <w:r>
              <w:rPr>
                <w:rFonts w:hint="eastAsia" w:ascii="宋体" w:hAnsi="宋体" w:cs="Times New Roman"/>
                <w:sz w:val="21"/>
                <w:szCs w:val="21"/>
                <w:lang w:val="en-US" w:eastAsia="zh-CN"/>
              </w:rPr>
              <w:t>提供了文件化可分解的目标、指标，经查问分解到各部门，经查阅建立的管理目标符合标准要求，在方针的框架下展开，每季度考核一次，提供2020年1、2季度目标考核记录，显示目标均已完成。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s="Times New Roman"/>
                <w:sz w:val="21"/>
                <w:szCs w:val="21"/>
                <w:lang w:val="en-US" w:eastAsia="zh-CN"/>
              </w:rPr>
              <w:t>管理体系文件由办公室组织编写，总经理批准发布实施，办公室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办公室根据管理体系要求设计了空白表格，按照需求发放，由使用人员填写记录并保存，办公室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sz w:val="21"/>
                <w:szCs w:val="21"/>
              </w:rPr>
              <w:t>公司共有员工</w:t>
            </w:r>
            <w:r>
              <w:rPr>
                <w:rFonts w:hint="eastAsia"/>
                <w:sz w:val="21"/>
                <w:szCs w:val="21"/>
                <w:lang w:val="en-US" w:eastAsia="zh-CN"/>
              </w:rPr>
              <w:t>10</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Times New Roman" w:hAnsi="Times New Roman" w:cs="Times New Roman"/>
                <w:sz w:val="21"/>
                <w:szCs w:val="21"/>
              </w:rPr>
              <w:t>配备有</w:t>
            </w:r>
            <w:r>
              <w:rPr>
                <w:rFonts w:hint="eastAsia" w:ascii="Times New Roman" w:hAnsi="Times New Roman" w:cs="Times New Roman"/>
                <w:sz w:val="21"/>
                <w:szCs w:val="21"/>
                <w:lang w:eastAsia="zh-CN"/>
              </w:rPr>
              <w:t>办公室、</w:t>
            </w:r>
            <w:r>
              <w:rPr>
                <w:rFonts w:hint="eastAsia" w:ascii="Times New Roman" w:hAnsi="Times New Roman" w:cs="Times New Roman"/>
                <w:sz w:val="21"/>
                <w:szCs w:val="21"/>
                <w:lang w:val="en-US" w:eastAsia="zh-CN"/>
              </w:rPr>
              <w:t>车间</w:t>
            </w:r>
            <w:r>
              <w:rPr>
                <w:rFonts w:hint="eastAsia" w:ascii="Times New Roman" w:hAnsi="Times New Roman" w:cs="Times New Roman"/>
                <w:sz w:val="21"/>
                <w:szCs w:val="21"/>
              </w:rPr>
              <w:t>等基础设施，主要设</w:t>
            </w:r>
            <w:r>
              <w:rPr>
                <w:rFonts w:hint="eastAsia" w:ascii="Times New Roman" w:hAnsi="Times New Roman" w:cs="Times New Roman"/>
                <w:sz w:val="21"/>
                <w:szCs w:val="21"/>
                <w:lang w:eastAsia="zh-CN"/>
              </w:rPr>
              <w:t>施：电脑、电话、一体机、汽车、</w:t>
            </w:r>
            <w:r>
              <w:rPr>
                <w:rFonts w:hint="eastAsia" w:ascii="Times New Roman" w:hAnsi="Times New Roman" w:cs="Times New Roman"/>
                <w:sz w:val="21"/>
                <w:szCs w:val="21"/>
                <w:lang w:val="en-US" w:eastAsia="zh-CN"/>
              </w:rPr>
              <w:t>真空泵、调试台、螺丝刀</w:t>
            </w:r>
            <w:r>
              <w:rPr>
                <w:rFonts w:hint="eastAsia" w:ascii="Times New Roman" w:hAnsi="Times New Roman" w:cs="Times New Roman"/>
                <w:sz w:val="21"/>
                <w:szCs w:val="21"/>
              </w:rPr>
              <w:t>，满足</w:t>
            </w:r>
            <w:r>
              <w:rPr>
                <w:rFonts w:hint="eastAsia" w:ascii="Times New Roman" w:hAnsi="Times New Roman" w:cs="Times New Roman"/>
                <w:sz w:val="21"/>
                <w:szCs w:val="21"/>
                <w:lang w:eastAsia="zh-CN"/>
              </w:rPr>
              <w:t>销售服务</w:t>
            </w:r>
            <w:r>
              <w:rPr>
                <w:rFonts w:hint="eastAsia" w:ascii="Times New Roman" w:hAnsi="Times New Roman" w:cs="Times New Roman"/>
                <w:sz w:val="21"/>
                <w:szCs w:val="21"/>
              </w:rPr>
              <w:t>需求</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Times New Roman" w:hAnsi="Times New Roman" w:cs="Times New Roman"/>
                <w:sz w:val="21"/>
                <w:szCs w:val="21"/>
                <w:lang w:eastAsia="zh-CN"/>
              </w:rPr>
            </w:pPr>
            <w:r>
              <w:rPr>
                <w:rFonts w:hint="eastAsia" w:ascii="宋体" w:hAnsi="宋体"/>
                <w:b/>
                <w:sz w:val="21"/>
                <w:szCs w:val="21"/>
              </w:rPr>
              <w:t>过程运行环境</w:t>
            </w:r>
            <w:r>
              <w:rPr>
                <w:rFonts w:hint="eastAsia" w:ascii="宋体" w:hAnsi="宋体"/>
                <w:b/>
                <w:sz w:val="21"/>
                <w:szCs w:val="21"/>
                <w:lang w:eastAsia="zh-CN"/>
              </w:rPr>
              <w:t>：</w:t>
            </w:r>
            <w:r>
              <w:rPr>
                <w:rFonts w:hint="eastAsia" w:ascii="Times New Roman" w:hAnsi="Times New Roman" w:cs="Times New Roman"/>
                <w:sz w:val="21"/>
                <w:szCs w:val="21"/>
              </w:rPr>
              <w:t>办公</w:t>
            </w:r>
            <w:r>
              <w:rPr>
                <w:rFonts w:hint="eastAsia" w:ascii="Times New Roman" w:hAnsi="Times New Roman" w:cs="Times New Roman"/>
                <w:sz w:val="21"/>
                <w:szCs w:val="21"/>
                <w:lang w:val="en-US" w:eastAsia="zh-CN"/>
              </w:rPr>
              <w:t>经营</w:t>
            </w:r>
            <w:r>
              <w:rPr>
                <w:rFonts w:hint="eastAsia" w:ascii="Times New Roman" w:hAnsi="Times New Roman" w:cs="Times New Roman"/>
                <w:sz w:val="21"/>
                <w:szCs w:val="21"/>
              </w:rPr>
              <w:t>地点位于</w:t>
            </w:r>
            <w:r>
              <w:rPr>
                <w:rFonts w:hint="eastAsia" w:ascii="Times New Roman" w:hAnsi="Times New Roman" w:cs="Times New Roman"/>
                <w:sz w:val="21"/>
                <w:szCs w:val="21"/>
                <w:lang w:eastAsia="zh-CN"/>
              </w:rPr>
              <w:t>河北省石家庄市高邑县中韩乡河村中坊路中段</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办公区域面积</w:t>
            </w:r>
            <w:r>
              <w:rPr>
                <w:rFonts w:hint="eastAsia" w:ascii="Times New Roman" w:hAnsi="Times New Roman" w:cs="Times New Roman"/>
                <w:sz w:val="21"/>
                <w:szCs w:val="21"/>
                <w:lang w:val="en-US" w:eastAsia="zh-CN"/>
              </w:rPr>
              <w:t>100平米、车间200平米，</w:t>
            </w:r>
            <w:r>
              <w:rPr>
                <w:rFonts w:hint="eastAsia" w:ascii="Times New Roman" w:hAnsi="Times New Roman" w:cs="Times New Roman"/>
                <w:sz w:val="21"/>
                <w:szCs w:val="21"/>
                <w:lang w:eastAsia="zh-CN"/>
              </w:rPr>
              <w:t>布局合理，场所卫生干净整洁，工作环境良好，</w:t>
            </w:r>
            <w:r>
              <w:rPr>
                <w:rFonts w:hint="eastAsia" w:ascii="Times New Roman" w:hAnsi="Times New Roman" w:cs="Times New Roman"/>
                <w:sz w:val="21"/>
                <w:szCs w:val="21"/>
                <w:lang w:val="en-US" w:eastAsia="zh-CN"/>
              </w:rPr>
              <w:t>员工之间关系融洽</w:t>
            </w:r>
            <w:r>
              <w:rPr>
                <w:rFonts w:hint="eastAsia" w:ascii="Times New Roman" w:hAnsi="Times New Roman" w:cs="Times New Roman"/>
                <w:sz w:val="21"/>
                <w:szCs w:val="21"/>
                <w:lang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lang w:eastAsia="zh-CN"/>
              </w:rPr>
            </w:pPr>
            <w:r>
              <w:rPr>
                <w:rFonts w:hint="eastAsia" w:ascii="宋体" w:hAnsi="宋体"/>
                <w:b/>
                <w:sz w:val="21"/>
                <w:szCs w:val="21"/>
              </w:rPr>
              <w:t>监视和测量资源</w:t>
            </w:r>
            <w:r>
              <w:rPr>
                <w:rFonts w:hint="eastAsia" w:ascii="宋体" w:hAnsi="宋体"/>
                <w:b/>
                <w:sz w:val="21"/>
                <w:szCs w:val="21"/>
                <w:lang w:eastAsia="zh-CN"/>
              </w:rPr>
              <w:t>：</w:t>
            </w:r>
          </w:p>
          <w:p>
            <w:pPr>
              <w:spacing w:line="240" w:lineRule="exact"/>
              <w:rPr>
                <w:rFonts w:hint="eastAsia" w:ascii="宋体" w:hAnsi="宋体"/>
                <w:b/>
                <w:sz w:val="21"/>
                <w:szCs w:val="21"/>
                <w:lang w:eastAsia="zh-CN"/>
              </w:rPr>
            </w:pPr>
            <w:r>
              <w:rPr>
                <w:rFonts w:hint="eastAsia"/>
                <w:sz w:val="21"/>
                <w:szCs w:val="21"/>
                <w:lang w:eastAsia="zh-CN"/>
              </w:rPr>
              <w:t>产品性能由供方进行检验，组织对服务质量进行检查、对顾客满意度进行调查，制定了对应表格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r>
              <w:rPr>
                <w:rFonts w:hint="eastAsia" w:ascii="宋体" w:hAnsi="宋体"/>
                <w:b/>
                <w:sz w:val="21"/>
                <w:szCs w:val="21"/>
                <w:lang w:eastAsia="zh-CN"/>
              </w:rPr>
              <w:t>：</w:t>
            </w:r>
            <w:r>
              <w:rPr>
                <w:rFonts w:hint="eastAsia"/>
                <w:sz w:val="21"/>
                <w:szCs w:val="21"/>
              </w:rPr>
              <w:t>公司对法律法规及其他要求进行了获取，包括质量法、合同法、环境保护法、劳动法、消防法、环境空气质量标准、固体废弃物环境防治法、仓库防火安全管理规则、劳动保护用品管理规定、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eastAsia"/>
                <w:sz w:val="21"/>
                <w:szCs w:val="21"/>
              </w:rPr>
              <w:t>GB/T19001-2016《质量管理体系 要求》、GB/T24001-2016《环境管理体系 要求及使用指南》、GB/T28001-2011《职业健康安全管理体系 要求》等法规要求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Times New Roman" w:hAnsi="Times New Roman" w:cs="Times New Roman"/>
                <w:sz w:val="21"/>
                <w:szCs w:val="21"/>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Times New Roman" w:hAnsi="Times New Roman" w:cs="Times New Roman"/>
                <w:sz w:val="21"/>
                <w:szCs w:val="21"/>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240" w:lineRule="exact"/>
              <w:rPr>
                <w:rFonts w:hint="eastAsia" w:ascii="Times New Roman" w:hAnsi="Times New Roman" w:cs="Times New Roman"/>
                <w:sz w:val="21"/>
                <w:szCs w:val="21"/>
              </w:rPr>
            </w:pPr>
            <w:r>
              <w:rPr>
                <w:rFonts w:hint="eastAsia" w:ascii="Times New Roman" w:hAnsi="Times New Roman" w:cs="Times New Roman"/>
                <w:sz w:val="21"/>
                <w:szCs w:val="21"/>
              </w:rPr>
              <w:t>1.管理方针：坚持产品质量第一，确保增进顾客满意；</w:t>
            </w:r>
          </w:p>
          <w:p>
            <w:pPr>
              <w:spacing w:line="240" w:lineRule="exact"/>
              <w:rPr>
                <w:rFonts w:hint="eastAsia" w:ascii="Times New Roman" w:hAnsi="Times New Roman" w:cs="Times New Roman"/>
                <w:sz w:val="21"/>
                <w:szCs w:val="21"/>
              </w:rPr>
            </w:pPr>
            <w:r>
              <w:rPr>
                <w:rFonts w:hint="eastAsia" w:ascii="Times New Roman" w:hAnsi="Times New Roman" w:cs="Times New Roman"/>
                <w:sz w:val="21"/>
                <w:szCs w:val="21"/>
              </w:rPr>
              <w:t>坚持遵守法律法规，实现环保安全目标；</w:t>
            </w:r>
          </w:p>
          <w:p>
            <w:pPr>
              <w:spacing w:line="240" w:lineRule="exact"/>
              <w:rPr>
                <w:rFonts w:hint="eastAsia" w:ascii="Times New Roman" w:hAnsi="Times New Roman" w:cs="Times New Roman"/>
                <w:sz w:val="21"/>
                <w:szCs w:val="21"/>
              </w:rPr>
            </w:pPr>
            <w:r>
              <w:rPr>
                <w:rFonts w:hint="eastAsia" w:ascii="Times New Roman" w:hAnsi="Times New Roman" w:cs="Times New Roman"/>
                <w:sz w:val="21"/>
                <w:szCs w:val="21"/>
              </w:rPr>
              <w:t>规范企业经营管理，持续改进管理体系</w:t>
            </w:r>
          </w:p>
          <w:p>
            <w:pPr>
              <w:spacing w:line="240" w:lineRule="exact"/>
              <w:rPr>
                <w:rFonts w:hint="eastAsia" w:ascii="Times New Roman" w:hAnsi="Times New Roman" w:cs="Times New Roman"/>
                <w:sz w:val="21"/>
                <w:szCs w:val="21"/>
              </w:rPr>
            </w:pPr>
            <w:r>
              <w:rPr>
                <w:rFonts w:hint="eastAsia" w:ascii="Times New Roman" w:hAnsi="Times New Roman" w:cs="Times New Roman"/>
                <w:sz w:val="21"/>
                <w:szCs w:val="21"/>
              </w:rPr>
              <w:t>2. 管理方针与企业的经营宗旨相适应，协调；</w:t>
            </w:r>
          </w:p>
          <w:p>
            <w:pPr>
              <w:spacing w:line="240" w:lineRule="exact"/>
              <w:rPr>
                <w:rFonts w:hint="eastAsia" w:ascii="宋体" w:hAnsi="宋体"/>
                <w:b/>
                <w:sz w:val="21"/>
                <w:szCs w:val="21"/>
              </w:rPr>
            </w:pPr>
            <w:r>
              <w:rPr>
                <w:rFonts w:hint="eastAsia" w:ascii="Times New Roman" w:hAnsi="Times New Roman" w:cs="Times New Roman"/>
                <w:sz w:val="21"/>
                <w:szCs w:val="21"/>
              </w:rPr>
              <w:t>3. 通过会议传达，沟通，让全体员工理解执行。并定期进行评审（一般一年一次）</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spacing w:line="240" w:lineRule="exact"/>
              <w:rPr>
                <w:rFonts w:ascii="楷体_GB2312" w:eastAsia="楷体_GB2312"/>
                <w:b/>
                <w:color w:val="000000" w:themeColor="text1"/>
                <w:sz w:val="20"/>
                <w:szCs w:val="20"/>
              </w:rPr>
            </w:pPr>
          </w:p>
          <w:p>
            <w:pPr>
              <w:spacing w:line="240" w:lineRule="exact"/>
              <w:rPr>
                <w:rFonts w:hint="default" w:ascii="宋体" w:hAnsi="宋体" w:cs="Times New Roman"/>
                <w:szCs w:val="21"/>
                <w:lang w:val="en-US" w:eastAsia="zh-CN"/>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spacing w:line="240" w:lineRule="exact"/>
              <w:rPr>
                <w:rFonts w:ascii="楷体_GB2312" w:eastAsia="楷体_GB2312"/>
                <w:b/>
                <w:color w:val="000000" w:themeColor="text1"/>
                <w:sz w:val="20"/>
                <w:szCs w:val="20"/>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spacing w:line="240" w:lineRule="exact"/>
              <w:rPr>
                <w:rFonts w:ascii="楷体_GB2312" w:eastAsia="楷体_GB2312"/>
                <w:b/>
                <w:color w:val="000000" w:themeColor="text1"/>
                <w:sz w:val="20"/>
                <w:szCs w:val="20"/>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楷体_GB2312" w:eastAsia="楷体_GB2312"/>
                <w:b/>
                <w:color w:val="000000" w:themeColor="text1"/>
                <w:szCs w:val="21"/>
              </w:rPr>
            </w:pPr>
          </w:p>
          <w:p>
            <w:pPr>
              <w:spacing w:line="240" w:lineRule="exact"/>
              <w:rPr>
                <w:rFonts w:ascii="宋体" w:hAnsi="宋体"/>
                <w:b/>
                <w:sz w:val="2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1.产品和服务要求（投标及合同管理）：主要根据顾客提出的产品要求/标书中明示产品要求/产品执行的技术指标等进行控制，严格按要求进行了合同评审—确保能满足客户需求，控制情况较好。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2.采购过程控制：首先编制采购产品验收规范、采购产品检验规程等作业文件规定采购产品质量要求；其次对供方进行了评价，</w:t>
            </w:r>
            <w:r>
              <w:rPr>
                <w:rFonts w:hint="eastAsia"/>
                <w:sz w:val="21"/>
                <w:szCs w:val="21"/>
                <w:lang w:val="en-US" w:eastAsia="zh-CN"/>
              </w:rPr>
              <w:t>对供方包括外包方的评价全面，控制符合要求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ascii="宋体" w:hAnsi="宋体"/>
                <w:sz w:val="21"/>
                <w:szCs w:val="21"/>
                <w:lang w:val="en-GB"/>
              </w:rPr>
              <w:t>通过市场调研或网络调查，与顾客洽谈产品型号</w:t>
            </w:r>
            <w:r>
              <w:rPr>
                <w:rFonts w:hint="eastAsia" w:ascii="宋体" w:hAnsi="宋体"/>
                <w:sz w:val="21"/>
                <w:szCs w:val="21"/>
              </w:rPr>
              <w:t>/数量/价格等信息，与顾客签订合同，进行合同评审，进行售前/售中/售后服务，通过合同评审表，评审内容有交货期/价格/产品质量要求等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4.销售过程：公司与产品有关的要求主要体现在标书、合同及相关法律法规及标准中。</w:t>
            </w:r>
            <w:r>
              <w:rPr>
                <w:rFonts w:hint="eastAsia" w:ascii="宋体" w:cs="宋体"/>
                <w:sz w:val="21"/>
                <w:szCs w:val="21"/>
              </w:rPr>
              <w:t>一般通过电话、老客户介绍、招投标等方式进行销售。在签订正式合同前，由供销部组织进行合同评审，签订合同后，组织生产及时与客户沟通，按时交付。</w:t>
            </w:r>
            <w:r>
              <w:rPr>
                <w:rFonts w:hint="eastAsia"/>
                <w:sz w:val="21"/>
                <w:szCs w:val="21"/>
              </w:rPr>
              <w:t>收集顾客对产品的反馈信息，开展顾客满意度调查，包括顾客抱怨和投诉，体系建立以来未发生顾客投诉事件。</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1"/>
                <w:szCs w:val="21"/>
              </w:rPr>
            </w:pPr>
            <w:r>
              <w:rPr>
                <w:rFonts w:hint="eastAsia"/>
                <w:sz w:val="21"/>
                <w:szCs w:val="21"/>
              </w:rPr>
              <w:t>5.不合格品控制情况评价：在产品进货检验中出现的不合格可进行退货处理，在产品交付后出现不合格可进行换货或退货处理；出厂的产品均为合格品，至今客户反馈无质量问题。</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 w:val="21"/>
                <w:szCs w:val="21"/>
              </w:rPr>
            </w:pPr>
            <w:r>
              <w:rPr>
                <w:rFonts w:hint="eastAsia"/>
                <w:sz w:val="21"/>
                <w:szCs w:val="21"/>
              </w:rPr>
              <w:t>6.变更的控制：销售合同评审后，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r>
              <w:rPr>
                <w:rFonts w:hint="eastAsia" w:ascii="Times New Roman" w:hAnsi="Times New Roman" w:cs="Times New Roman"/>
                <w:sz w:val="21"/>
                <w:szCs w:val="21"/>
                <w:lang w:val="en-US" w:eastAsia="zh-CN"/>
              </w:rPr>
              <w:t>主要满足客户要求，目前向顾客提供的产品均合格，提供有客户验收记录。</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300" w:lineRule="exact"/>
              <w:ind w:firstLine="840" w:firstLineChars="4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sz w:val="21"/>
                <w:szCs w:val="21"/>
                <w:lang w:val="en-GB"/>
              </w:rPr>
              <w:t>编制</w:t>
            </w:r>
            <w:r>
              <w:rPr>
                <w:rFonts w:hint="eastAsia"/>
                <w:sz w:val="21"/>
                <w:szCs w:val="21"/>
              </w:rPr>
              <w:t>环境、职业健康安全运行控制程序，固体废弃物管理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现场查看办公区域干净整洁，</w:t>
            </w:r>
            <w:r>
              <w:rPr>
                <w:rFonts w:hint="eastAsia"/>
                <w:sz w:val="21"/>
                <w:szCs w:val="21"/>
                <w:lang w:val="en-US" w:eastAsia="zh-CN"/>
              </w:rPr>
              <w:t>但未</w:t>
            </w:r>
            <w:r>
              <w:rPr>
                <w:rFonts w:hint="eastAsia"/>
                <w:sz w:val="21"/>
                <w:szCs w:val="21"/>
              </w:rPr>
              <w:t>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ascii="宋体" w:hAnsi="宋体"/>
                <w:b/>
                <w:sz w:val="21"/>
                <w:szCs w:val="21"/>
                <w:lang w:eastAsia="zh-CN"/>
              </w:rPr>
            </w:pPr>
            <w:r>
              <w:rPr>
                <w:rFonts w:ascii="宋体" w:hAnsi="宋体"/>
                <w:b/>
                <w:sz w:val="21"/>
                <w:szCs w:val="21"/>
              </w:rPr>
              <w:t>OHSMS</w:t>
            </w:r>
            <w:r>
              <w:rPr>
                <w:rFonts w:hint="eastAsia" w:ascii="宋体" w:hAnsi="宋体"/>
                <w:b/>
                <w:sz w:val="21"/>
                <w:szCs w:val="21"/>
              </w:rPr>
              <w:t>组织对不可接受风险实施控制的结果</w:t>
            </w:r>
            <w:r>
              <w:rPr>
                <w:rFonts w:hint="eastAsia" w:ascii="宋体" w:hAnsi="宋体"/>
                <w:b/>
                <w:sz w:val="21"/>
                <w:szCs w:val="21"/>
                <w:lang w:eastAsia="zh-CN"/>
              </w:rPr>
              <w:t>：</w:t>
            </w:r>
          </w:p>
          <w:p>
            <w:pPr>
              <w:numPr>
                <w:ilvl w:val="0"/>
                <w:numId w:val="0"/>
              </w:numPr>
              <w:spacing w:line="240" w:lineRule="exact"/>
              <w:ind w:firstLine="420" w:firstLineChars="200"/>
              <w:rPr>
                <w:rFonts w:hint="eastAsia" w:ascii="宋体" w:hAnsi="宋体"/>
                <w:b/>
                <w:sz w:val="21"/>
                <w:szCs w:val="21"/>
                <w:lang w:eastAsia="zh-CN"/>
              </w:rPr>
            </w:pPr>
            <w:r>
              <w:rPr>
                <w:rFonts w:hint="eastAsia"/>
                <w:sz w:val="21"/>
                <w:szCs w:val="21"/>
                <w:lang w:val="en-GB"/>
              </w:rPr>
              <w:t>编制环境、职业健康安全运行控制程序，对相关方施加影响</w:t>
            </w:r>
            <w:r>
              <w:rPr>
                <w:rFonts w:hint="eastAsia"/>
                <w:sz w:val="21"/>
                <w:szCs w:val="21"/>
                <w:lang w:val="en-US" w:eastAsia="zh-CN"/>
              </w:rPr>
              <w:t>管理规定</w:t>
            </w:r>
            <w:r>
              <w:rPr>
                <w:rFonts w:hint="eastAsia"/>
                <w:sz w:val="21"/>
                <w:szCs w:val="21"/>
                <w:lang w:val="en-GB"/>
              </w:rPr>
              <w:t>、办公室安全管理制度</w:t>
            </w:r>
            <w:r>
              <w:rPr>
                <w:rFonts w:hint="eastAsia"/>
                <w:sz w:val="21"/>
                <w:szCs w:val="21"/>
                <w:lang w:val="en-GB" w:eastAsia="zh-CN"/>
              </w:rPr>
              <w:t>、</w:t>
            </w:r>
            <w:r>
              <w:rPr>
                <w:rFonts w:hint="eastAsia"/>
                <w:sz w:val="21"/>
                <w:szCs w:val="21"/>
                <w:lang w:val="en-GB"/>
              </w:rPr>
              <w:t>车辆管理规定</w:t>
            </w:r>
            <w:r>
              <w:rPr>
                <w:rFonts w:hint="eastAsia"/>
                <w:sz w:val="21"/>
                <w:szCs w:val="21"/>
                <w:lang w:val="en-GB" w:eastAsia="zh-CN"/>
              </w:rPr>
              <w:t>、</w:t>
            </w:r>
            <w:r>
              <w:rPr>
                <w:rFonts w:hint="eastAsia"/>
                <w:sz w:val="21"/>
                <w:szCs w:val="21"/>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、相关方施加影响等进行控制，具体措施有对员工进行安全教育，发放劳保用品，对相关方进行告知，现场查看办公区域干净整洁，</w:t>
            </w:r>
            <w:r>
              <w:rPr>
                <w:rFonts w:hint="eastAsia"/>
                <w:sz w:val="21"/>
                <w:szCs w:val="21"/>
                <w:lang w:val="en-US" w:eastAsia="zh-CN"/>
              </w:rPr>
              <w:t>但未</w:t>
            </w:r>
            <w:r>
              <w:rPr>
                <w:rFonts w:hint="eastAsia"/>
                <w:sz w:val="21"/>
                <w:szCs w:val="21"/>
              </w:rPr>
              <w:t>配置灭火器等消防设施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ind w:firstLine="630" w:firstLineChars="300"/>
              <w:rPr>
                <w:rFonts w:ascii="宋体" w:hAnsi="宋体"/>
                <w:b/>
                <w:sz w:val="21"/>
                <w:szCs w:val="21"/>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r>
              <w:rPr>
                <w:rFonts w:hint="eastAsia"/>
                <w:sz w:val="21"/>
                <w:szCs w:val="21"/>
                <w:lang w:val="en-US" w:eastAsia="zh-CN"/>
              </w:rPr>
              <w:t>但现场未</w:t>
            </w:r>
            <w:r>
              <w:rPr>
                <w:rFonts w:hint="eastAsia"/>
                <w:sz w:val="21"/>
                <w:szCs w:val="21"/>
              </w:rPr>
              <w:t>配置灭火器等消防设施</w:t>
            </w:r>
            <w:r>
              <w:rPr>
                <w:rFonts w:hint="eastAsia"/>
                <w:b w:val="0"/>
                <w:bCs w:val="0"/>
                <w:sz w:val="21"/>
                <w:szCs w:val="21"/>
                <w:lang w:val="en-US" w:eastAsia="zh-CN"/>
              </w:rPr>
              <w:t>。已开具不符合报告，要求限期整改。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Times New Roman" w:hAnsi="Times New Roman" w:cs="Times New Roman"/>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Times New Roman" w:hAnsi="Times New Roman" w:cs="Times New Roman"/>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w:t>
            </w:r>
            <w:r>
              <w:rPr>
                <w:rFonts w:hint="eastAsia"/>
                <w:sz w:val="21"/>
                <w:szCs w:val="21"/>
                <w:lang w:val="en-US" w:eastAsia="zh-CN"/>
              </w:rPr>
              <w:t>1、2季度</w:t>
            </w:r>
            <w:r>
              <w:rPr>
                <w:rFonts w:hint="eastAsia"/>
                <w:sz w:val="21"/>
                <w:szCs w:val="21"/>
              </w:rPr>
              <w:t>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lang w:eastAsia="zh-CN"/>
              </w:rPr>
            </w:pPr>
            <w:r>
              <w:rPr>
                <w:rFonts w:hint="eastAsia" w:ascii="宋体" w:hAnsi="宋体"/>
                <w:b/>
                <w:sz w:val="21"/>
                <w:szCs w:val="21"/>
              </w:rPr>
              <w:t>顾客满意</w:t>
            </w:r>
            <w:r>
              <w:rPr>
                <w:rFonts w:hint="eastAsia" w:ascii="宋体" w:hAnsi="宋体"/>
                <w:b/>
                <w:sz w:val="21"/>
                <w:szCs w:val="21"/>
                <w:lang w:eastAsia="zh-CN"/>
              </w:rPr>
              <w:t>：</w:t>
            </w: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p>
            <w:pPr>
              <w:numPr>
                <w:ilvl w:val="0"/>
                <w:numId w:val="0"/>
              </w:numPr>
              <w:spacing w:line="240" w:lineRule="exact"/>
              <w:ind w:leftChars="-50"/>
              <w:rPr>
                <w:rFonts w:hint="eastAsia" w:ascii="宋体" w:hAnsi="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Times New Roman" w:hAnsi="Times New Roman" w:cs="Times New Roman"/>
                <w:sz w:val="21"/>
                <w:szCs w:val="21"/>
                <w:lang w:eastAsia="zh-CN"/>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r>
              <w:rPr>
                <w:rFonts w:hint="eastAsia" w:ascii="宋体" w:hAnsi="宋体"/>
                <w:b/>
                <w:sz w:val="21"/>
                <w:szCs w:val="21"/>
                <w:lang w:eastAsia="zh-CN"/>
              </w:rPr>
              <w:t>：</w:t>
            </w:r>
            <w:r>
              <w:rPr>
                <w:rFonts w:hint="eastAsia"/>
                <w:sz w:val="21"/>
                <w:szCs w:val="21"/>
              </w:rPr>
              <w:t>按照策划的安排于2020年02月10-11</w:t>
            </w:r>
            <w:r>
              <w:rPr>
                <w:rFonts w:hint="eastAsia" w:ascii="Times New Roman" w:hAnsi="Times New Roman" w:cs="Times New Roman"/>
                <w:sz w:val="21"/>
                <w:szCs w:val="21"/>
              </w:rPr>
              <w:t>日进行了一次集中式的内部审核，经查阅资料及与管代沟通，内审员没有审核自己的工作，查阅内审记录，符合策划安排，提出2项不符合，责任部门进行了分析原因、采取纠正/纠正措施并验证了有效性，内审报告中对管理体系的符合性、充分性和运行有效性进行了评价。内审符合要求</w:t>
            </w:r>
            <w:r>
              <w:rPr>
                <w:rFonts w:hint="eastAsia" w:ascii="Times New Roman" w:hAnsi="Times New Roman" w:cs="Times New Roman"/>
                <w:sz w:val="21"/>
                <w:szCs w:val="21"/>
                <w:lang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r>
              <w:rPr>
                <w:rFonts w:hint="eastAsia" w:ascii="宋体" w:hAnsi="宋体"/>
                <w:b/>
                <w:sz w:val="21"/>
                <w:szCs w:val="21"/>
                <w:lang w:eastAsia="zh-CN"/>
              </w:rPr>
              <w:t>：</w:t>
            </w:r>
            <w:r>
              <w:rPr>
                <w:rFonts w:hint="eastAsia"/>
                <w:sz w:val="21"/>
                <w:szCs w:val="21"/>
              </w:rPr>
              <w:t>按照策划的安排于2020年02月12日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
              </w:numPr>
              <w:spacing w:line="240" w:lineRule="exact"/>
              <w:ind w:left="0" w:leftChars="0" w:firstLine="0" w:firstLineChars="0"/>
              <w:rPr>
                <w:rFonts w:hint="eastAsia" w:ascii="宋体" w:hAnsi="宋体"/>
                <w:b/>
                <w:sz w:val="21"/>
                <w:szCs w:val="21"/>
                <w:lang w:eastAsia="zh-CN"/>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r>
              <w:rPr>
                <w:rFonts w:hint="eastAsia" w:ascii="宋体" w:hAnsi="宋体"/>
                <w:b/>
                <w:sz w:val="21"/>
                <w:szCs w:val="21"/>
                <w:lang w:eastAsia="zh-CN"/>
              </w:rPr>
              <w:t>：</w:t>
            </w:r>
          </w:p>
          <w:p>
            <w:pPr>
              <w:numPr>
                <w:ilvl w:val="0"/>
                <w:numId w:val="0"/>
              </w:numPr>
              <w:spacing w:line="240" w:lineRule="exact"/>
              <w:ind w:leftChars="0"/>
              <w:rPr>
                <w:rFonts w:ascii="宋体" w:hAnsi="宋体"/>
                <w:b/>
                <w:sz w:val="21"/>
                <w:szCs w:val="21"/>
              </w:rPr>
            </w:pPr>
            <w:r>
              <w:rPr>
                <w:rFonts w:hint="eastAsia" w:ascii="宋体" w:hAnsi="宋体"/>
                <w:b/>
                <w:sz w:val="21"/>
                <w:szCs w:val="21"/>
                <w:lang w:val="en-US" w:eastAsia="zh-CN"/>
              </w:rPr>
              <w:t xml:space="preserve">  </w:t>
            </w: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
              </w:numPr>
              <w:spacing w:line="240" w:lineRule="exact"/>
              <w:ind w:left="0" w:leftChars="0" w:firstLine="0" w:firstLineChars="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0" w:firstLine="420" w:firstLineChars="200"/>
              <w:rPr>
                <w:rFonts w:hint="default" w:ascii="Times New Roman" w:hAnsi="Times New Roman" w:cs="Times New Roman"/>
                <w:color w:val="0000FF"/>
                <w:sz w:val="21"/>
                <w:szCs w:val="21"/>
                <w:lang w:val="en-US" w:eastAsia="zh-CN"/>
              </w:rPr>
            </w:pPr>
            <w:r>
              <w:rPr>
                <w:rFonts w:hint="eastAsia" w:ascii="Times New Roman" w:hAnsi="Times New Roman" w:cs="Times New Roman"/>
                <w:color w:val="0000FF"/>
                <w:sz w:val="21"/>
                <w:szCs w:val="21"/>
                <w:lang w:val="en-US" w:eastAsia="zh-CN"/>
              </w:rPr>
              <w:t>2020年度没有对员工进行体检，已经开出不符合项。</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r>
              <w:rPr>
                <w:rFonts w:hint="eastAsia" w:ascii="宋体" w:hAnsi="宋体"/>
                <w:b/>
                <w:sz w:val="21"/>
                <w:szCs w:val="21"/>
                <w:lang w:eastAsia="zh-CN"/>
              </w:rPr>
              <w:t>：</w:t>
            </w:r>
            <w:r>
              <w:rPr>
                <w:rFonts w:hint="eastAsia" w:ascii="Times New Roman" w:hAnsi="Times New Roman" w:cs="Times New Roman"/>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81" w:right="113" w:hanging="181" w:hangingChars="100"/>
              <w:jc w:val="both"/>
              <w:rPr>
                <w:rFonts w:ascii="宋体" w:hAnsi="宋体"/>
                <w:b/>
                <w:szCs w:val="21"/>
              </w:rPr>
            </w:pPr>
            <w:r>
              <w:rPr>
                <w:rFonts w:hint="eastAsia" w:ascii="宋体" w:hAnsi="宋体"/>
                <w:b/>
                <w:sz w:val="18"/>
                <w:szCs w:val="18"/>
              </w:rPr>
              <w:t>(五)</w:t>
            </w:r>
            <w:r>
              <w:rPr>
                <w:rFonts w:hint="eastAsia" w:ascii="宋体" w:hAnsi="宋体"/>
                <w:b/>
                <w:szCs w:val="21"/>
              </w:rPr>
              <w:t>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Times New Roman" w:hAnsi="Times New Roman" w:cs="Times New Roman"/>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Times New Roman" w:hAnsi="Times New Roman" w:cs="Times New Roman"/>
                <w:sz w:val="21"/>
                <w:szCs w:val="21"/>
                <w:lang w:val="en-US" w:eastAsia="zh-CN"/>
              </w:rPr>
              <w:t>积极开展新的销售模式。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Times New Roman" w:hAnsi="Times New Roman" w:cs="Times New Roman"/>
                <w:sz w:val="21"/>
                <w:szCs w:val="21"/>
                <w:lang w:val="en-US" w:eastAsia="zh-CN"/>
              </w:rPr>
              <w:t>经检查，</w:t>
            </w:r>
            <w:r>
              <w:rPr>
                <w:rFonts w:hint="eastAsia" w:cs="Times New Roman"/>
                <w:sz w:val="21"/>
                <w:szCs w:val="21"/>
                <w:lang w:val="en-US" w:eastAsia="zh-CN"/>
              </w:rPr>
              <w:t>在办公室明显位置有灭火器，</w:t>
            </w:r>
            <w:r>
              <w:rPr>
                <w:rFonts w:hint="eastAsia" w:ascii="Times New Roman" w:hAnsi="Times New Roman" w:cs="Times New Roman"/>
                <w:sz w:val="21"/>
                <w:szCs w:val="21"/>
                <w:lang w:val="en-US" w:eastAsia="zh-CN"/>
              </w:rPr>
              <w:t>已经整改完毕，纠正措施实施有效。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w:t>
      </w:r>
      <w:r>
        <w:rPr>
          <w:rFonts w:hint="eastAsia" w:ascii="宋体" w:hAnsi="宋体"/>
          <w:b/>
          <w:szCs w:val="21"/>
          <w:lang w:val="en-US" w:eastAsia="zh-CN"/>
        </w:rPr>
        <w:t>1个</w:t>
      </w:r>
      <w:r>
        <w:rPr>
          <w:rFonts w:hint="eastAsia" w:ascii="宋体" w:hAnsi="宋体"/>
          <w:b/>
          <w:szCs w:val="21"/>
        </w:rPr>
        <w:t>不符合项报告项；其中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w:t>
      </w:r>
      <w:r>
        <w:rPr>
          <w:rFonts w:hint="eastAsia" w:ascii="宋体" w:hAnsi="宋体"/>
          <w:b/>
          <w:szCs w:val="21"/>
          <w:lang w:eastAsia="zh-CN"/>
        </w:rPr>
        <w:t>，</w:t>
      </w:r>
      <w:r>
        <w:rPr>
          <w:rFonts w:hint="eastAsia" w:ascii="宋体" w:hAnsi="宋体"/>
          <w:b/>
          <w:szCs w:val="21"/>
        </w:rPr>
        <w:t>分布在</w:t>
      </w:r>
      <w:r>
        <w:rPr>
          <w:rFonts w:hint="eastAsia" w:ascii="宋体" w:hAnsi="宋体"/>
          <w:b/>
          <w:szCs w:val="21"/>
          <w:lang w:val="en-US" w:eastAsia="zh-CN"/>
        </w:rPr>
        <w:t>办公室</w:t>
      </w:r>
      <w:r>
        <w:rPr>
          <w:rFonts w:hint="eastAsia" w:ascii="宋体" w:hAnsi="宋体"/>
          <w:b/>
          <w:szCs w:val="21"/>
        </w:rPr>
        <w:t>部门</w:t>
      </w:r>
      <w:r>
        <w:rPr>
          <w:rFonts w:hint="eastAsia" w:ascii="宋体" w:hAnsi="宋体"/>
          <w:b/>
          <w:szCs w:val="21"/>
          <w:lang w:eastAsia="zh-CN"/>
        </w:rPr>
        <w:t>，</w:t>
      </w:r>
      <w:r>
        <w:rPr>
          <w:rFonts w:hint="eastAsia" w:ascii="宋体" w:hAnsi="宋体"/>
          <w:b/>
          <w:szCs w:val="21"/>
        </w:rPr>
        <w:t>条款</w:t>
      </w:r>
      <w:r>
        <w:rPr>
          <w:rFonts w:hint="eastAsia" w:ascii="宋体" w:hAnsi="宋体"/>
          <w:b/>
          <w:szCs w:val="21"/>
          <w:lang w:val="en-US" w:eastAsia="zh-CN"/>
        </w:rPr>
        <w:t>O4.5.1</w:t>
      </w:r>
      <w:r>
        <w:rPr>
          <w:rFonts w:hint="eastAsia" w:ascii="宋体" w:hAnsi="宋体"/>
          <w:b/>
          <w:szCs w:val="21"/>
        </w:rPr>
        <w:t>，见不符合项分布表。（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left="252" w:leftChars="105" w:firstLine="0" w:firstLineChars="0"/>
              <w:rPr>
                <w:rFonts w:hint="eastAsia" w:ascii="Times New Roman" w:hAnsi="Times New Roman" w:cs="Times New Roman"/>
                <w:b w:val="0"/>
                <w:bCs/>
                <w:color w:val="000000" w:themeColor="text1"/>
                <w:sz w:val="22"/>
                <w:szCs w:val="22"/>
              </w:rPr>
            </w:pPr>
            <w:bookmarkStart w:id="27" w:name="_GoBack"/>
            <w:r>
              <w:rPr>
                <w:rFonts w:hint="eastAsia" w:ascii="Times New Roman" w:hAnsi="Times New Roman" w:cs="Times New Roman"/>
                <w:b w:val="0"/>
                <w:bCs/>
                <w:color w:val="000000" w:themeColor="text1"/>
                <w:sz w:val="22"/>
                <w:szCs w:val="22"/>
              </w:rPr>
              <w:t>组织的</w:t>
            </w:r>
            <w:r>
              <w:rPr>
                <w:rFonts w:hint="eastAsia" w:ascii="Times New Roman" w:hAnsi="Times New Roman" w:cs="Times New Roman"/>
                <w:b w:val="0"/>
                <w:bCs/>
                <w:color w:val="000000" w:themeColor="text1"/>
                <w:sz w:val="22"/>
                <w:szCs w:val="22"/>
                <w:lang w:val="en-US" w:eastAsia="zh-CN"/>
              </w:rPr>
              <w:t>QEO</w:t>
            </w:r>
            <w:r>
              <w:rPr>
                <w:rFonts w:hint="eastAsia" w:ascii="Times New Roman" w:hAnsi="Times New Roman" w:cs="Times New Roman"/>
                <w:b w:val="0"/>
                <w:bCs/>
                <w:color w:val="000000" w:themeColor="text1"/>
                <w:sz w:val="22"/>
                <w:szCs w:val="22"/>
              </w:rPr>
              <w:t>管理体系在认证周期内持续</w:t>
            </w:r>
            <w:r>
              <w:rPr>
                <w:rFonts w:hint="eastAsia" w:ascii="Times New Roman" w:hAnsi="Times New Roman" w:cs="Times New Roman"/>
                <w:b w:val="0"/>
                <w:bCs/>
                <w:color w:val="000000" w:themeColor="text1"/>
                <w:sz w:val="22"/>
                <w:szCs w:val="22"/>
                <w:lang w:val="en-US" w:eastAsia="zh-CN"/>
              </w:rPr>
              <w:t>有效</w:t>
            </w:r>
            <w:r>
              <w:rPr>
                <w:rFonts w:hint="eastAsia" w:ascii="Times New Roman" w:hAnsi="Times New Roman" w:cs="Times New Roman"/>
                <w:b w:val="0"/>
                <w:bCs/>
                <w:color w:val="000000" w:themeColor="text1"/>
                <w:sz w:val="22"/>
                <w:szCs w:val="22"/>
              </w:rPr>
              <w:t>，持续满足标准要求和目标有效，</w:t>
            </w:r>
            <w:r>
              <w:rPr>
                <w:rFonts w:hint="eastAsia" w:ascii="Times New Roman" w:hAnsi="Times New Roman" w:cs="Times New Roman"/>
                <w:b w:val="0"/>
                <w:bCs/>
                <w:color w:val="000000" w:themeColor="text1"/>
                <w:sz w:val="22"/>
                <w:szCs w:val="22"/>
                <w:lang w:val="en-US" w:eastAsia="zh-CN"/>
              </w:rPr>
              <w:t>能够</w:t>
            </w:r>
            <w:r>
              <w:rPr>
                <w:rFonts w:hint="eastAsia" w:ascii="Times New Roman" w:hAnsi="Times New Roman" w:cs="Times New Roman"/>
                <w:b w:val="0"/>
                <w:bCs/>
                <w:color w:val="000000" w:themeColor="text1"/>
                <w:sz w:val="22"/>
                <w:szCs w:val="22"/>
              </w:rPr>
              <w:t>稳定、合格</w:t>
            </w:r>
            <w:r>
              <w:rPr>
                <w:rFonts w:hint="eastAsia" w:ascii="Times New Roman" w:hAnsi="Times New Roman" w:cs="Times New Roman"/>
                <w:b w:val="0"/>
                <w:bCs/>
                <w:color w:val="000000" w:themeColor="text1"/>
                <w:sz w:val="22"/>
                <w:szCs w:val="22"/>
                <w:lang w:val="en-US" w:eastAsia="zh-CN"/>
              </w:rPr>
              <w:t>地提供顾客满意的</w:t>
            </w:r>
            <w:r>
              <w:rPr>
                <w:rFonts w:hint="eastAsia" w:ascii="Times New Roman" w:hAnsi="Times New Roman" w:cs="Times New Roman"/>
                <w:b w:val="0"/>
                <w:bCs/>
                <w:color w:val="000000" w:themeColor="text1"/>
                <w:sz w:val="22"/>
                <w:szCs w:val="22"/>
              </w:rPr>
              <w:t>产品</w:t>
            </w:r>
            <w:r>
              <w:rPr>
                <w:rFonts w:hint="eastAsia" w:ascii="Times New Roman" w:hAnsi="Times New Roman" w:cs="Times New Roman"/>
                <w:b w:val="0"/>
                <w:bCs/>
                <w:color w:val="000000" w:themeColor="text1"/>
                <w:sz w:val="22"/>
                <w:szCs w:val="22"/>
                <w:lang w:eastAsia="zh-CN"/>
              </w:rPr>
              <w:t>；</w:t>
            </w:r>
            <w:r>
              <w:rPr>
                <w:rFonts w:hint="eastAsia" w:ascii="Times New Roman" w:hAnsi="Times New Roman" w:cs="Times New Roman"/>
                <w:b w:val="0"/>
                <w:bCs/>
                <w:color w:val="000000" w:themeColor="text1"/>
                <w:sz w:val="22"/>
                <w:szCs w:val="22"/>
                <w:lang w:val="en-US" w:eastAsia="zh-CN"/>
              </w:rPr>
              <w:t>能够</w:t>
            </w:r>
            <w:r>
              <w:rPr>
                <w:rFonts w:hint="eastAsia" w:ascii="Times New Roman" w:hAnsi="Times New Roman" w:cs="Times New Roman"/>
                <w:b w:val="0"/>
                <w:bCs/>
                <w:color w:val="000000" w:themeColor="text1"/>
                <w:sz w:val="22"/>
                <w:szCs w:val="22"/>
              </w:rPr>
              <w:t>满足环境/职业健康安全法规</w:t>
            </w:r>
            <w:r>
              <w:rPr>
                <w:rFonts w:hint="eastAsia" w:ascii="Times New Roman" w:hAnsi="Times New Roman" w:cs="Times New Roman"/>
                <w:b w:val="0"/>
                <w:bCs/>
                <w:color w:val="000000" w:themeColor="text1"/>
                <w:sz w:val="22"/>
                <w:szCs w:val="22"/>
                <w:lang w:eastAsia="zh-CN"/>
              </w:rPr>
              <w:t>，</w:t>
            </w:r>
            <w:r>
              <w:rPr>
                <w:rFonts w:hint="eastAsia" w:ascii="Times New Roman" w:hAnsi="Times New Roman" w:cs="Times New Roman"/>
                <w:b w:val="0"/>
                <w:bCs/>
                <w:color w:val="000000" w:themeColor="text1"/>
                <w:sz w:val="22"/>
                <w:szCs w:val="22"/>
                <w:lang w:val="en-US" w:eastAsia="zh-CN"/>
              </w:rPr>
              <w:t>对环境因素和危险源进行了控制，近一年没有</w:t>
            </w:r>
            <w:r>
              <w:rPr>
                <w:rFonts w:hint="eastAsia" w:ascii="Times New Roman" w:hAnsi="Times New Roman" w:cs="Times New Roman"/>
                <w:b w:val="0"/>
                <w:bCs/>
                <w:color w:val="000000" w:themeColor="text1"/>
                <w:sz w:val="22"/>
                <w:szCs w:val="22"/>
              </w:rPr>
              <w:t>重大事故</w:t>
            </w:r>
            <w:r>
              <w:rPr>
                <w:rFonts w:hint="eastAsia" w:ascii="Times New Roman" w:hAnsi="Times New Roman" w:cs="Times New Roman"/>
                <w:b w:val="0"/>
                <w:bCs/>
                <w:color w:val="000000" w:themeColor="text1"/>
                <w:sz w:val="22"/>
                <w:szCs w:val="22"/>
                <w:lang w:val="en-US" w:eastAsia="zh-CN"/>
              </w:rPr>
              <w:t>发生，能够</w:t>
            </w:r>
            <w:r>
              <w:rPr>
                <w:rFonts w:hint="eastAsia" w:ascii="Times New Roman" w:hAnsi="Times New Roman" w:cs="Times New Roman"/>
                <w:b w:val="0"/>
                <w:bCs/>
                <w:color w:val="000000" w:themeColor="text1"/>
                <w:sz w:val="22"/>
                <w:szCs w:val="22"/>
              </w:rPr>
              <w:t>持续改进策划的活动；</w:t>
            </w:r>
          </w:p>
          <w:p>
            <w:pPr>
              <w:spacing w:line="280" w:lineRule="exact"/>
              <w:ind w:left="252" w:leftChars="105" w:firstLine="0" w:firstLineChars="0"/>
              <w:rPr>
                <w:rFonts w:hint="eastAsia" w:ascii="宋体" w:hAnsi="宋体" w:eastAsia="宋体"/>
                <w:b/>
                <w:szCs w:val="21"/>
                <w:lang w:eastAsia="zh-CN"/>
              </w:rPr>
            </w:pPr>
            <w:r>
              <w:rPr>
                <w:rFonts w:hint="eastAsia" w:ascii="Times New Roman" w:hAnsi="Times New Roman" w:cs="Times New Roman"/>
                <w:b w:val="0"/>
                <w:bCs/>
                <w:color w:val="000000" w:themeColor="text1"/>
                <w:sz w:val="22"/>
                <w:szCs w:val="22"/>
                <w:lang w:val="en-US" w:eastAsia="zh-CN"/>
              </w:rPr>
              <w:t>公司没有</w:t>
            </w:r>
            <w:r>
              <w:rPr>
                <w:rFonts w:hint="eastAsia" w:ascii="Times New Roman" w:hAnsi="Times New Roman" w:cs="Times New Roman"/>
                <w:b w:val="0"/>
                <w:bCs/>
                <w:color w:val="000000" w:themeColor="text1"/>
                <w:sz w:val="22"/>
                <w:szCs w:val="22"/>
              </w:rPr>
              <w:t>扩大范围情况</w:t>
            </w:r>
            <w:r>
              <w:rPr>
                <w:rFonts w:hint="eastAsia" w:ascii="Times New Roman" w:hAnsi="Times New Roman" w:cs="Times New Roman"/>
                <w:b w:val="0"/>
                <w:bCs/>
                <w:color w:val="000000" w:themeColor="text1"/>
                <w:sz w:val="22"/>
                <w:szCs w:val="22"/>
                <w:lang w:eastAsia="zh-CN"/>
              </w:rPr>
              <w:t>。</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ind w:firstLine="241" w:firstLineChars="100"/>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rFonts w:hint="eastAsia" w:eastAsia="宋体"/>
          <w:b/>
          <w:sz w:val="16"/>
          <w:szCs w:val="16"/>
          <w:lang w:eastAsia="zh-CN"/>
        </w:rPr>
      </w:pPr>
      <w:r>
        <w:drawing>
          <wp:anchor distT="0" distB="0" distL="114300" distR="114300" simplePos="0" relativeHeight="251665408" behindDoc="1" locked="0" layoutInCell="1" allowOverlap="1">
            <wp:simplePos x="0" y="0"/>
            <wp:positionH relativeFrom="column">
              <wp:posOffset>1776095</wp:posOffset>
            </wp:positionH>
            <wp:positionV relativeFrom="paragraph">
              <wp:posOffset>201930</wp:posOffset>
            </wp:positionV>
            <wp:extent cx="744855" cy="754380"/>
            <wp:effectExtent l="0" t="0" r="4445" b="7620"/>
            <wp:wrapTight wrapText="bothSides">
              <wp:wrapPolygon>
                <wp:start x="0" y="0"/>
                <wp:lineTo x="0" y="21091"/>
                <wp:lineTo x="21361" y="21091"/>
                <wp:lineTo x="2136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lum contrast="84000"/>
                    </a:blip>
                    <a:stretch>
                      <a:fillRect/>
                    </a:stretch>
                  </pic:blipFill>
                  <pic:spPr>
                    <a:xfrm>
                      <a:off x="0" y="0"/>
                      <a:ext cx="744855" cy="754380"/>
                    </a:xfrm>
                    <a:prstGeom prst="rect">
                      <a:avLst/>
                    </a:prstGeom>
                    <a:solidFill>
                      <a:srgbClr val="9BBB59">
                        <a:alpha val="56000"/>
                      </a:srgbClr>
                    </a:solidFill>
                    <a:ln>
                      <a:noFill/>
                    </a:ln>
                    <a:effectLst>
                      <a:outerShdw algn="ctr" rotWithShape="0">
                        <a:srgbClr val="808080">
                          <a:alpha val="100000"/>
                        </a:srgbClr>
                      </a:outerShdw>
                    </a:effectLst>
                  </pic:spPr>
                </pic:pic>
              </a:graphicData>
            </a:graphic>
          </wp:anchor>
        </w:drawing>
      </w:r>
      <w:r>
        <w:rPr>
          <w:rFonts w:hint="eastAsia"/>
          <w:b/>
          <w:sz w:val="26"/>
          <w:szCs w:val="26"/>
        </w:rPr>
        <w:t>十二、审核组签字</w:t>
      </w:r>
      <w:r>
        <w:rPr>
          <w:rFonts w:hint="eastAsia"/>
          <w:b/>
          <w:sz w:val="26"/>
          <w:szCs w:val="26"/>
          <w:lang w:eastAsia="zh-CN"/>
        </w:rPr>
        <w:t>：</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2020.9.25</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2160" w:firstLineChars="900"/>
        <w:rPr>
          <w:rFonts w:hint="eastAsia"/>
          <w:b/>
          <w:sz w:val="21"/>
          <w:szCs w:val="21"/>
        </w:rPr>
      </w:pPr>
      <w:r>
        <w:drawing>
          <wp:anchor distT="0" distB="0" distL="114300" distR="114300" simplePos="0" relativeHeight="251665408" behindDoc="1" locked="0" layoutInCell="1" allowOverlap="1">
            <wp:simplePos x="0" y="0"/>
            <wp:positionH relativeFrom="column">
              <wp:posOffset>1179195</wp:posOffset>
            </wp:positionH>
            <wp:positionV relativeFrom="paragraph">
              <wp:posOffset>147320</wp:posOffset>
            </wp:positionV>
            <wp:extent cx="744855" cy="754380"/>
            <wp:effectExtent l="0" t="0" r="4445" b="7620"/>
            <wp:wrapTight wrapText="bothSides">
              <wp:wrapPolygon>
                <wp:start x="0" y="0"/>
                <wp:lineTo x="0" y="21091"/>
                <wp:lineTo x="21361" y="21091"/>
                <wp:lineTo x="2136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contrast="84000"/>
                    </a:blip>
                    <a:stretch>
                      <a:fillRect/>
                    </a:stretch>
                  </pic:blipFill>
                  <pic:spPr>
                    <a:xfrm>
                      <a:off x="0" y="0"/>
                      <a:ext cx="744855" cy="754380"/>
                    </a:xfrm>
                    <a:prstGeom prst="rect">
                      <a:avLst/>
                    </a:prstGeom>
                    <a:solidFill>
                      <a:srgbClr val="9BBB59">
                        <a:alpha val="56000"/>
                      </a:srgbClr>
                    </a:solidFill>
                    <a:ln>
                      <a:noFill/>
                    </a:ln>
                    <a:effectLst>
                      <a:outerShdw algn="ctr" rotWithShape="0">
                        <a:srgbClr val="808080">
                          <a:alpha val="100000"/>
                        </a:srgbClr>
                      </a:outerShdw>
                    </a:effectLst>
                  </pic:spPr>
                </pic:pic>
              </a:graphicData>
            </a:graphic>
          </wp:anchor>
        </w:drawing>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B629B"/>
    <w:multiLevelType w:val="singleLevel"/>
    <w:tmpl w:val="983B629B"/>
    <w:lvl w:ilvl="0" w:tentative="0">
      <w:start w:val="3"/>
      <w:numFmt w:val="decimal"/>
      <w:lvlText w:val="%1."/>
      <w:lvlJc w:val="left"/>
      <w:pPr>
        <w:tabs>
          <w:tab w:val="left" w:pos="312"/>
        </w:tabs>
      </w:pPr>
    </w:lvl>
  </w:abstractNum>
  <w:abstractNum w:abstractNumId="1">
    <w:nsid w:val="F7179DB7"/>
    <w:multiLevelType w:val="singleLevel"/>
    <w:tmpl w:val="F7179DB7"/>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7FEAD379"/>
    <w:multiLevelType w:val="singleLevel"/>
    <w:tmpl w:val="7FEAD379"/>
    <w:lvl w:ilvl="0" w:tentative="0">
      <w:start w:val="8"/>
      <w:numFmt w:val="decimal"/>
      <w:suff w:val="space"/>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334D4D"/>
    <w:rsid w:val="31D63513"/>
    <w:rsid w:val="351173D0"/>
    <w:rsid w:val="4AEA5560"/>
    <w:rsid w:val="4BD81B0F"/>
    <w:rsid w:val="536235BE"/>
    <w:rsid w:val="7FE237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10</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开门大吉～ISO认证服务</cp:lastModifiedBy>
  <cp:lastPrinted>2019-04-18T08:15:00Z</cp:lastPrinted>
  <dcterms:modified xsi:type="dcterms:W3CDTF">2020-09-26T06:47:12Z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