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b/>
          <w:lang w:val="en-US" w:eastAsia="zh-CN"/>
        </w:rPr>
      </w:pPr>
      <w:r>
        <w:rPr>
          <w:rFonts w:hint="eastAsia"/>
          <w:b/>
          <w:lang w:val="en-US" w:eastAsia="zh-CN"/>
        </w:rPr>
        <w:t xml:space="preserve">                                            </w:t>
      </w:r>
    </w:p>
    <w:p>
      <w:pPr>
        <w:snapToGrid w:val="0"/>
        <w:spacing w:line="480" w:lineRule="auto"/>
        <w:ind w:firstLine="6300" w:firstLineChars="3000"/>
        <w:rPr>
          <w:rFonts w:hint="default" w:eastAsia="宋体"/>
          <w:b/>
          <w:sz w:val="21"/>
          <w:szCs w:val="21"/>
          <w:lang w:val="en-US" w:eastAsia="zh-CN"/>
        </w:rPr>
      </w:pPr>
      <w:r>
        <w:rPr>
          <w:rFonts w:ascii="宋体" w:hAnsi="宋体" w:eastAsia="宋体" w:cs="宋体"/>
          <w:sz w:val="21"/>
          <w:szCs w:val="21"/>
        </w:rPr>
        <w:t>合同编号：0352-2019-QEO</w:t>
      </w:r>
      <w:r>
        <w:rPr>
          <w:rFonts w:hint="eastAsia" w:ascii="宋体" w:hAnsi="宋体" w:cs="宋体"/>
          <w:sz w:val="21"/>
          <w:szCs w:val="21"/>
          <w:lang w:val="en-US" w:eastAsia="zh-CN"/>
        </w:rPr>
        <w:t>-2020</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河北迪创家具有限公司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2019-N1QMS-3072033</w:t>
            </w:r>
          </w:p>
          <w:p>
            <w:pPr>
              <w:jc w:val="center"/>
              <w:rPr>
                <w:b/>
                <w:sz w:val="21"/>
                <w:szCs w:val="21"/>
              </w:rPr>
            </w:pPr>
            <w:r>
              <w:rPr>
                <w:b/>
                <w:sz w:val="21"/>
                <w:szCs w:val="21"/>
              </w:rPr>
              <w:t>2018-N1EMS-2072033</w:t>
            </w:r>
          </w:p>
          <w:p>
            <w:pPr>
              <w:jc w:val="center"/>
              <w:rPr>
                <w:b/>
                <w:sz w:val="21"/>
                <w:szCs w:val="21"/>
              </w:rPr>
            </w:pPr>
            <w:r>
              <w:rPr>
                <w:b/>
                <w:sz w:val="21"/>
                <w:szCs w:val="21"/>
              </w:rPr>
              <w:t>2018-N1OHSMS-2072033</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2017-N1QMS-2201919</w:t>
            </w:r>
          </w:p>
          <w:p>
            <w:pPr>
              <w:jc w:val="center"/>
              <w:rPr>
                <w:b/>
                <w:sz w:val="21"/>
                <w:szCs w:val="21"/>
              </w:rPr>
            </w:pPr>
            <w:r>
              <w:rPr>
                <w:b/>
                <w:sz w:val="21"/>
                <w:szCs w:val="21"/>
              </w:rPr>
              <w:t>2018-N1EMS-2201919</w:t>
            </w:r>
          </w:p>
          <w:p>
            <w:pPr>
              <w:jc w:val="center"/>
              <w:rPr>
                <w:b/>
                <w:sz w:val="21"/>
                <w:szCs w:val="21"/>
              </w:rPr>
            </w:pPr>
            <w:r>
              <w:rPr>
                <w:b/>
                <w:sz w:val="21"/>
                <w:szCs w:val="21"/>
              </w:rPr>
              <w:t>2018-N1OHSMS-2201919</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杨捷</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ISC-JSZJ-163</w:t>
            </w:r>
          </w:p>
          <w:p>
            <w:pPr>
              <w:jc w:val="center"/>
              <w:rPr>
                <w:b/>
                <w:sz w:val="21"/>
                <w:szCs w:val="21"/>
              </w:rPr>
            </w:pPr>
            <w:r>
              <w:rPr>
                <w:b/>
                <w:sz w:val="21"/>
                <w:szCs w:val="21"/>
              </w:rPr>
              <w:t>ISC-JSZJ-163</w:t>
            </w:r>
          </w:p>
          <w:p>
            <w:pPr>
              <w:jc w:val="center"/>
              <w:rPr>
                <w:b/>
                <w:sz w:val="21"/>
                <w:szCs w:val="21"/>
              </w:rPr>
            </w:pPr>
            <w:r>
              <w:rPr>
                <w:b/>
                <w:sz w:val="21"/>
                <w:szCs w:val="21"/>
              </w:rPr>
              <w:t>ISC-JSZJ-163</w:t>
            </w:r>
          </w:p>
          <w:p>
            <w:pPr>
              <w:jc w:val="center"/>
              <w:rPr>
                <w:b/>
                <w:sz w:val="21"/>
                <w:szCs w:val="21"/>
              </w:rPr>
            </w:pPr>
            <w:r>
              <w:rPr>
                <w:b/>
                <w:sz w:val="21"/>
                <w:szCs w:val="21"/>
              </w:rPr>
              <w:t>河北省防伪行业协会</w:t>
            </w:r>
          </w:p>
        </w:tc>
        <w:tc>
          <w:tcPr>
            <w:tcW w:w="1728" w:type="dxa"/>
            <w:gridSpan w:val="2"/>
            <w:vAlign w:val="center"/>
          </w:tcPr>
          <w:p>
            <w:pPr>
              <w:jc w:val="center"/>
              <w:rPr>
                <w:b/>
                <w:sz w:val="21"/>
                <w:szCs w:val="21"/>
              </w:rPr>
            </w:pPr>
            <w:r>
              <w:rPr>
                <w:b/>
                <w:sz w:val="21"/>
                <w:szCs w:val="21"/>
              </w:rPr>
              <w:t>Q:06.02.03,06.02.05,23.01.01</w:t>
            </w:r>
          </w:p>
          <w:p>
            <w:pPr>
              <w:jc w:val="center"/>
              <w:rPr>
                <w:b/>
                <w:sz w:val="21"/>
                <w:szCs w:val="21"/>
              </w:rPr>
            </w:pPr>
            <w:r>
              <w:rPr>
                <w:b/>
                <w:sz w:val="21"/>
                <w:szCs w:val="21"/>
              </w:rPr>
              <w:t>E:06.02.03,06.02.05,23.01.01</w:t>
            </w:r>
          </w:p>
          <w:p>
            <w:pPr>
              <w:jc w:val="center"/>
              <w:rPr>
                <w:b/>
                <w:sz w:val="21"/>
                <w:szCs w:val="21"/>
              </w:rPr>
            </w:pPr>
            <w:r>
              <w:rPr>
                <w:b/>
                <w:sz w:val="21"/>
                <w:szCs w:val="21"/>
              </w:rPr>
              <w:t>O:06.02.03,06.02.05,23.01.01</w:t>
            </w:r>
          </w:p>
        </w:tc>
        <w:tc>
          <w:tcPr>
            <w:tcW w:w="1729" w:type="dxa"/>
            <w:gridSpan w:val="2"/>
            <w:vAlign w:val="center"/>
          </w:tcPr>
          <w:p>
            <w:pPr>
              <w:jc w:val="center"/>
              <w:rPr>
                <w:b/>
                <w:sz w:val="21"/>
                <w:szCs w:val="21"/>
              </w:rPr>
            </w:pPr>
            <w:r>
              <w:rPr>
                <w:b/>
                <w:sz w:val="21"/>
                <w:szCs w:val="21"/>
              </w:rPr>
              <w:t>ISC-JSZJ-163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bookmarkStart w:id="29" w:name="_GoBack"/>
      <w:bookmarkEnd w:id="29"/>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3037"/>
        <w:gridCol w:w="910"/>
        <w:gridCol w:w="1060"/>
        <w:gridCol w:w="118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007" w:type="dxa"/>
            <w:gridSpan w:val="3"/>
          </w:tcPr>
          <w:p>
            <w:pPr>
              <w:spacing w:line="260" w:lineRule="exact"/>
              <w:rPr>
                <w:rFonts w:ascii="宋体"/>
                <w:b/>
                <w:color w:val="FF0000"/>
                <w:sz w:val="21"/>
              </w:rPr>
            </w:pPr>
            <w:bookmarkStart w:id="11" w:name="组织名称Add"/>
            <w:r>
              <w:rPr>
                <w:rFonts w:ascii="宋体"/>
                <w:b/>
                <w:color w:val="FF0000"/>
                <w:sz w:val="21"/>
              </w:rPr>
              <w:t>河北迪创家具有限公司</w:t>
            </w:r>
            <w:bookmarkEnd w:id="11"/>
          </w:p>
        </w:tc>
        <w:tc>
          <w:tcPr>
            <w:tcW w:w="118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401" w:type="dxa"/>
          </w:tcPr>
          <w:p>
            <w:pPr>
              <w:spacing w:line="260" w:lineRule="exact"/>
              <w:rPr>
                <w:rFonts w:ascii="宋体"/>
                <w:b/>
                <w:sz w:val="21"/>
              </w:rPr>
            </w:pPr>
          </w:p>
          <w:p>
            <w:pPr>
              <w:spacing w:line="260" w:lineRule="exact"/>
              <w:rPr>
                <w:rFonts w:hint="default" w:ascii="宋体" w:eastAsia="宋体"/>
                <w:b/>
                <w:sz w:val="21"/>
                <w:lang w:val="en-US" w:eastAsia="zh-CN"/>
              </w:rPr>
            </w:pPr>
            <w:r>
              <w:rPr>
                <w:rFonts w:hint="eastAsia" w:ascii="宋体"/>
                <w:b/>
                <w:sz w:val="21"/>
                <w:lang w:val="en-US" w:eastAsia="zh-CN"/>
              </w:rPr>
              <w:t xml:space="preserv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5007" w:type="dxa"/>
            <w:gridSpan w:val="3"/>
          </w:tcPr>
          <w:p>
            <w:pPr>
              <w:rPr>
                <w:rFonts w:ascii="宋体"/>
                <w:b/>
                <w:sz w:val="21"/>
              </w:rPr>
            </w:pPr>
            <w:bookmarkStart w:id="12" w:name="注册地址"/>
            <w:r>
              <w:rPr>
                <w:rFonts w:ascii="宋体"/>
                <w:b/>
                <w:sz w:val="21"/>
              </w:rPr>
              <w:t>正定县南牛乡南牛村羊曲线路段054</w:t>
            </w:r>
            <w:bookmarkEnd w:id="12"/>
          </w:p>
        </w:tc>
        <w:tc>
          <w:tcPr>
            <w:tcW w:w="1180" w:type="dxa"/>
            <w:vMerge w:val="restart"/>
            <w:vAlign w:val="center"/>
          </w:tcPr>
          <w:p>
            <w:pPr>
              <w:jc w:val="center"/>
              <w:rPr>
                <w:rFonts w:ascii="宋体"/>
                <w:b/>
                <w:sz w:val="21"/>
              </w:rPr>
            </w:pPr>
            <w:r>
              <w:rPr>
                <w:rFonts w:hint="eastAsia" w:ascii="宋体" w:hAnsi="宋体"/>
                <w:b/>
                <w:sz w:val="21"/>
              </w:rPr>
              <w:t>邮编</w:t>
            </w:r>
          </w:p>
        </w:tc>
        <w:tc>
          <w:tcPr>
            <w:tcW w:w="1401" w:type="dxa"/>
          </w:tcPr>
          <w:p>
            <w:pPr>
              <w:rPr>
                <w:rFonts w:ascii="宋体"/>
                <w:b/>
                <w:sz w:val="21"/>
              </w:rPr>
            </w:pPr>
            <w:bookmarkStart w:id="13" w:name="注册邮编"/>
            <w:r>
              <w:rPr>
                <w:rFonts w:ascii="宋体"/>
                <w:b/>
                <w:sz w:val="21"/>
              </w:rPr>
              <w:t>050899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5007" w:type="dxa"/>
            <w:gridSpan w:val="3"/>
          </w:tcPr>
          <w:p>
            <w:pPr>
              <w:rPr>
                <w:rFonts w:ascii="宋体"/>
                <w:b/>
                <w:sz w:val="21"/>
              </w:rPr>
            </w:pPr>
            <w:bookmarkStart w:id="14" w:name="办公地址"/>
            <w:r>
              <w:rPr>
                <w:rFonts w:ascii="宋体"/>
                <w:b/>
                <w:sz w:val="21"/>
              </w:rPr>
              <w:t>正定县南牛乡南牛村羊曲线路段054</w:t>
            </w:r>
            <w:bookmarkEnd w:id="14"/>
          </w:p>
        </w:tc>
        <w:tc>
          <w:tcPr>
            <w:tcW w:w="1180" w:type="dxa"/>
            <w:vMerge w:val="continue"/>
            <w:vAlign w:val="center"/>
          </w:tcPr>
          <w:p>
            <w:pPr>
              <w:jc w:val="center"/>
              <w:rPr>
                <w:rFonts w:ascii="宋体"/>
                <w:b/>
                <w:sz w:val="21"/>
              </w:rPr>
            </w:pPr>
          </w:p>
        </w:tc>
        <w:tc>
          <w:tcPr>
            <w:tcW w:w="1401" w:type="dxa"/>
          </w:tcPr>
          <w:p>
            <w:pPr>
              <w:rPr>
                <w:rFonts w:ascii="宋体"/>
                <w:b/>
                <w:sz w:val="21"/>
              </w:rPr>
            </w:pPr>
            <w:bookmarkStart w:id="15" w:name="办公邮编"/>
            <w:r>
              <w:rPr>
                <w:rFonts w:ascii="宋体"/>
                <w:b/>
                <w:sz w:val="21"/>
              </w:rPr>
              <w:t>050899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007" w:type="dxa"/>
            <w:gridSpan w:val="3"/>
          </w:tcPr>
          <w:p>
            <w:pPr>
              <w:rPr>
                <w:rFonts w:ascii="宋体"/>
                <w:b/>
                <w:sz w:val="21"/>
              </w:rPr>
            </w:pPr>
            <w:bookmarkStart w:id="16" w:name="生产地址Add"/>
            <w:r>
              <w:rPr>
                <w:rFonts w:ascii="宋体"/>
                <w:b/>
                <w:sz w:val="21"/>
              </w:rPr>
              <w:t>正定县南牛乡南牛村羊曲线路段054</w:t>
            </w:r>
            <w:bookmarkEnd w:id="16"/>
          </w:p>
        </w:tc>
        <w:tc>
          <w:tcPr>
            <w:tcW w:w="1180" w:type="dxa"/>
            <w:vMerge w:val="continue"/>
            <w:vAlign w:val="center"/>
          </w:tcPr>
          <w:p>
            <w:pPr>
              <w:jc w:val="center"/>
              <w:rPr>
                <w:rFonts w:ascii="宋体"/>
                <w:b/>
                <w:sz w:val="21"/>
              </w:rPr>
            </w:pPr>
          </w:p>
        </w:tc>
        <w:tc>
          <w:tcPr>
            <w:tcW w:w="1401" w:type="dxa"/>
          </w:tcPr>
          <w:p>
            <w:pPr>
              <w:rPr>
                <w:rFonts w:ascii="宋体"/>
                <w:b/>
                <w:sz w:val="21"/>
              </w:rPr>
            </w:pPr>
            <w:bookmarkStart w:id="17" w:name="生产邮编"/>
            <w:r>
              <w:rPr>
                <w:rFonts w:ascii="宋体"/>
                <w:b/>
                <w:sz w:val="21"/>
              </w:rPr>
              <w:t>050899</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3037" w:type="dxa"/>
          </w:tcPr>
          <w:p>
            <w:pPr>
              <w:rPr>
                <w:rFonts w:ascii="宋体"/>
                <w:b/>
                <w:sz w:val="21"/>
              </w:rPr>
            </w:pPr>
            <w:bookmarkStart w:id="18" w:name="联系人"/>
            <w:r>
              <w:rPr>
                <w:rFonts w:ascii="宋体"/>
                <w:b/>
                <w:sz w:val="21"/>
              </w:rPr>
              <w:t>陈玉匣</w:t>
            </w:r>
            <w:bookmarkEnd w:id="18"/>
          </w:p>
        </w:tc>
        <w:tc>
          <w:tcPr>
            <w:tcW w:w="910" w:type="dxa"/>
            <w:vAlign w:val="center"/>
          </w:tcPr>
          <w:p>
            <w:pPr>
              <w:jc w:val="center"/>
              <w:rPr>
                <w:rFonts w:ascii="宋体"/>
                <w:b/>
                <w:sz w:val="21"/>
              </w:rPr>
            </w:pPr>
            <w:r>
              <w:rPr>
                <w:rFonts w:hint="eastAsia" w:ascii="宋体" w:hAnsi="宋体"/>
                <w:b/>
                <w:sz w:val="21"/>
              </w:rPr>
              <w:t>电话</w:t>
            </w:r>
            <w:r>
              <w:rPr>
                <w:b/>
                <w:sz w:val="16"/>
                <w:szCs w:val="16"/>
              </w:rPr>
              <w:t>.</w:t>
            </w:r>
          </w:p>
        </w:tc>
        <w:tc>
          <w:tcPr>
            <w:tcW w:w="1060" w:type="dxa"/>
            <w:vAlign w:val="center"/>
          </w:tcPr>
          <w:p>
            <w:pPr>
              <w:jc w:val="center"/>
              <w:rPr>
                <w:rFonts w:ascii="宋体"/>
                <w:b/>
                <w:sz w:val="21"/>
              </w:rPr>
            </w:pPr>
            <w:bookmarkStart w:id="19" w:name="联系人电话Add"/>
            <w:r>
              <w:rPr>
                <w:rFonts w:ascii="宋体"/>
                <w:b/>
                <w:sz w:val="21"/>
              </w:rPr>
              <w:t>15383000808</w:t>
            </w:r>
            <w:bookmarkEnd w:id="19"/>
          </w:p>
        </w:tc>
        <w:tc>
          <w:tcPr>
            <w:tcW w:w="1180" w:type="dxa"/>
            <w:vAlign w:val="center"/>
          </w:tcPr>
          <w:p>
            <w:pPr>
              <w:jc w:val="center"/>
              <w:rPr>
                <w:rFonts w:ascii="宋体"/>
                <w:b/>
                <w:sz w:val="21"/>
              </w:rPr>
            </w:pPr>
            <w:r>
              <w:rPr>
                <w:rFonts w:hint="eastAsia" w:ascii="宋体" w:hAnsi="宋体"/>
                <w:b/>
                <w:sz w:val="21"/>
              </w:rPr>
              <w:t>传真</w:t>
            </w:r>
          </w:p>
        </w:tc>
        <w:tc>
          <w:tcPr>
            <w:tcW w:w="1401"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3037" w:type="dxa"/>
          </w:tcPr>
          <w:p>
            <w:pPr>
              <w:rPr>
                <w:rFonts w:ascii="宋体" w:hAnsi="宋体"/>
                <w:b/>
                <w:sz w:val="21"/>
                <w:szCs w:val="21"/>
              </w:rPr>
            </w:pPr>
            <w:bookmarkStart w:id="21" w:name="法人"/>
            <w:r>
              <w:rPr>
                <w:rFonts w:ascii="宋体" w:hAnsi="宋体"/>
                <w:b/>
                <w:sz w:val="21"/>
                <w:szCs w:val="21"/>
              </w:rPr>
              <w:t>陈玉匣</w:t>
            </w:r>
            <w:bookmarkEnd w:id="21"/>
          </w:p>
        </w:tc>
        <w:tc>
          <w:tcPr>
            <w:tcW w:w="910" w:type="dxa"/>
            <w:vAlign w:val="center"/>
          </w:tcPr>
          <w:p>
            <w:pPr>
              <w:jc w:val="center"/>
              <w:rPr>
                <w:rFonts w:ascii="宋体" w:hAnsi="宋体"/>
                <w:b/>
                <w:sz w:val="21"/>
                <w:szCs w:val="21"/>
              </w:rPr>
            </w:pPr>
            <w:r>
              <w:rPr>
                <w:rFonts w:hint="eastAsia" w:ascii="宋体" w:hAnsi="宋体"/>
                <w:b/>
                <w:sz w:val="21"/>
                <w:szCs w:val="21"/>
              </w:rPr>
              <w:t>总经理</w:t>
            </w:r>
          </w:p>
        </w:tc>
        <w:tc>
          <w:tcPr>
            <w:tcW w:w="1060" w:type="dxa"/>
          </w:tcPr>
          <w:p>
            <w:pPr>
              <w:rPr>
                <w:rFonts w:ascii="宋体" w:hAnsi="宋体"/>
                <w:b/>
                <w:sz w:val="21"/>
                <w:szCs w:val="21"/>
              </w:rPr>
            </w:pPr>
          </w:p>
        </w:tc>
        <w:tc>
          <w:tcPr>
            <w:tcW w:w="1180" w:type="dxa"/>
            <w:vAlign w:val="center"/>
          </w:tcPr>
          <w:p>
            <w:pPr>
              <w:jc w:val="center"/>
              <w:rPr>
                <w:rFonts w:ascii="宋体" w:hAnsi="宋体"/>
                <w:b/>
                <w:sz w:val="21"/>
                <w:szCs w:val="21"/>
              </w:rPr>
            </w:pPr>
            <w:r>
              <w:rPr>
                <w:rFonts w:hint="eastAsia" w:ascii="宋体" w:hAnsi="宋体"/>
                <w:b/>
                <w:sz w:val="21"/>
                <w:szCs w:val="21"/>
              </w:rPr>
              <w:t>管理者代表</w:t>
            </w:r>
          </w:p>
        </w:tc>
        <w:tc>
          <w:tcPr>
            <w:tcW w:w="1401" w:type="dxa"/>
          </w:tcPr>
          <w:p>
            <w:pPr>
              <w:rPr>
                <w:rFonts w:ascii="宋体"/>
                <w:b/>
                <w:sz w:val="21"/>
              </w:rPr>
            </w:pPr>
            <w:bookmarkStart w:id="22" w:name="管理者代表"/>
            <w:r>
              <w:rPr>
                <w:rFonts w:ascii="宋体"/>
                <w:b/>
                <w:sz w:val="21"/>
              </w:rPr>
              <w:t>孙红朝</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947" w:type="dxa"/>
            <w:gridSpan w:val="2"/>
            <w:vAlign w:val="center"/>
          </w:tcPr>
          <w:p>
            <w:pPr>
              <w:rPr>
                <w:rFonts w:ascii="宋体" w:hAnsi="宋体"/>
                <w:b/>
                <w:sz w:val="21"/>
                <w:szCs w:val="21"/>
              </w:rPr>
            </w:pPr>
            <w:bookmarkStart w:id="23" w:name="审核日期"/>
            <w:r>
              <w:rPr>
                <w:rFonts w:ascii="宋体" w:hAnsi="宋体"/>
                <w:b/>
                <w:sz w:val="21"/>
                <w:szCs w:val="21"/>
              </w:rPr>
              <w:t>2020年09月25日 上午至2020年09月26日 上午</w:t>
            </w:r>
            <w:bookmarkEnd w:id="23"/>
          </w:p>
        </w:tc>
        <w:tc>
          <w:tcPr>
            <w:tcW w:w="1060" w:type="dxa"/>
            <w:vAlign w:val="center"/>
          </w:tcPr>
          <w:p>
            <w:pPr>
              <w:rPr>
                <w:rFonts w:ascii="宋体" w:hAnsi="宋体"/>
                <w:b/>
                <w:sz w:val="21"/>
                <w:szCs w:val="21"/>
              </w:rPr>
            </w:pPr>
            <w:r>
              <w:rPr>
                <w:rFonts w:hint="eastAsia" w:ascii="宋体" w:hAnsi="宋体"/>
                <w:b/>
                <w:sz w:val="21"/>
                <w:szCs w:val="21"/>
              </w:rPr>
              <w:t>一体化审核</w:t>
            </w:r>
          </w:p>
        </w:tc>
        <w:tc>
          <w:tcPr>
            <w:tcW w:w="2581"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hint="eastAsia" w:ascii="宋体" w:hAnsi="宋体" w:eastAsia="宋体"/>
                <w:b/>
                <w:sz w:val="21"/>
                <w:szCs w:val="21"/>
                <w:lang w:eastAsia="zh-CN"/>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r>
              <w:rPr>
                <w:rFonts w:hint="eastAsia" w:ascii="宋体" w:hAnsi="宋体"/>
                <w:sz w:val="21"/>
                <w:szCs w:val="21"/>
              </w:rPr>
              <w:t>钢木、板式家具（办公家具、展柜、木质门）的生产和销售</w:t>
            </w:r>
            <w:r>
              <w:rPr>
                <w:rFonts w:hint="eastAsia" w:ascii="宋体" w:hAnsi="宋体"/>
                <w:sz w:val="21"/>
                <w:szCs w:val="21"/>
                <w:lang w:eastAsia="zh-CN"/>
              </w:rPr>
              <w:t>；</w:t>
            </w:r>
          </w:p>
          <w:p>
            <w:pPr>
              <w:spacing w:line="360" w:lineRule="exact"/>
              <w:rPr>
                <w:rFonts w:hint="eastAsia" w:ascii="宋体" w:hAnsi="宋体" w:eastAsia="宋体"/>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rFonts w:hint="eastAsia" w:ascii="宋体" w:hAnsi="宋体"/>
                <w:sz w:val="21"/>
                <w:szCs w:val="21"/>
              </w:rPr>
              <w:t>钢木、板式家具（办公家具、展柜、木质门）的生产和销售及相关环境管理活动</w:t>
            </w:r>
            <w:r>
              <w:rPr>
                <w:rFonts w:hint="eastAsia" w:ascii="宋体" w:hAnsi="宋体"/>
                <w:sz w:val="21"/>
                <w:szCs w:val="21"/>
                <w:lang w:eastAsia="zh-CN"/>
              </w:rPr>
              <w:t>；</w:t>
            </w:r>
          </w:p>
          <w:p>
            <w:pPr>
              <w:spacing w:line="360" w:lineRule="exact"/>
              <w:rPr>
                <w:rFonts w:hint="eastAsia" w:ascii="宋体" w:hAnsi="宋体" w:eastAsia="宋体"/>
                <w:b/>
                <w:sz w:val="21"/>
                <w:szCs w:val="21"/>
                <w:lang w:eastAsia="zh-CN"/>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r>
              <w:rPr>
                <w:rFonts w:hint="eastAsia" w:ascii="宋体" w:hAnsi="宋体"/>
                <w:sz w:val="21"/>
                <w:szCs w:val="21"/>
              </w:rPr>
              <w:t>钢木、板式家具（办公家具、展柜、木质门）的生产和销售所涉及场所的职业健康安全管理活动</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1" w:type="dxa"/>
            <w:vAlign w:val="center"/>
          </w:tcPr>
          <w:p>
            <w:pPr>
              <w:spacing w:line="260" w:lineRule="exact"/>
              <w:jc w:val="center"/>
              <w:rPr>
                <w:rFonts w:hint="eastAsia" w:ascii="宋体" w:hAnsi="宋体"/>
                <w:b/>
                <w:sz w:val="21"/>
                <w:szCs w:val="21"/>
              </w:rPr>
            </w:pPr>
            <w:r>
              <w:rPr>
                <w:rFonts w:hint="eastAsia" w:ascii="宋体" w:hAnsi="宋体"/>
                <w:b/>
                <w:sz w:val="21"/>
                <w:szCs w:val="21"/>
              </w:rPr>
              <w:t>专业</w:t>
            </w:r>
          </w:p>
          <w:p>
            <w:pPr>
              <w:spacing w:line="260" w:lineRule="exact"/>
              <w:jc w:val="center"/>
              <w:rPr>
                <w:rFonts w:ascii="宋体" w:hAnsi="宋体"/>
                <w:b/>
                <w:sz w:val="21"/>
                <w:szCs w:val="21"/>
              </w:rPr>
            </w:pPr>
            <w:r>
              <w:rPr>
                <w:rFonts w:hint="eastAsia" w:ascii="宋体" w:hAnsi="宋体"/>
                <w:b/>
                <w:sz w:val="21"/>
                <w:szCs w:val="21"/>
              </w:rPr>
              <w:t>代码</w:t>
            </w:r>
          </w:p>
        </w:tc>
        <w:tc>
          <w:tcPr>
            <w:tcW w:w="4214" w:type="dxa"/>
            <w:gridSpan w:val="2"/>
          </w:tcPr>
          <w:p>
            <w:pPr>
              <w:spacing w:line="360" w:lineRule="exact"/>
              <w:rPr>
                <w:rFonts w:hint="eastAsia" w:ascii="宋体" w:hAnsi="宋体"/>
                <w:sz w:val="21"/>
                <w:szCs w:val="21"/>
              </w:rPr>
            </w:pPr>
            <w:bookmarkStart w:id="28" w:name="专业代码"/>
            <w:r>
              <w:rPr>
                <w:rFonts w:hint="eastAsia" w:ascii="宋体" w:hAnsi="宋体"/>
                <w:sz w:val="21"/>
                <w:szCs w:val="21"/>
              </w:rPr>
              <w:t>Q：06.02.03;06.02.05;23.01.01;29.12.00</w:t>
            </w:r>
          </w:p>
          <w:p>
            <w:pPr>
              <w:spacing w:line="360" w:lineRule="exact"/>
              <w:rPr>
                <w:rFonts w:hint="eastAsia" w:ascii="宋体" w:hAnsi="宋体"/>
                <w:sz w:val="21"/>
                <w:szCs w:val="21"/>
              </w:rPr>
            </w:pPr>
            <w:r>
              <w:rPr>
                <w:rFonts w:hint="eastAsia" w:ascii="宋体" w:hAnsi="宋体"/>
                <w:sz w:val="21"/>
                <w:szCs w:val="21"/>
              </w:rPr>
              <w:t>E：06.02.03;06.02.05;23.01.01;29.12.00</w:t>
            </w:r>
          </w:p>
          <w:p>
            <w:pPr>
              <w:spacing w:line="360" w:lineRule="exact"/>
              <w:rPr>
                <w:rFonts w:hint="eastAsia" w:ascii="宋体" w:hAnsi="宋体"/>
                <w:sz w:val="21"/>
                <w:szCs w:val="21"/>
              </w:rPr>
            </w:pPr>
            <w:r>
              <w:rPr>
                <w:rFonts w:hint="eastAsia" w:ascii="宋体" w:hAnsi="宋体"/>
                <w:sz w:val="21"/>
                <w:szCs w:val="21"/>
              </w:rPr>
              <w:t>O：06.02.03;06.02.05;23.01.01;29.12.00</w:t>
            </w:r>
            <w:bookmarkEnd w:id="28"/>
          </w:p>
        </w:tc>
        <w:tc>
          <w:tcPr>
            <w:tcW w:w="91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060" w:type="dxa"/>
          </w:tcPr>
          <w:p>
            <w:pPr>
              <w:spacing w:line="360" w:lineRule="exact"/>
              <w:rPr>
                <w:rFonts w:hint="default" w:ascii="宋体" w:hAnsi="宋体"/>
                <w:sz w:val="21"/>
                <w:szCs w:val="21"/>
                <w:lang w:val="en-US" w:eastAsia="zh-CN"/>
              </w:rPr>
            </w:pPr>
            <w:r>
              <w:rPr>
                <w:rFonts w:hint="eastAsia" w:ascii="宋体" w:hAnsi="宋体"/>
                <w:sz w:val="21"/>
                <w:szCs w:val="21"/>
                <w:lang w:val="en-US" w:eastAsia="zh-CN"/>
              </w:rPr>
              <w:t>2022年8月19日</w:t>
            </w:r>
          </w:p>
        </w:tc>
        <w:tc>
          <w:tcPr>
            <w:tcW w:w="118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401" w:type="dxa"/>
          </w:tcPr>
          <w:p>
            <w:pPr>
              <w:spacing w:line="360" w:lineRule="exact"/>
              <w:rPr>
                <w:rFonts w:hint="default" w:ascii="宋体" w:hAnsi="宋体"/>
                <w:sz w:val="21"/>
                <w:szCs w:val="21"/>
                <w:lang w:val="en-US" w:eastAsia="zh-CN"/>
              </w:rPr>
            </w:pPr>
            <w:r>
              <w:rPr>
                <w:rFonts w:hint="eastAsia" w:ascii="宋体" w:hAnsi="宋体"/>
                <w:sz w:val="21"/>
                <w:szCs w:val="21"/>
                <w:lang w:val="en-US" w:eastAsia="zh-CN"/>
              </w:rPr>
              <w:t>2019年8月2日~8月7日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rFonts w:hint="eastAsia"/>
          <w:b/>
          <w:sz w:val="26"/>
          <w:szCs w:val="26"/>
        </w:rPr>
      </w:pP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ascii="宋体" w:hAnsi="宋体" w:cs="宋体"/>
                <w:sz w:val="21"/>
                <w:szCs w:val="21"/>
                <w:lang w:eastAsia="zh-CN"/>
              </w:rPr>
              <w:t>河北迪创家具有限公司，成立于20</w:t>
            </w:r>
            <w:r>
              <w:rPr>
                <w:rFonts w:hint="eastAsia" w:ascii="宋体" w:hAnsi="宋体" w:cs="宋体"/>
                <w:sz w:val="21"/>
                <w:szCs w:val="21"/>
                <w:lang w:val="en-US" w:eastAsia="zh-CN"/>
              </w:rPr>
              <w:t>15</w:t>
            </w:r>
            <w:r>
              <w:rPr>
                <w:rFonts w:hint="eastAsia" w:ascii="宋体" w:hAnsi="宋体" w:cs="宋体"/>
                <w:sz w:val="21"/>
                <w:szCs w:val="21"/>
                <w:lang w:eastAsia="zh-CN"/>
              </w:rPr>
              <w:t>年</w:t>
            </w:r>
            <w:r>
              <w:rPr>
                <w:rFonts w:hint="eastAsia" w:ascii="宋体" w:hAnsi="宋体" w:cs="宋体"/>
                <w:sz w:val="21"/>
                <w:szCs w:val="21"/>
                <w:lang w:val="en-US" w:eastAsia="zh-CN"/>
              </w:rPr>
              <w:t>4</w:t>
            </w:r>
            <w:r>
              <w:rPr>
                <w:rFonts w:hint="eastAsia" w:ascii="宋体" w:hAnsi="宋体" w:cs="宋体"/>
                <w:sz w:val="21"/>
                <w:szCs w:val="21"/>
                <w:lang w:eastAsia="zh-CN"/>
              </w:rPr>
              <w:t>月</w:t>
            </w:r>
            <w:r>
              <w:rPr>
                <w:rFonts w:hint="eastAsia" w:ascii="宋体" w:hAnsi="宋体" w:cs="宋体"/>
                <w:sz w:val="21"/>
                <w:szCs w:val="21"/>
                <w:lang w:val="en-US" w:eastAsia="zh-CN"/>
              </w:rPr>
              <w:t>17</w:t>
            </w:r>
            <w:r>
              <w:rPr>
                <w:rFonts w:hint="eastAsia" w:ascii="宋体" w:hAnsi="宋体" w:cs="宋体"/>
                <w:sz w:val="21"/>
                <w:szCs w:val="21"/>
                <w:lang w:eastAsia="zh-CN"/>
              </w:rPr>
              <w:t>日，注册资本</w:t>
            </w:r>
            <w:r>
              <w:rPr>
                <w:rFonts w:hint="eastAsia" w:ascii="宋体" w:hAnsi="宋体" w:cs="宋体"/>
                <w:sz w:val="21"/>
                <w:szCs w:val="21"/>
                <w:lang w:val="en-US" w:eastAsia="zh-CN"/>
              </w:rPr>
              <w:t>60</w:t>
            </w:r>
            <w:r>
              <w:rPr>
                <w:rFonts w:hint="eastAsia" w:ascii="宋体" w:hAnsi="宋体" w:cs="宋体"/>
                <w:sz w:val="21"/>
                <w:szCs w:val="21"/>
                <w:lang w:eastAsia="zh-CN"/>
              </w:rPr>
              <w:t>0万元，</w:t>
            </w:r>
            <w:r>
              <w:rPr>
                <w:rFonts w:hint="eastAsia" w:ascii="宋体" w:hAnsi="宋体" w:cs="宋体"/>
                <w:sz w:val="21"/>
                <w:szCs w:val="21"/>
                <w:lang w:val="en-US" w:eastAsia="zh-CN"/>
              </w:rPr>
              <w:t>位于</w:t>
            </w:r>
            <w:r>
              <w:rPr>
                <w:rFonts w:hint="eastAsia" w:ascii="宋体" w:hAnsi="宋体" w:cs="宋体"/>
                <w:sz w:val="21"/>
                <w:szCs w:val="21"/>
                <w:lang w:eastAsia="zh-CN"/>
              </w:rPr>
              <w:t>正定县南牛乡南牛村羊曲线路段054，办公面积约</w:t>
            </w:r>
            <w:r>
              <w:rPr>
                <w:rFonts w:hint="eastAsia" w:ascii="宋体" w:hAnsi="宋体" w:cs="宋体"/>
                <w:sz w:val="21"/>
                <w:szCs w:val="21"/>
                <w:lang w:val="en-US" w:eastAsia="zh-CN"/>
              </w:rPr>
              <w:t>1</w:t>
            </w:r>
            <w:r>
              <w:rPr>
                <w:rFonts w:hint="eastAsia" w:ascii="宋体" w:hAnsi="宋体" w:cs="宋体"/>
                <w:sz w:val="21"/>
                <w:szCs w:val="21"/>
                <w:lang w:eastAsia="zh-CN"/>
              </w:rPr>
              <w:t>00平米，</w:t>
            </w:r>
            <w:r>
              <w:rPr>
                <w:rFonts w:hint="eastAsia" w:ascii="宋体" w:hAnsi="宋体" w:cs="宋体"/>
                <w:sz w:val="21"/>
                <w:szCs w:val="21"/>
                <w:lang w:val="en-US" w:eastAsia="zh-CN"/>
              </w:rPr>
              <w:t>生产面积2000平米，</w:t>
            </w:r>
            <w:r>
              <w:rPr>
                <w:rFonts w:hint="eastAsia" w:ascii="宋体" w:hAnsi="宋体" w:cs="宋体"/>
                <w:sz w:val="21"/>
                <w:szCs w:val="21"/>
                <w:lang w:eastAsia="zh-CN"/>
              </w:rPr>
              <w:t>主要从事钢木、板式家具的生产，主要服务于</w:t>
            </w:r>
            <w:r>
              <w:rPr>
                <w:rFonts w:hint="eastAsia" w:ascii="宋体" w:hAnsi="宋体" w:cs="宋体"/>
                <w:sz w:val="21"/>
                <w:szCs w:val="21"/>
                <w:lang w:val="en-US" w:eastAsia="zh-CN"/>
              </w:rPr>
              <w:t>学校、政府</w:t>
            </w:r>
            <w:r>
              <w:rPr>
                <w:rFonts w:hint="eastAsia" w:ascii="宋体" w:hAnsi="宋体" w:cs="宋体"/>
                <w:sz w:val="21"/>
                <w:szCs w:val="21"/>
                <w:lang w:eastAsia="zh-CN"/>
              </w:rPr>
              <w:t>等。</w:t>
            </w:r>
            <w:r>
              <w:rPr>
                <w:rFonts w:hint="eastAsia" w:ascii="宋体" w:hAnsi="宋体" w:cs="宋体"/>
                <w:sz w:val="21"/>
                <w:szCs w:val="21"/>
                <w:lang w:val="en-US" w:eastAsia="zh-CN"/>
              </w:rPr>
              <w:t>作为生产家具的企业，目前面对的环境主要是家具市场的供求情况、质量需求情况和国家对家具产品的政策，以及国家队家具生产企业在环境保护和职业健康安全方面的政策导向情况。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cs="宋体"/>
                <w:sz w:val="21"/>
                <w:szCs w:val="21"/>
                <w:lang w:eastAsia="zh-CN"/>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宋体" w:hAnsi="宋体" w:cs="宋体"/>
                <w:sz w:val="21"/>
                <w:szCs w:val="21"/>
                <w:lang w:eastAsia="zh-CN"/>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pPr>
              <w:spacing w:line="240" w:lineRule="exact"/>
              <w:rPr>
                <w:rFonts w:hint="eastAsia" w:ascii="宋体" w:hAnsi="宋体" w:cs="宋体"/>
                <w:sz w:val="21"/>
                <w:szCs w:val="21"/>
                <w:lang w:eastAsia="zh-CN"/>
              </w:rPr>
            </w:pPr>
            <w:r>
              <w:rPr>
                <w:rFonts w:hint="eastAsia" w:ascii="宋体" w:hAnsi="宋体" w:cs="宋体"/>
                <w:sz w:val="21"/>
                <w:szCs w:val="21"/>
                <w:lang w:eastAsia="zh-CN"/>
              </w:rPr>
              <w:t>——关注顾客需求，通过持续改进增强用户满意；</w:t>
            </w:r>
          </w:p>
          <w:p>
            <w:pPr>
              <w:spacing w:line="240" w:lineRule="exact"/>
              <w:rPr>
                <w:rFonts w:hint="eastAsia" w:ascii="宋体" w:hAnsi="宋体" w:cs="宋体"/>
                <w:sz w:val="21"/>
                <w:szCs w:val="21"/>
                <w:lang w:eastAsia="zh-CN"/>
              </w:rPr>
            </w:pPr>
            <w:r>
              <w:rPr>
                <w:rFonts w:hint="eastAsia" w:ascii="宋体" w:hAnsi="宋体" w:cs="宋体"/>
                <w:sz w:val="21"/>
                <w:szCs w:val="21"/>
                <w:lang w:eastAsia="zh-CN"/>
              </w:rPr>
              <w:t>——遵守国家和地方各项法律法规，履行合规义务；</w:t>
            </w:r>
          </w:p>
          <w:p>
            <w:pPr>
              <w:spacing w:line="240" w:lineRule="exact"/>
              <w:rPr>
                <w:rFonts w:hint="eastAsia" w:ascii="宋体" w:hAnsi="宋体" w:cs="宋体"/>
                <w:sz w:val="21"/>
                <w:szCs w:val="21"/>
                <w:lang w:eastAsia="zh-CN"/>
              </w:rPr>
            </w:pPr>
            <w:r>
              <w:rPr>
                <w:rFonts w:hint="eastAsia" w:ascii="宋体" w:hAnsi="宋体" w:cs="宋体"/>
                <w:sz w:val="21"/>
                <w:szCs w:val="21"/>
                <w:lang w:eastAsia="zh-CN"/>
              </w:rPr>
              <w:t>——持续改进管理体系过程，提升服务质量、环境、安全绩效。</w:t>
            </w:r>
          </w:p>
          <w:p>
            <w:pPr>
              <w:spacing w:line="240" w:lineRule="exact"/>
              <w:rPr>
                <w:rFonts w:hint="eastAsia" w:ascii="宋体" w:hAnsi="宋体" w:cs="宋体"/>
                <w:sz w:val="21"/>
                <w:szCs w:val="21"/>
                <w:lang w:eastAsia="zh-CN"/>
              </w:rPr>
            </w:pPr>
            <w:r>
              <w:rPr>
                <w:rFonts w:hint="eastAsia" w:ascii="宋体" w:hAnsi="宋体" w:cs="宋体"/>
                <w:sz w:val="21"/>
                <w:szCs w:val="21"/>
                <w:lang w:eastAsia="zh-CN"/>
              </w:rPr>
              <w:t>公司管理层及相关部门将持续关注相关方需求的变化，必要时通过评估风险和机遇，调整管理体系目标和指标或变更管理过程以适应这些变化或实现改进。</w:t>
            </w:r>
          </w:p>
          <w:p>
            <w:pPr>
              <w:spacing w:line="240" w:lineRule="exact"/>
              <w:rPr>
                <w:rFonts w:hint="eastAsia" w:ascii="宋体" w:hAnsi="宋体" w:eastAsia="宋体"/>
                <w:b/>
                <w:sz w:val="21"/>
                <w:szCs w:val="21"/>
                <w:lang w:eastAsia="zh-CN"/>
              </w:rPr>
            </w:pPr>
            <w:r>
              <w:rPr>
                <w:rFonts w:hint="eastAsia" w:ascii="宋体" w:hAnsi="宋体" w:cs="宋体"/>
                <w:sz w:val="21"/>
                <w:szCs w:val="21"/>
                <w:lang w:eastAsia="zh-CN"/>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40" w:lineRule="exact"/>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lang w:eastAsia="zh-CN"/>
              </w:rPr>
              <w:t>管理方针：</w:t>
            </w:r>
            <w:r>
              <w:rPr>
                <w:rFonts w:hint="eastAsia" w:ascii="宋体" w:hAnsi="宋体" w:cs="宋体"/>
                <w:sz w:val="21"/>
                <w:szCs w:val="21"/>
                <w:lang w:val="en-US" w:eastAsia="zh-CN"/>
              </w:rPr>
              <w:t xml:space="preserve"> </w:t>
            </w:r>
            <w:r>
              <w:rPr>
                <w:rFonts w:hint="eastAsia" w:ascii="宋体" w:hAnsi="宋体" w:cs="宋体"/>
                <w:sz w:val="21"/>
                <w:szCs w:val="21"/>
                <w:lang w:eastAsia="zh-CN"/>
              </w:rPr>
              <w:t>创新求精，不断提升产品与服务质量，促进快速发展</w:t>
            </w:r>
          </w:p>
          <w:p>
            <w:pPr>
              <w:spacing w:line="240" w:lineRule="exact"/>
              <w:ind w:firstLine="1470" w:firstLineChars="700"/>
              <w:rPr>
                <w:rFonts w:hint="eastAsia" w:ascii="宋体" w:hAnsi="宋体" w:cs="宋体"/>
                <w:sz w:val="21"/>
                <w:szCs w:val="21"/>
                <w:lang w:eastAsia="zh-CN"/>
              </w:rPr>
            </w:pPr>
            <w:r>
              <w:rPr>
                <w:rFonts w:hint="eastAsia" w:ascii="宋体" w:hAnsi="宋体" w:cs="宋体"/>
                <w:sz w:val="21"/>
                <w:szCs w:val="21"/>
                <w:lang w:eastAsia="zh-CN"/>
              </w:rPr>
              <w:t>节能降耗，注重环境保护与污染预防，促进协调发展</w:t>
            </w:r>
          </w:p>
          <w:p>
            <w:pPr>
              <w:spacing w:line="240" w:lineRule="exact"/>
              <w:ind w:firstLine="1470" w:firstLineChars="700"/>
              <w:rPr>
                <w:rFonts w:hint="eastAsia" w:ascii="宋体" w:hAnsi="宋体" w:cs="宋体"/>
                <w:sz w:val="21"/>
                <w:szCs w:val="21"/>
                <w:lang w:eastAsia="zh-CN"/>
              </w:rPr>
            </w:pPr>
            <w:r>
              <w:rPr>
                <w:rFonts w:hint="eastAsia" w:ascii="宋体" w:hAnsi="宋体" w:cs="宋体"/>
                <w:sz w:val="21"/>
                <w:szCs w:val="21"/>
                <w:lang w:eastAsia="zh-CN"/>
              </w:rPr>
              <w:t>以人为本，确保职业健康与劳动安全，促进和谐发展</w:t>
            </w:r>
          </w:p>
          <w:p>
            <w:pPr>
              <w:spacing w:line="240" w:lineRule="exact"/>
              <w:ind w:firstLine="1470" w:firstLineChars="700"/>
              <w:rPr>
                <w:rFonts w:hint="eastAsia" w:ascii="宋体" w:hAnsi="宋体" w:cs="宋体"/>
                <w:sz w:val="21"/>
                <w:szCs w:val="21"/>
                <w:lang w:eastAsia="zh-CN"/>
              </w:rPr>
            </w:pPr>
            <w:r>
              <w:rPr>
                <w:rFonts w:hint="eastAsia" w:ascii="宋体" w:hAnsi="宋体" w:cs="宋体"/>
                <w:sz w:val="21"/>
                <w:szCs w:val="21"/>
                <w:lang w:eastAsia="zh-CN"/>
              </w:rPr>
              <w:t>守法诚信，坚持预防为主与持续改进，追求卓越绩效</w:t>
            </w:r>
          </w:p>
          <w:p>
            <w:pPr>
              <w:spacing w:line="240" w:lineRule="exact"/>
              <w:rPr>
                <w:rFonts w:hint="eastAsia" w:ascii="宋体" w:hAnsi="宋体" w:cs="宋体"/>
                <w:sz w:val="21"/>
                <w:szCs w:val="21"/>
                <w:lang w:eastAsia="zh-CN"/>
              </w:rPr>
            </w:pPr>
            <w:r>
              <w:rPr>
                <w:rFonts w:hint="eastAsia" w:ascii="宋体" w:hAnsi="宋体" w:cs="宋体"/>
                <w:sz w:val="21"/>
                <w:szCs w:val="21"/>
                <w:lang w:eastAsia="zh-CN"/>
              </w:rPr>
              <w:t>2. 管理方针与企业的经营宗旨相适应，协调；</w:t>
            </w:r>
          </w:p>
          <w:p>
            <w:pPr>
              <w:spacing w:line="240" w:lineRule="exact"/>
              <w:rPr>
                <w:rFonts w:ascii="宋体" w:hAnsi="宋体"/>
                <w:b/>
                <w:sz w:val="21"/>
                <w:szCs w:val="21"/>
              </w:rPr>
            </w:pPr>
            <w:r>
              <w:rPr>
                <w:rFonts w:hint="eastAsia" w:ascii="宋体" w:hAnsi="宋体" w:cs="宋体"/>
                <w:sz w:val="21"/>
                <w:szCs w:val="21"/>
                <w:lang w:eastAsia="zh-CN"/>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eastAsia="宋体"/>
                <w:b/>
                <w:sz w:val="21"/>
                <w:szCs w:val="21"/>
                <w:lang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ascii="宋体" w:hAnsi="宋体" w:cs="宋体"/>
                <w:sz w:val="21"/>
                <w:szCs w:val="21"/>
                <w:lang w:eastAsia="zh-CN"/>
              </w:rPr>
              <w:t>确定了组织需应对的风险和机遇。如：产能不足风险，售出成品出现质量问题的风险；通过提高生产效率，适当扩充生产线，制定召回方案，进行召回演练来控制风险。组织考虑了市场增长迅速，市场需求量加大的机遇，通过提高产量质量，积极研发新产品扩大市场占有率。组织在确定这些风险和机遇时，考虑了员工岗位技能、生产能力、市场需求等内外部因素及合同方（顾客）的相关要求。评审情况均为符合发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hint="eastAsia" w:ascii="Times New Roman" w:hAnsi="Times New Roman" w:cs="Times New Roman"/>
                <w:sz w:val="21"/>
                <w:szCs w:val="21"/>
                <w:lang w:val="en-US" w:eastAsia="zh-CN"/>
              </w:rPr>
            </w:pPr>
            <w:r>
              <w:rPr>
                <w:rFonts w:hint="eastAsia" w:ascii="宋体" w:hAnsi="宋体"/>
                <w:b/>
                <w:sz w:val="21"/>
                <w:szCs w:val="21"/>
              </w:rPr>
              <w:t>质量管理体系过程有：</w:t>
            </w:r>
            <w:r>
              <w:rPr>
                <w:rFonts w:hint="eastAsia" w:ascii="Times New Roman" w:hAnsi="Times New Roman" w:cs="Times New Roman"/>
                <w:sz w:val="21"/>
                <w:szCs w:val="21"/>
                <w:lang w:val="en-US" w:eastAsia="zh-CN"/>
              </w:rPr>
              <w:t>板式家具： 板材—裁板—冷压—封边—打眼—造型—刮腻子—喷底漆—打磨—喷面漆—成品</w:t>
            </w:r>
          </w:p>
          <w:p>
            <w:pPr>
              <w:rPr>
                <w:rFonts w:hint="eastAsia" w:ascii="Times New Roman" w:hAnsi="Times New Roman" w:cs="Times New Roman"/>
                <w:sz w:val="21"/>
                <w:szCs w:val="21"/>
                <w:lang w:val="en-US" w:eastAsia="zh-CN"/>
              </w:rPr>
            </w:pPr>
          </w:p>
          <w:p>
            <w:pPr>
              <w:tabs>
                <w:tab w:val="left" w:pos="540"/>
              </w:tabs>
              <w:spacing w:line="300" w:lineRule="exact"/>
              <w:ind w:left="211" w:hanging="210" w:hanging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钢木家具： 板材—裁板—冷压—封边—打眼—造型—喷胶吸塑— 组装—成品 </w:t>
            </w:r>
          </w:p>
          <w:p>
            <w:pPr>
              <w:tabs>
                <w:tab w:val="left" w:pos="540"/>
              </w:tabs>
              <w:spacing w:line="300" w:lineRule="exact"/>
              <w:ind w:left="209" w:leftChars="87" w:firstLine="3780" w:firstLineChars="1800"/>
              <w:rPr>
                <w:rFonts w:ascii="宋体" w:hAnsi="宋体"/>
                <w:b/>
                <w:sz w:val="21"/>
                <w:szCs w:val="21"/>
              </w:rPr>
            </w:pPr>
            <w:r>
              <w:rPr>
                <w:rFonts w:hint="eastAsia" w:ascii="Times New Roman" w:hAnsi="Times New Roman" w:cs="Times New Roman"/>
                <w:sz w:val="21"/>
                <w:szCs w:val="21"/>
                <w:lang w:val="en-US" w:eastAsia="zh-CN"/>
              </w:rPr>
              <w:t>型材—切割—冲压—焊接</w:t>
            </w:r>
          </w:p>
          <w:p>
            <w:pPr>
              <w:tabs>
                <w:tab w:val="left" w:pos="540"/>
              </w:tabs>
              <w:spacing w:line="300" w:lineRule="exact"/>
              <w:ind w:left="211" w:hanging="211" w:hangingChars="100"/>
              <w:rPr>
                <w:rFonts w:hint="eastAsia" w:ascii="Times New Roman" w:hAnsi="Times New Roman" w:cs="Times New Roman"/>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Times New Roman" w:hAnsi="Times New Roman" w:cs="Times New Roman"/>
                <w:sz w:val="21"/>
                <w:szCs w:val="21"/>
                <w:lang w:val="en-US" w:eastAsia="zh-CN"/>
              </w:rPr>
              <w:t>封边过程和成型过程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Times New Roman" w:hAnsi="Times New Roman" w:cs="Times New Roman"/>
                <w:sz w:val="21"/>
                <w:szCs w:val="21"/>
                <w:lang w:val="en-US" w:eastAsia="zh-CN"/>
              </w:rPr>
              <w:t>焊接过程、造型过程、销售过程。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r>
              <w:rPr>
                <w:rFonts w:hint="eastAsia" w:ascii="Times New Roman" w:hAnsi="Times New Roman" w:cs="Times New Roman"/>
                <w:sz w:val="21"/>
                <w:szCs w:val="21"/>
                <w:u w:val="single"/>
                <w:lang w:val="en-US" w:eastAsia="zh-CN"/>
              </w:rPr>
              <w:t>根据本公司产品和服务特点，产品依据国标、行 业标准、客户要求进行生产和销售，工艺流程简单成熟，销售模式固定，无设 计开发要求，故不适用 GB/T19001-2016 标准的 8.3 条款，但不影响组织确保其 产品和服务合格的能力或责任，对增强顾客满意也不会产生影响。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80" w:lineRule="exact"/>
              <w:rPr>
                <w:rFonts w:hint="eastAsia" w:ascii="宋体" w:hAnsi="宋体" w:cs="宋体"/>
                <w:sz w:val="21"/>
                <w:szCs w:val="21"/>
                <w:lang w:val="en-US" w:eastAsia="zh-CN"/>
              </w:rPr>
            </w:pPr>
            <w:r>
              <w:rPr>
                <w:rFonts w:hint="eastAsia" w:ascii="宋体" w:hAnsi="宋体" w:cs="宋体"/>
                <w:sz w:val="21"/>
                <w:szCs w:val="21"/>
                <w:lang w:val="en-US" w:eastAsia="zh-CN"/>
              </w:rPr>
              <w:t>2020年1月5日由办公室组织对环境因素、危险源进行了辨识、评价。</w:t>
            </w:r>
          </w:p>
          <w:p>
            <w:pPr>
              <w:spacing w:line="280" w:lineRule="exact"/>
              <w:rPr>
                <w:rFonts w:hint="eastAsia" w:ascii="宋体" w:hAnsi="宋体" w:cs="宋体"/>
                <w:sz w:val="21"/>
                <w:szCs w:val="21"/>
                <w:lang w:val="en-US" w:eastAsia="zh-CN"/>
              </w:rPr>
            </w:pPr>
            <w:r>
              <w:rPr>
                <w:rFonts w:hint="eastAsia" w:ascii="宋体" w:hAnsi="宋体" w:cs="宋体"/>
                <w:sz w:val="21"/>
                <w:szCs w:val="21"/>
                <w:lang w:val="en-US" w:eastAsia="zh-CN"/>
              </w:rPr>
              <w:t>评价得出的重要环境因素为</w:t>
            </w:r>
            <w:r>
              <w:rPr>
                <w:rFonts w:hint="default" w:ascii="宋体" w:hAnsi="宋体" w:cs="宋体"/>
                <w:sz w:val="21"/>
                <w:szCs w:val="21"/>
                <w:lang w:val="en-US" w:eastAsia="zh-CN"/>
              </w:rPr>
              <w:t>废气的排放、固体废弃物排放、噪声排放、火灾的发生</w:t>
            </w:r>
            <w:r>
              <w:rPr>
                <w:rFonts w:hint="eastAsia" w:ascii="宋体" w:hAnsi="宋体" w:cs="宋体"/>
                <w:sz w:val="21"/>
                <w:szCs w:val="21"/>
                <w:lang w:val="en-US" w:eastAsia="zh-CN"/>
              </w:rPr>
              <w:t>。</w:t>
            </w:r>
          </w:p>
          <w:p>
            <w:pPr>
              <w:spacing w:line="280" w:lineRule="exact"/>
              <w:rPr>
                <w:rFonts w:ascii="宋体" w:hAnsi="宋体"/>
                <w:b/>
                <w:sz w:val="21"/>
                <w:szCs w:val="21"/>
              </w:rPr>
            </w:pPr>
            <w:r>
              <w:rPr>
                <w:rFonts w:hint="eastAsia" w:ascii="宋体" w:hAnsi="宋体" w:cs="宋体"/>
                <w:sz w:val="21"/>
                <w:szCs w:val="21"/>
                <w:lang w:val="en-US" w:eastAsia="zh-CN"/>
              </w:rPr>
              <w:t>评价基本准确，详见各部门相关条款审核记录。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80" w:lineRule="exact"/>
              <w:rPr>
                <w:rFonts w:hint="eastAsia" w:ascii="宋体" w:hAnsi="宋体" w:cs="宋体"/>
                <w:sz w:val="21"/>
                <w:szCs w:val="21"/>
                <w:lang w:val="en-US" w:eastAsia="zh-CN"/>
              </w:rPr>
            </w:pPr>
            <w:r>
              <w:rPr>
                <w:rFonts w:hint="eastAsia" w:ascii="宋体" w:hAnsi="宋体" w:cs="宋体"/>
                <w:sz w:val="21"/>
                <w:szCs w:val="21"/>
                <w:lang w:val="en-US" w:eastAsia="zh-CN"/>
              </w:rPr>
              <w:t>不可接受风险为</w:t>
            </w:r>
            <w:r>
              <w:rPr>
                <w:rFonts w:hint="default" w:ascii="宋体" w:hAnsi="宋体" w:cs="宋体"/>
                <w:sz w:val="21"/>
                <w:szCs w:val="21"/>
                <w:lang w:val="en-US" w:eastAsia="zh-CN"/>
              </w:rPr>
              <w:t>火灾、触电、废气伤害、机械伤害、噪声伤害</w:t>
            </w:r>
            <w:r>
              <w:rPr>
                <w:rFonts w:hint="eastAsia" w:ascii="宋体" w:hAnsi="宋体" w:cs="宋体"/>
                <w:sz w:val="21"/>
                <w:szCs w:val="21"/>
                <w:lang w:val="en-US" w:eastAsia="zh-CN"/>
              </w:rPr>
              <w:t>。</w:t>
            </w:r>
          </w:p>
          <w:p>
            <w:pPr>
              <w:spacing w:line="240" w:lineRule="exact"/>
              <w:rPr>
                <w:rFonts w:hint="eastAsia" w:ascii="宋体" w:hAnsi="宋体"/>
                <w:b/>
                <w:sz w:val="21"/>
                <w:szCs w:val="21"/>
              </w:rPr>
            </w:pPr>
            <w:r>
              <w:rPr>
                <w:rFonts w:hint="eastAsia" w:ascii="宋体" w:hAnsi="宋体" w:cs="宋体"/>
                <w:sz w:val="21"/>
                <w:szCs w:val="21"/>
                <w:lang w:val="en-US" w:eastAsia="zh-CN"/>
              </w:rPr>
              <w:t>评价基本准确，详见各部门相关条款审核记录。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31</w:t>
            </w:r>
            <w:r>
              <w:rPr>
                <w:rFonts w:hint="eastAsia" w:ascii="宋体" w:hAnsi="宋体"/>
                <w:b/>
                <w:color w:val="000000" w:themeColor="text1"/>
                <w:szCs w:val="21"/>
              </w:rPr>
              <w:t>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确定□未确定法律法规要求的具体条款，</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ascii="宋体" w:hAnsi="宋体" w:cs="宋体"/>
                <w:sz w:val="21"/>
                <w:szCs w:val="21"/>
                <w:lang w:val="en-US" w:eastAsia="zh-CN"/>
              </w:rPr>
              <w:t>公司质量目标：1. 产品交付一次合格率≥95%；2. 顾客满意率≥95%。环境目标：1.废弃物100%实现分类存放，合理处置。2.废气、噪声达标排放。3.杜绝发生火灾及重大污染事故。职业健康安全目标：1.杜绝发生重伤、死亡、火灾事故；2.轻伤每年不超过3起；3.杜绝职业病的发生，对目标进行了分解，建立了各部门的分目标，每季度末对目标进行考核，查看“2020年第1、2季度目标完成情况统计表”，都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受审核方建立的管理体系文件包括：</w:t>
            </w:r>
          </w:p>
          <w:p>
            <w:pPr>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1.管理手册DC/QES-2019-AO版，2019年3月1日发表实施（含管理方针、目标）</w:t>
            </w:r>
          </w:p>
          <w:p>
            <w:pPr>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2.程序文件DC/CX-2019，含25个文件，包括标准要求的程序</w:t>
            </w:r>
          </w:p>
          <w:p>
            <w:pPr>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3.作业文件DC-ZY-2019，包括：岗位任职条件、安全生产管理制度、员工职业健康及劳动保护管理规定、安全操作规程等。</w:t>
            </w:r>
          </w:p>
          <w:p>
            <w:pPr>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4.体系运行所需要的记录</w:t>
            </w:r>
          </w:p>
          <w:p>
            <w:pPr>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■编制了《文件控制程序》用于对管理体系文件，符合标准要求。</w:t>
            </w:r>
          </w:p>
          <w:p>
            <w:pPr>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查看《文件发放签收表》，内容包括：文件名称，文件编号，接收部门，分发序号，接收人/日期，回收记录。</w:t>
            </w:r>
          </w:p>
          <w:p>
            <w:pPr>
              <w:spacing w:line="240" w:lineRule="exact"/>
              <w:rPr>
                <w:rFonts w:ascii="宋体" w:hAnsi="宋体"/>
                <w:b/>
                <w:sz w:val="21"/>
                <w:szCs w:val="21"/>
              </w:rPr>
            </w:pPr>
            <w:r>
              <w:rPr>
                <w:rFonts w:hint="eastAsia" w:ascii="宋体" w:hAnsi="宋体" w:cs="宋体"/>
                <w:sz w:val="21"/>
                <w:szCs w:val="21"/>
                <w:lang w:val="en-US" w:eastAsia="zh-CN"/>
              </w:rPr>
              <w:t>公司的文件没有变化，能够持续满足要求。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rPr>
                <w:rFonts w:hint="eastAsia" w:ascii="宋体" w:hAnsi="宋体" w:cs="宋体"/>
                <w:sz w:val="21"/>
                <w:szCs w:val="21"/>
                <w:lang w:val="en-US" w:eastAsia="zh-CN"/>
              </w:rPr>
            </w:pPr>
            <w:r>
              <w:rPr>
                <w:rFonts w:hint="eastAsia" w:ascii="宋体" w:hAnsi="宋体"/>
                <w:b/>
                <w:sz w:val="21"/>
                <w:szCs w:val="21"/>
              </w:rPr>
              <w:t>人力资源的简要说明</w:t>
            </w:r>
            <w:r>
              <w:rPr>
                <w:rFonts w:ascii="宋体" w:hAnsi="宋体"/>
                <w:b/>
                <w:sz w:val="21"/>
                <w:szCs w:val="21"/>
              </w:rPr>
              <w:t>.:</w:t>
            </w:r>
            <w:r>
              <w:rPr>
                <w:rFonts w:hint="eastAsia" w:ascii="宋体" w:hAnsi="宋体" w:cs="宋体"/>
                <w:sz w:val="21"/>
                <w:szCs w:val="21"/>
                <w:lang w:val="en-US" w:eastAsia="zh-CN"/>
              </w:rPr>
              <w:t>编制“岗位职责和能力要求”，规定了公司领导、各级人员等关于质量、环境和职业健康安全工作的任职要求以及岗位职责等，对整体人员需求、能力要求及作用进行规定，其中对重要岗位人员的能力要求进行了评定，确保人员满足岗位要求。</w:t>
            </w:r>
          </w:p>
          <w:p>
            <w:pPr>
              <w:rPr>
                <w:rFonts w:hint="default" w:ascii="宋体" w:hAnsi="宋体" w:cs="宋体"/>
                <w:sz w:val="21"/>
                <w:szCs w:val="21"/>
                <w:lang w:val="en-US" w:eastAsia="zh-CN"/>
              </w:rPr>
            </w:pPr>
            <w:r>
              <w:rPr>
                <w:rFonts w:hint="eastAsia" w:ascii="宋体" w:hAnsi="宋体" w:cs="宋体"/>
                <w:sz w:val="21"/>
                <w:szCs w:val="21"/>
                <w:lang w:val="en-US" w:eastAsia="zh-CN"/>
              </w:rPr>
              <w:t>现在公司工有员工20人，其中管理人员6人，专业技术人员4人，销售人员2人，环境安全管理人员1人，兼职电工1日年，其他均为职工，人力资源满足要求。</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有生产厂房2000平米，有办公楼，有办公设备如：电脑、打印机、存放文件的橱柜和信息系统等。</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主要生产设备有</w:t>
            </w:r>
            <w:r>
              <w:rPr>
                <w:rFonts w:hint="eastAsia" w:ascii="Times New Roman" w:hAnsi="Times New Roman" w:cs="Times New Roman"/>
                <w:sz w:val="21"/>
                <w:szCs w:val="21"/>
                <w:lang w:val="en-US" w:eastAsia="zh-CN"/>
              </w:rPr>
              <w:t>裁板锯、封边机、冷压机、排钻、雕刻机、切割机、电焊机、打磨台、喷枪、冲床、喷漆房</w:t>
            </w:r>
            <w:r>
              <w:rPr>
                <w:rFonts w:hint="eastAsia" w:ascii="Times New Roman" w:hAnsi="Times New Roman" w:cs="Times New Roman"/>
                <w:sz w:val="21"/>
                <w:szCs w:val="21"/>
                <w:lang w:eastAsia="zh-CN"/>
              </w:rPr>
              <w:t>，均可满足生产需要。查特种设备：无</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现场查看，生产检测设备完好，维护保养基本得当，能够满足生产符合要求产品的需要。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rPr>
                <w:rFonts w:hint="eastAsia" w:ascii="Times New Roman" w:hAnsi="Times New Roman"/>
                <w:sz w:val="21"/>
                <w:szCs w:val="21"/>
                <w:lang w:eastAsia="zh-CN"/>
              </w:rPr>
            </w:pPr>
            <w:r>
              <w:rPr>
                <w:rFonts w:hint="eastAsia" w:ascii="宋体" w:hAnsi="宋体"/>
                <w:b/>
                <w:sz w:val="21"/>
                <w:szCs w:val="21"/>
              </w:rPr>
              <w:t>过程运行环境</w:t>
            </w:r>
            <w:r>
              <w:rPr>
                <w:rFonts w:hint="eastAsia" w:ascii="宋体" w:hAnsi="宋体"/>
                <w:b/>
                <w:sz w:val="21"/>
                <w:szCs w:val="21"/>
                <w:lang w:eastAsia="zh-CN"/>
              </w:rPr>
              <w:t>：</w:t>
            </w:r>
            <w:r>
              <w:rPr>
                <w:rFonts w:hint="eastAsia"/>
                <w:sz w:val="21"/>
                <w:szCs w:val="21"/>
                <w:lang w:eastAsia="zh-CN"/>
              </w:rPr>
              <w:t>生产车间</w:t>
            </w:r>
            <w:r>
              <w:rPr>
                <w:rFonts w:hint="eastAsia" w:ascii="Times New Roman" w:hAnsi="Times New Roman"/>
                <w:sz w:val="21"/>
                <w:szCs w:val="21"/>
                <w:lang w:eastAsia="zh-CN"/>
              </w:rPr>
              <w:t>占地面积近</w:t>
            </w:r>
            <w:r>
              <w:rPr>
                <w:rFonts w:hint="eastAsia"/>
                <w:sz w:val="21"/>
                <w:szCs w:val="21"/>
                <w:lang w:val="en-US" w:eastAsia="zh-CN"/>
              </w:rPr>
              <w:t>2000平米，2</w:t>
            </w:r>
            <w:r>
              <w:rPr>
                <w:rFonts w:hint="eastAsia" w:ascii="Times New Roman" w:hAnsi="Times New Roman"/>
                <w:sz w:val="21"/>
                <w:szCs w:val="21"/>
                <w:lang w:eastAsia="zh-CN"/>
              </w:rPr>
              <w:t>个车间。车间宽敞明亮，干净整洁，通道畅通。车间内各种规格、型号产品摆放整齐，工序间工位器具设置较合理。</w:t>
            </w:r>
          </w:p>
          <w:p>
            <w:pPr>
              <w:rPr>
                <w:rFonts w:hint="eastAsia" w:ascii="Times New Roman" w:hAnsi="Times New Roman"/>
                <w:sz w:val="21"/>
                <w:szCs w:val="21"/>
                <w:lang w:eastAsia="zh-CN"/>
              </w:rPr>
            </w:pPr>
            <w:r>
              <w:rPr>
                <w:rFonts w:hint="eastAsia" w:ascii="Times New Roman" w:hAnsi="Times New Roman"/>
                <w:sz w:val="21"/>
                <w:szCs w:val="21"/>
                <w:lang w:eastAsia="zh-CN"/>
              </w:rPr>
              <w:t>现场</w:t>
            </w:r>
            <w:r>
              <w:rPr>
                <w:rFonts w:hint="eastAsia"/>
                <w:sz w:val="21"/>
                <w:szCs w:val="21"/>
                <w:lang w:eastAsia="zh-CN"/>
              </w:rPr>
              <w:t>车间</w:t>
            </w:r>
            <w:r>
              <w:rPr>
                <w:rFonts w:hint="eastAsia" w:ascii="Times New Roman" w:hAnsi="Times New Roman"/>
                <w:sz w:val="21"/>
                <w:szCs w:val="21"/>
                <w:lang w:eastAsia="zh-CN"/>
              </w:rPr>
              <w:t>有灭火器</w:t>
            </w:r>
            <w:r>
              <w:rPr>
                <w:rFonts w:hint="eastAsia"/>
                <w:sz w:val="21"/>
                <w:szCs w:val="21"/>
                <w:lang w:val="en-US" w:eastAsia="zh-CN"/>
              </w:rPr>
              <w:t>8</w:t>
            </w:r>
            <w:r>
              <w:rPr>
                <w:rFonts w:hint="eastAsia" w:ascii="Times New Roman" w:hAnsi="Times New Roman"/>
                <w:sz w:val="21"/>
                <w:szCs w:val="21"/>
                <w:lang w:eastAsia="zh-CN"/>
              </w:rPr>
              <w:t>台，并在有效期内。</w:t>
            </w:r>
          </w:p>
          <w:p>
            <w:pPr>
              <w:rPr>
                <w:rFonts w:hint="eastAsia" w:ascii="Times New Roman" w:hAnsi="Times New Roman"/>
                <w:sz w:val="21"/>
                <w:szCs w:val="21"/>
                <w:lang w:eastAsia="zh-CN"/>
              </w:rPr>
            </w:pPr>
            <w:r>
              <w:rPr>
                <w:rFonts w:hint="eastAsia" w:ascii="Times New Roman" w:hAnsi="Times New Roman"/>
                <w:sz w:val="21"/>
                <w:szCs w:val="21"/>
                <w:lang w:eastAsia="zh-CN"/>
              </w:rPr>
              <w:t>车间工人在工作前及工作结束后能够及时清理环境及设备。</w:t>
            </w:r>
          </w:p>
          <w:p>
            <w:pPr>
              <w:rPr>
                <w:rFonts w:ascii="宋体" w:hAnsi="宋体"/>
                <w:b/>
                <w:sz w:val="21"/>
                <w:szCs w:val="21"/>
              </w:rPr>
            </w:pPr>
            <w:r>
              <w:rPr>
                <w:rFonts w:hint="eastAsia" w:ascii="Times New Roman" w:hAnsi="Times New Roman"/>
                <w:sz w:val="21"/>
                <w:szCs w:val="21"/>
                <w:lang w:eastAsia="zh-CN"/>
              </w:rPr>
              <w:t>工人每日工作前，仔细检查设备防护情况。工作环境得到良好的控制</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rPr>
                <w:rFonts w:hint="eastAsia" w:ascii="Times New Roman" w:hAnsi="Times New Roman" w:cs="Times New Roman"/>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Times New Roman" w:hAnsi="Times New Roman" w:cs="Times New Roman"/>
                <w:sz w:val="21"/>
                <w:szCs w:val="21"/>
                <w:lang w:eastAsia="zh-CN"/>
              </w:rPr>
              <w:t>提供了《监视和测量设备登记及送检计划》内容包括监视设备名称、规格、检定周期等。检测设备：钢</w:t>
            </w:r>
            <w:r>
              <w:rPr>
                <w:rFonts w:hint="eastAsia" w:ascii="Times New Roman" w:hAnsi="Times New Roman" w:cs="Times New Roman"/>
                <w:sz w:val="21"/>
                <w:szCs w:val="21"/>
                <w:lang w:val="en-US" w:eastAsia="zh-CN"/>
              </w:rPr>
              <w:t>直</w:t>
            </w:r>
            <w:r>
              <w:rPr>
                <w:rFonts w:hint="eastAsia" w:ascii="Times New Roman" w:hAnsi="Times New Roman" w:cs="Times New Roman"/>
                <w:sz w:val="21"/>
                <w:szCs w:val="21"/>
                <w:lang w:eastAsia="zh-CN"/>
              </w:rPr>
              <w:t>尺、</w:t>
            </w:r>
            <w:r>
              <w:rPr>
                <w:rFonts w:hint="eastAsia" w:ascii="Times New Roman" w:hAnsi="Times New Roman" w:cs="Times New Roman"/>
                <w:sz w:val="21"/>
                <w:szCs w:val="21"/>
                <w:lang w:val="en-US" w:eastAsia="zh-CN"/>
              </w:rPr>
              <w:t>数显卡尺</w:t>
            </w:r>
            <w:r>
              <w:rPr>
                <w:rFonts w:hint="eastAsia" w:ascii="Times New Roman" w:hAnsi="Times New Roman" w:cs="Times New Roman"/>
                <w:sz w:val="21"/>
                <w:szCs w:val="21"/>
                <w:lang w:eastAsia="zh-CN"/>
              </w:rPr>
              <w:t>；</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抽查计量器具校准/检定情况，</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数显卡尺（0-150mm），证号：JHJW18-8888，检定日期2020.9.23</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——钢直尺（500mm），证号：JHJW18-8887，检定日期2020.9.23</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检定单位：河北省计量检测监督研究院</w:t>
            </w:r>
          </w:p>
          <w:p>
            <w:pPr>
              <w:spacing w:line="240" w:lineRule="exact"/>
              <w:rPr>
                <w:rFonts w:hint="eastAsia"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r>
              <w:rPr>
                <w:rFonts w:hint="eastAsia" w:ascii="宋体" w:hAnsi="宋体"/>
                <w:b/>
                <w:sz w:val="21"/>
                <w:szCs w:val="21"/>
                <w:lang w:eastAsia="zh-CN"/>
              </w:rPr>
              <w:t>：</w:t>
            </w:r>
            <w:r>
              <w:rPr>
                <w:rFonts w:hint="eastAsia"/>
                <w:sz w:val="21"/>
                <w:szCs w:val="21"/>
              </w:rPr>
              <w:t>公司对法律法规及其他要求进行了获取，包括质量法、合同法、环境保护法、劳动法、消防法、环境空气质量标准、固体废弃物环境防治法、仓库防火安全管理规则、劳动保护用品管理规定、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default" w:ascii="Times New Roman" w:hAnsi="Times New Roman" w:cs="Times New Roman"/>
                <w:sz w:val="21"/>
                <w:szCs w:val="21"/>
              </w:rPr>
              <w:t>GB/T 3325-2017《金属家具通用技术条件》</w:t>
            </w:r>
            <w:r>
              <w:rPr>
                <w:rFonts w:hint="eastAsia" w:ascii="Times New Roman" w:hAnsi="Times New Roman" w:cs="Times New Roman"/>
                <w:sz w:val="21"/>
                <w:szCs w:val="21"/>
                <w:lang w:eastAsia="zh-CN"/>
              </w:rPr>
              <w:t>、</w:t>
            </w:r>
            <w:r>
              <w:rPr>
                <w:rFonts w:hint="default" w:ascii="Times New Roman" w:hAnsi="Times New Roman" w:cs="Times New Roman"/>
                <w:sz w:val="21"/>
                <w:szCs w:val="21"/>
              </w:rPr>
              <w:t>GB/T 3324-2017《木家具通用技术条件》</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有收尘器、灭火器。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Times New Roman" w:hAnsi="Times New Roman" w:cs="Times New Roman"/>
                <w:sz w:val="21"/>
                <w:szCs w:val="21"/>
                <w:lang w:val="en-US" w:eastAsia="zh-CN"/>
              </w:rPr>
              <w:t>灭火器135个、警示牌、</w:t>
            </w:r>
            <w:r>
              <w:rPr>
                <w:rFonts w:hint="eastAsia" w:cs="Times New Roman"/>
                <w:sz w:val="21"/>
                <w:szCs w:val="21"/>
                <w:lang w:val="en-US" w:eastAsia="zh-CN"/>
              </w:rPr>
              <w:t>消防水</w:t>
            </w:r>
            <w:r>
              <w:rPr>
                <w:rFonts w:hint="eastAsia" w:ascii="Times New Roman" w:hAnsi="Times New Roman" w:cs="Times New Roman"/>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240" w:lineRule="exact"/>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1、管理方针：创新求精，不断提升产品与服务质量，促进快速发展</w:t>
            </w:r>
          </w:p>
          <w:p>
            <w:pPr>
              <w:spacing w:line="240" w:lineRule="exact"/>
              <w:ind w:firstLine="1260" w:firstLineChars="600"/>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节能降耗，注重环境保护与污染预防，促进协调发展</w:t>
            </w:r>
          </w:p>
          <w:p>
            <w:pPr>
              <w:spacing w:line="240" w:lineRule="exact"/>
              <w:ind w:firstLine="1260" w:firstLineChars="600"/>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以人为本，确保职业健康与劳动安全，促进和谐发展</w:t>
            </w:r>
          </w:p>
          <w:p>
            <w:pPr>
              <w:spacing w:line="240" w:lineRule="exact"/>
              <w:ind w:firstLine="1260" w:firstLineChars="600"/>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守法诚信，坚持预防为主与持续改进，追求卓越绩效</w:t>
            </w:r>
          </w:p>
          <w:p>
            <w:pPr>
              <w:spacing w:line="240" w:lineRule="exact"/>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2. 管理方针与企业的经营宗旨相适应，协调；</w:t>
            </w:r>
          </w:p>
          <w:p>
            <w:pPr>
              <w:spacing w:line="240" w:lineRule="exact"/>
              <w:rPr>
                <w:rFonts w:hint="eastAsia" w:ascii="宋体" w:hAnsi="宋体"/>
                <w:b/>
                <w:sz w:val="21"/>
                <w:szCs w:val="21"/>
              </w:rPr>
            </w:pPr>
            <w:r>
              <w:rPr>
                <w:rFonts w:hint="eastAsia" w:ascii="Times New Roman" w:hAnsi="Times New Roman" w:cs="Times New Roman"/>
                <w:sz w:val="21"/>
                <w:szCs w:val="21"/>
                <w:u w:val="none"/>
                <w:lang w:val="en-US" w:eastAsia="zh-CN"/>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hint="default" w:ascii="宋体" w:hAnsi="宋体" w:cs="Times New Roman"/>
                <w:szCs w:val="21"/>
                <w:lang w:val="en-US" w:eastAsia="zh-CN"/>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1.产品和服务要求（投标及合同管理）：主要根据顾客提出的产品要求/标书中明示产品要求/产品执行的技术指标等进行控制，严格按要求进行了合同评审—确保能满足客户需求，控制情况较好。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2.采购过程控制：首先编制采购产品验收规范、采购产品检验规程等作业文件规定采购产品质量要求；其次对供方进行了评价，</w:t>
            </w:r>
            <w:r>
              <w:rPr>
                <w:rFonts w:hint="eastAsia"/>
                <w:sz w:val="21"/>
                <w:szCs w:val="21"/>
                <w:lang w:val="en-US" w:eastAsia="zh-CN"/>
              </w:rPr>
              <w:t>对供方包括外包方的评价全面，控制符合要求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ascii="宋体" w:hAnsi="宋体"/>
                <w:sz w:val="21"/>
                <w:szCs w:val="21"/>
                <w:lang w:val="en-GB"/>
              </w:rPr>
              <w:t>通过市场调研或网络调查，与顾客洽谈产品型号</w:t>
            </w:r>
            <w:r>
              <w:rPr>
                <w:rFonts w:hint="eastAsia" w:ascii="宋体" w:hAnsi="宋体"/>
                <w:sz w:val="21"/>
                <w:szCs w:val="21"/>
              </w:rPr>
              <w:t>/数量/价格等信息，与顾客签订合同，进行合同评审，进行售前/售中/售后服务，通过合同评审表，评审内容有交货期/价格/产品质量要求等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4.销售过程：公司与产品有关的要求主要体现在标书、合同及相关法律法规及标准中。</w:t>
            </w:r>
            <w:r>
              <w:rPr>
                <w:rFonts w:hint="eastAsia" w:ascii="宋体" w:cs="宋体"/>
                <w:sz w:val="21"/>
                <w:szCs w:val="21"/>
              </w:rPr>
              <w:t>一般通过电话、老客户介绍、招投标等方式进行销售。在签订正式合同前，由供销部组织进行合同评审，签订合同后，组织生产及时与客户沟通，按时交付。</w:t>
            </w:r>
            <w:r>
              <w:rPr>
                <w:rFonts w:hint="eastAsia"/>
                <w:sz w:val="21"/>
                <w:szCs w:val="21"/>
              </w:rPr>
              <w:t>收集顾客对产品的反馈信息，开展顾客满意度调查，包括顾客抱怨和投诉，体系建立以来未发生顾客投诉事件。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cs="Times New Roman"/>
                <w:sz w:val="21"/>
                <w:szCs w:val="21"/>
              </w:rPr>
            </w:pPr>
            <w:r>
              <w:rPr>
                <w:rFonts w:hint="eastAsia" w:ascii="Times New Roman" w:hAnsi="Times New Roman" w:cs="Times New Roman"/>
                <w:sz w:val="21"/>
                <w:szCs w:val="21"/>
              </w:rPr>
              <w:t>5.不合格品控制情况评价：在产品进货检验中出现的不合格可进行退货处理，在产品交付后出现不合格可进行换货或退货处理；出厂的产品均为合格品，至今客户反馈无质量问题。</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 w:val="21"/>
                <w:szCs w:val="21"/>
              </w:rPr>
            </w:pPr>
            <w:r>
              <w:rPr>
                <w:rFonts w:hint="eastAsia" w:ascii="Times New Roman" w:hAnsi="Times New Roman" w:cs="Times New Roman"/>
                <w:sz w:val="21"/>
                <w:szCs w:val="21"/>
              </w:rPr>
              <w:t>6.变更的控制：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Times New Roman" w:hAnsi="Times New Roman" w:cs="Times New Roman"/>
                <w:sz w:val="21"/>
                <w:szCs w:val="21"/>
                <w:lang w:val="en-US" w:eastAsia="zh-CN"/>
              </w:rPr>
              <w:t>主要满足客户要求，目前向顾客提供的产品均合格，提供有客户验收记录。</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00" w:lineRule="exact"/>
              <w:rPr>
                <w:rFonts w:hint="eastAsia" w:ascii="Times New Roman" w:hAnsi="Times New Roman" w:cs="Times New Roman"/>
                <w:sz w:val="21"/>
                <w:szCs w:val="21"/>
                <w:lang w:val="en-US" w:eastAsia="zh-CN"/>
              </w:rPr>
            </w:pPr>
          </w:p>
          <w:p>
            <w:pPr>
              <w:spacing w:line="3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——报告编号：GJ901067，产品名称：钢制文件柜，检验结论：合格，签发日期：2019年6月3日，检验单位：国家家具质量监督检验中心（河北）</w:t>
            </w:r>
          </w:p>
          <w:p>
            <w:pPr>
              <w:spacing w:line="3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——报告编号：2019-SH-002，产品名称：办公桌，检验结论：合格，签发日期：2019年4月1日，检验单位：山东省家具研究所检测中心</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ascii="宋体" w:hAnsi="宋体"/>
                <w:b/>
                <w:sz w:val="21"/>
                <w:szCs w:val="21"/>
              </w:rPr>
            </w:pP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numPr>
                <w:ilvl w:val="0"/>
                <w:numId w:val="0"/>
              </w:numPr>
              <w:spacing w:line="240" w:lineRule="exact"/>
              <w:rPr>
                <w:rFonts w:ascii="宋体" w:hAnsi="宋体"/>
                <w:b/>
                <w:sz w:val="21"/>
                <w:szCs w:val="21"/>
              </w:rPr>
            </w:pPr>
          </w:p>
          <w:p>
            <w:pPr>
              <w:spacing w:line="240" w:lineRule="exact"/>
              <w:ind w:firstLine="420" w:firstLineChars="200"/>
              <w:rPr>
                <w:rFonts w:hint="default" w:ascii="宋体" w:hAnsi="宋体"/>
                <w:b/>
                <w:sz w:val="21"/>
                <w:szCs w:val="21"/>
                <w:lang w:val="en-US"/>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r>
              <w:rPr>
                <w:rFonts w:hint="eastAsia"/>
                <w:sz w:val="21"/>
                <w:szCs w:val="21"/>
                <w:lang w:val="en-US" w:eastAsia="zh-CN"/>
              </w:rPr>
              <w:t>对于产品出现的不合格品一律返工返修处理。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现场查看办公区域干净整洁，配置灭火器</w:t>
            </w:r>
            <w:r>
              <w:rPr>
                <w:rFonts w:hint="eastAsia"/>
                <w:sz w:val="21"/>
                <w:szCs w:val="21"/>
                <w:lang w:val="en-US" w:eastAsia="zh-CN"/>
              </w:rPr>
              <w:t>和收尘系统</w:t>
            </w:r>
            <w:r>
              <w:rPr>
                <w:rFonts w:hint="eastAsia"/>
                <w:sz w:val="21"/>
                <w:szCs w:val="21"/>
              </w:rPr>
              <w:t>等</w:t>
            </w:r>
            <w:r>
              <w:rPr>
                <w:rFonts w:hint="eastAsia"/>
                <w:sz w:val="21"/>
                <w:szCs w:val="21"/>
                <w:lang w:val="en-US" w:eastAsia="zh-CN"/>
              </w:rPr>
              <w:t>环保</w:t>
            </w:r>
            <w:r>
              <w:rPr>
                <w:rFonts w:hint="eastAsia"/>
                <w:sz w:val="21"/>
                <w:szCs w:val="21"/>
              </w:rPr>
              <w:t>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0"/>
              </w:numPr>
              <w:spacing w:line="240" w:lineRule="exact"/>
              <w:ind w:leftChars="0"/>
              <w:rPr>
                <w:rFonts w:hint="eastAsia" w:ascii="宋体" w:hAnsi="宋体"/>
                <w:b/>
                <w:sz w:val="21"/>
                <w:szCs w:val="21"/>
                <w:lang w:eastAsia="zh-CN"/>
              </w:rPr>
            </w:pPr>
            <w:r>
              <w:rPr>
                <w:rFonts w:hint="eastAsia" w:ascii="宋体" w:hAnsi="宋体"/>
                <w:b/>
                <w:sz w:val="21"/>
                <w:szCs w:val="21"/>
                <w:lang w:val="en-US" w:eastAsia="zh-CN"/>
              </w:rPr>
              <w:t>8、</w:t>
            </w:r>
            <w:r>
              <w:rPr>
                <w:rFonts w:ascii="宋体" w:hAnsi="宋体"/>
                <w:b/>
                <w:sz w:val="21"/>
                <w:szCs w:val="21"/>
              </w:rPr>
              <w:t>OHSMS</w:t>
            </w:r>
            <w:r>
              <w:rPr>
                <w:rFonts w:hint="eastAsia" w:ascii="宋体" w:hAnsi="宋体"/>
                <w:b/>
                <w:sz w:val="21"/>
                <w:szCs w:val="21"/>
              </w:rPr>
              <w:t>组织对不可接受风险实施控制的结果</w:t>
            </w:r>
            <w:r>
              <w:rPr>
                <w:rFonts w:hint="eastAsia" w:ascii="宋体" w:hAnsi="宋体"/>
                <w:b/>
                <w:sz w:val="21"/>
                <w:szCs w:val="21"/>
                <w:lang w:eastAsia="zh-CN"/>
              </w:rPr>
              <w:t>：</w:t>
            </w:r>
          </w:p>
          <w:p>
            <w:pPr>
              <w:numPr>
                <w:ilvl w:val="0"/>
                <w:numId w:val="0"/>
              </w:numPr>
              <w:spacing w:line="240" w:lineRule="exact"/>
              <w:ind w:leftChars="0"/>
              <w:rPr>
                <w:rFonts w:hint="eastAsia" w:ascii="宋体" w:hAnsi="宋体"/>
                <w:b/>
                <w:sz w:val="21"/>
                <w:szCs w:val="21"/>
                <w:lang w:eastAsia="zh-CN"/>
              </w:rPr>
            </w:pPr>
            <w:r>
              <w:rPr>
                <w:rFonts w:hint="eastAsia"/>
                <w:sz w:val="21"/>
                <w:szCs w:val="21"/>
                <w:lang w:val="en-GB"/>
              </w:rPr>
              <w:t>编制环境、职业健康安全运行控制程序，对相关方施加影响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、相关方施加影响等进行控制，具体措施有对员工进行安全教育，发放劳保用品，对相关方进行告知，现场查看办公区域干净整洁，配置</w:t>
            </w:r>
            <w:r>
              <w:rPr>
                <w:rFonts w:hint="eastAsia"/>
                <w:sz w:val="21"/>
                <w:szCs w:val="21"/>
                <w:lang w:val="en-US" w:eastAsia="zh-CN"/>
              </w:rPr>
              <w:t>135个</w:t>
            </w:r>
            <w:r>
              <w:rPr>
                <w:rFonts w:hint="eastAsia"/>
                <w:sz w:val="21"/>
                <w:szCs w:val="21"/>
              </w:rPr>
              <w:t>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numPr>
                <w:ilvl w:val="0"/>
                <w:numId w:val="0"/>
              </w:numPr>
              <w:spacing w:line="240" w:lineRule="exact"/>
              <w:rPr>
                <w:rFonts w:hint="default" w:ascii="Times New Roman" w:hAnsi="Times New Roman" w:cs="Times New Roman"/>
                <w:sz w:val="21"/>
                <w:szCs w:val="21"/>
                <w:lang w:val="en-US" w:eastAsia="zh-CN"/>
              </w:rPr>
            </w:pPr>
            <w:r>
              <w:rPr>
                <w:rFonts w:hint="eastAsia" w:ascii="宋体" w:hAnsi="宋体"/>
                <w:b/>
                <w:sz w:val="21"/>
                <w:szCs w:val="21"/>
                <w:lang w:val="en-US" w:eastAsia="zh-CN"/>
              </w:rPr>
              <w:t xml:space="preserve">  </w:t>
            </w:r>
            <w:r>
              <w:rPr>
                <w:rFonts w:hint="eastAsia" w:ascii="Times New Roman" w:hAnsi="Times New Roman" w:cs="Times New Roman"/>
                <w:sz w:val="21"/>
                <w:szCs w:val="21"/>
                <w:lang w:val="en-US" w:eastAsia="zh-CN"/>
              </w:rPr>
              <w:t>提供空压机《安全阀校检报告》编号HT20200358#、校检日期2020.4.21.、有效期至2021.4.20.、结论“合格”；</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Times New Roman" w:hAnsi="Times New Roman" w:cs="Times New Roman"/>
                <w:sz w:val="21"/>
                <w:szCs w:val="21"/>
              </w:rPr>
              <w:t>公司质量目标：</w:t>
            </w:r>
            <w:r>
              <w:rPr>
                <w:rFonts w:hint="eastAsia" w:ascii="Times New Roman" w:hAnsi="Times New Roman" w:cs="Times New Roman"/>
                <w:sz w:val="21"/>
                <w:szCs w:val="21"/>
                <w:lang w:eastAsia="zh-CN"/>
              </w:rPr>
              <w:t>1. 产品交付一次合格率≥95%；2. 顾客满意率≥95%。</w:t>
            </w:r>
            <w:r>
              <w:rPr>
                <w:rFonts w:hint="eastAsia" w:ascii="Times New Roman" w:hAnsi="Times New Roman" w:cs="Times New Roman"/>
                <w:sz w:val="21"/>
                <w:szCs w:val="21"/>
              </w:rPr>
              <w:t>环境目标：1.废弃物100%实现分类存放，合理处置。2.废气、噪声达标排放。3.杜绝发生火灾及重大污染事故</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职业健康安全目标：</w:t>
            </w:r>
            <w:r>
              <w:rPr>
                <w:rFonts w:hint="eastAsia" w:ascii="Times New Roman" w:hAnsi="Times New Roman" w:cs="Times New Roman"/>
                <w:sz w:val="21"/>
                <w:szCs w:val="21"/>
                <w:lang w:eastAsia="zh-CN"/>
              </w:rPr>
              <w:t>1.杜绝发生重伤、死亡、</w:t>
            </w:r>
            <w:r>
              <w:rPr>
                <w:rFonts w:hint="eastAsia" w:ascii="Times New Roman" w:hAnsi="Times New Roman" w:cs="Times New Roman"/>
                <w:sz w:val="21"/>
                <w:szCs w:val="21"/>
                <w:lang w:val="en-US" w:eastAsia="zh-CN"/>
              </w:rPr>
              <w:t>火灾</w:t>
            </w:r>
            <w:r>
              <w:rPr>
                <w:rFonts w:hint="eastAsia" w:ascii="Times New Roman" w:hAnsi="Times New Roman" w:cs="Times New Roman"/>
                <w:sz w:val="21"/>
                <w:szCs w:val="21"/>
                <w:lang w:eastAsia="zh-CN"/>
              </w:rPr>
              <w:t>事故；2.轻伤每年不超过3起；3</w:t>
            </w:r>
            <w:r>
              <w:rPr>
                <w:rFonts w:hint="eastAsia" w:ascii="Times New Roman" w:hAnsi="Times New Roman" w:cs="Times New Roman"/>
                <w:sz w:val="21"/>
                <w:szCs w:val="21"/>
                <w:lang w:val="en-US" w:eastAsia="zh-CN"/>
              </w:rPr>
              <w:t>.杜绝职业病的发生</w:t>
            </w:r>
            <w:r>
              <w:rPr>
                <w:rFonts w:hint="eastAsia" w:ascii="Times New Roman" w:hAnsi="Times New Roman" w:cs="Times New Roman"/>
                <w:sz w:val="21"/>
                <w:szCs w:val="21"/>
              </w:rPr>
              <w:t>，对目标进行了分解，建立了各部门的分目标，每季度末对目标进行考核，查看“20</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rPr>
              <w:t>年第</w:t>
            </w:r>
            <w:r>
              <w:rPr>
                <w:rFonts w:hint="eastAsia" w:ascii="Times New Roman" w:hAnsi="Times New Roman" w:cs="Times New Roman"/>
                <w:sz w:val="21"/>
                <w:szCs w:val="21"/>
                <w:lang w:val="en-US" w:eastAsia="zh-CN"/>
              </w:rPr>
              <w:t>1、2</w:t>
            </w:r>
            <w:r>
              <w:rPr>
                <w:rFonts w:hint="eastAsia" w:ascii="Times New Roman" w:hAnsi="Times New Roman" w:cs="Times New Roman"/>
                <w:sz w:val="21"/>
                <w:szCs w:val="21"/>
              </w:rPr>
              <w:t>季度目标完成情况统计表”，见各部门考核情况。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lang w:eastAsia="zh-CN"/>
              </w:rPr>
            </w:pPr>
            <w:r>
              <w:rPr>
                <w:rFonts w:hint="eastAsia" w:ascii="宋体" w:hAnsi="宋体"/>
                <w:b/>
                <w:sz w:val="21"/>
                <w:szCs w:val="21"/>
              </w:rPr>
              <w:t>顾客满意</w:t>
            </w:r>
            <w:r>
              <w:rPr>
                <w:rFonts w:hint="eastAsia" w:ascii="宋体" w:hAnsi="宋体"/>
                <w:b/>
                <w:sz w:val="21"/>
                <w:szCs w:val="21"/>
                <w:lang w:eastAsia="zh-CN"/>
              </w:rPr>
              <w:t>：</w:t>
            </w:r>
          </w:p>
          <w:p>
            <w:pPr>
              <w:numPr>
                <w:ilvl w:val="0"/>
                <w:numId w:val="0"/>
              </w:numPr>
              <w:spacing w:line="240" w:lineRule="exact"/>
              <w:ind w:leftChars="-50" w:firstLine="420" w:firstLineChars="200"/>
              <w:rPr>
                <w:rFonts w:hint="eastAsia" w:ascii="宋体" w:hAnsi="宋体" w:eastAsia="宋体"/>
                <w:b/>
                <w:sz w:val="21"/>
                <w:szCs w:val="21"/>
                <w:lang w:eastAsia="zh-CN"/>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hint="eastAsia" w:ascii="Times New Roman" w:hAnsi="Times New Roman" w:cs="Times New Roman"/>
                <w:sz w:val="21"/>
                <w:szCs w:val="21"/>
                <w:lang w:eastAsia="zh-CN"/>
              </w:rPr>
            </w:pPr>
            <w:r>
              <w:rPr>
                <w:rFonts w:hint="eastAsia" w:ascii="宋体" w:hAnsi="宋体"/>
                <w:sz w:val="24"/>
                <w:lang w:eastAsia="zh-CN"/>
              </w:rPr>
              <w:t>2020</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w:t>
            </w:r>
            <w:r>
              <w:rPr>
                <w:rFonts w:hint="eastAsia" w:ascii="宋体" w:hAnsi="宋体"/>
                <w:sz w:val="24"/>
              </w:rPr>
              <w:t>5</w:t>
            </w:r>
            <w:r>
              <w:rPr>
                <w:rFonts w:hint="eastAsia" w:ascii="宋体" w:hAnsi="宋体"/>
                <w:sz w:val="24"/>
                <w:lang w:val="en-US" w:eastAsia="zh-CN"/>
              </w:rPr>
              <w:t>-16</w:t>
            </w:r>
            <w:r>
              <w:rPr>
                <w:rFonts w:hint="eastAsia" w:ascii="宋体" w:hAnsi="宋体"/>
                <w:sz w:val="24"/>
              </w:rPr>
              <w:t>日</w:t>
            </w:r>
            <w:r>
              <w:rPr>
                <w:rFonts w:hint="eastAsia" w:ascii="Times New Roman" w:hAnsi="Times New Roman" w:cs="Times New Roman"/>
                <w:sz w:val="21"/>
                <w:szCs w:val="21"/>
              </w:rPr>
              <w:t>进行了一次集中式的内部审核，经查阅资料及与管代沟通，内审员没有审核自己的工作，查阅内审记录，符合策划安排，提出2项不符合，责任部门进行了分析原因、采取纠正/纠正措施并验证了有效性，内审报告中对管理体系的符合性、充分性和运行有效性进行了评价。内审符合要求</w:t>
            </w:r>
            <w:r>
              <w:rPr>
                <w:rFonts w:hint="eastAsia" w:ascii="Times New Roman" w:hAnsi="Times New Roman" w:cs="Times New Roman"/>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按照策划的安排于2020年</w:t>
            </w:r>
            <w:r>
              <w:rPr>
                <w:rFonts w:hint="eastAsia"/>
                <w:sz w:val="21"/>
                <w:szCs w:val="21"/>
                <w:lang w:val="en-US" w:eastAsia="zh-CN"/>
              </w:rPr>
              <w:t>6</w:t>
            </w:r>
            <w:r>
              <w:rPr>
                <w:rFonts w:hint="eastAsia"/>
                <w:sz w:val="21"/>
                <w:szCs w:val="21"/>
              </w:rPr>
              <w:t>月</w:t>
            </w:r>
            <w:r>
              <w:rPr>
                <w:rFonts w:hint="eastAsia"/>
                <w:sz w:val="21"/>
                <w:szCs w:val="21"/>
                <w:lang w:val="en-US" w:eastAsia="zh-CN"/>
              </w:rPr>
              <w:t>28</w:t>
            </w:r>
            <w:r>
              <w:rPr>
                <w:rFonts w:hint="eastAsia"/>
                <w:sz w:val="21"/>
                <w:szCs w:val="21"/>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eastAsia" w:ascii="Times New Roman" w:hAnsi="Times New Roman" w:cs="Times New Roman"/>
                <w:sz w:val="21"/>
                <w:szCs w:val="21"/>
                <w:lang w:val="en-US" w:eastAsia="zh-CN"/>
              </w:rPr>
            </w:pPr>
            <w:r>
              <w:rPr>
                <w:rFonts w:hint="eastAsia" w:ascii="宋体" w:hAnsi="宋体"/>
                <w:b/>
                <w:sz w:val="21"/>
                <w:szCs w:val="21"/>
                <w:lang w:val="en-US" w:eastAsia="zh-CN"/>
              </w:rPr>
              <w:t xml:space="preserve"> </w:t>
            </w:r>
            <w:r>
              <w:rPr>
                <w:rFonts w:hint="eastAsia" w:ascii="Times New Roman" w:hAnsi="Times New Roman" w:cs="Times New Roman"/>
                <w:sz w:val="21"/>
                <w:szCs w:val="21"/>
                <w:lang w:val="en-US" w:eastAsia="zh-CN"/>
              </w:rPr>
              <w:t>提供2020年6月9日环境检测报告</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项目名称：河北迪创家具有限公司污染源检测项目</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委托单位：河北迪创家具有限公司</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签发时间：2020年6月9日</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检测单位：河北谱尼测试科技有限公司</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测试项目：废气、颗粒物、非甲烷总经、噪声</w:t>
            </w:r>
          </w:p>
          <w:p>
            <w:pPr>
              <w:spacing w:line="2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测试结果：合格</w:t>
            </w:r>
          </w:p>
          <w:p>
            <w:pPr>
              <w:numPr>
                <w:ilvl w:val="0"/>
                <w:numId w:val="0"/>
              </w:numPr>
              <w:spacing w:line="240" w:lineRule="exact"/>
              <w:ind w:leftChars="0"/>
              <w:rPr>
                <w:rFonts w:hint="eastAsia"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提供2020年6月9日环境检测报告</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项目名称：河北迪创家具有限公司污染源检测项目</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委托单位：河北迪创家具有限公司</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签发时间：2020年6月9日</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检测单位：河北谱尼测试科技有限公司</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测试项目：废气、颗粒物、非甲烷总经、噪声</w:t>
            </w:r>
          </w:p>
          <w:p>
            <w:pPr>
              <w:spacing w:line="240" w:lineRule="exact"/>
              <w:rPr>
                <w:rFonts w:ascii="宋体" w:hAnsi="宋体"/>
                <w:b/>
                <w:sz w:val="21"/>
                <w:szCs w:val="21"/>
              </w:rPr>
            </w:pPr>
            <w:r>
              <w:rPr>
                <w:rFonts w:hint="eastAsia" w:ascii="Times New Roman" w:hAnsi="Times New Roman" w:cs="Times New Roman"/>
                <w:sz w:val="21"/>
                <w:szCs w:val="21"/>
                <w:lang w:val="en-US" w:eastAsia="zh-CN"/>
              </w:rPr>
              <w:t>测试结果：合格</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hint="eastAsia"/>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p>
          <w:p>
            <w:pPr>
              <w:spacing w:line="240" w:lineRule="exact"/>
              <w:rPr>
                <w:rFonts w:ascii="宋体" w:hAnsi="宋体"/>
                <w:b/>
                <w:sz w:val="21"/>
                <w:szCs w:val="21"/>
              </w:rPr>
            </w:pPr>
            <w:r>
              <w:rPr>
                <w:rFonts w:hint="eastAsia"/>
                <w:sz w:val="21"/>
                <w:szCs w:val="21"/>
                <w:lang w:val="en-US" w:eastAsia="zh-CN"/>
              </w:rPr>
              <w:t>对于上次外审中出现的2个不符合项，已经进行了整改，并制定了纠正措施，</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Times New Roman" w:hAnsi="Times New Roman" w:cs="Times New Roman"/>
                <w:sz w:val="21"/>
                <w:szCs w:val="21"/>
                <w:lang w:val="en-US" w:eastAsia="zh-CN"/>
              </w:rPr>
              <w:t>积极开展新的销售模式。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Times New Roman" w:hAnsi="Times New Roman" w:cs="Times New Roman"/>
                <w:sz w:val="21"/>
                <w:szCs w:val="21"/>
                <w:lang w:val="en-US" w:eastAsia="zh-CN"/>
              </w:rPr>
              <w:t>现场检查：1办公室人员已经清楚与其相关的质量/环境/职业健康安全目标、重要环境因素及职业健康安全风险；2，已经对产品运输外包方进行了评价并将公司环境及职业健康安全方面的要求对其进行了告知，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1</w:t>
      </w:r>
      <w:r>
        <w:rPr>
          <w:rFonts w:hint="eastAsia" w:ascii="宋体" w:hAnsi="宋体"/>
          <w:b/>
          <w:szCs w:val="21"/>
        </w:rPr>
        <w:t>项分布在部门</w:t>
      </w:r>
      <w:r>
        <w:rPr>
          <w:rFonts w:hint="eastAsia" w:ascii="宋体" w:hAnsi="宋体"/>
          <w:b/>
          <w:szCs w:val="21"/>
          <w:lang w:val="en-US" w:eastAsia="zh-CN"/>
        </w:rPr>
        <w:t>生产技术部</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left="252" w:leftChars="105" w:firstLine="0" w:firstLineChars="0"/>
              <w:rPr>
                <w:rFonts w:hint="eastAsia" w:ascii="Times New Roman" w:hAnsi="Times New Roman" w:cs="Times New Roman"/>
                <w:b w:val="0"/>
                <w:bCs/>
                <w:color w:val="000000" w:themeColor="text1"/>
                <w:sz w:val="22"/>
                <w:szCs w:val="22"/>
              </w:rPr>
            </w:pPr>
            <w:r>
              <w:rPr>
                <w:rFonts w:hint="eastAsia" w:ascii="Times New Roman" w:hAnsi="Times New Roman" w:cs="Times New Roman"/>
                <w:b w:val="0"/>
                <w:bCs/>
                <w:color w:val="000000" w:themeColor="text1"/>
                <w:sz w:val="22"/>
                <w:szCs w:val="22"/>
              </w:rPr>
              <w:t>组织的</w:t>
            </w:r>
            <w:r>
              <w:rPr>
                <w:rFonts w:hint="eastAsia" w:ascii="Times New Roman" w:hAnsi="Times New Roman" w:cs="Times New Roman"/>
                <w:b w:val="0"/>
                <w:bCs/>
                <w:color w:val="000000" w:themeColor="text1"/>
                <w:sz w:val="22"/>
                <w:szCs w:val="22"/>
                <w:lang w:val="en-US" w:eastAsia="zh-CN"/>
              </w:rPr>
              <w:t>QEO</w:t>
            </w:r>
            <w:r>
              <w:rPr>
                <w:rFonts w:hint="eastAsia" w:ascii="Times New Roman" w:hAnsi="Times New Roman" w:cs="Times New Roman"/>
                <w:b w:val="0"/>
                <w:bCs/>
                <w:color w:val="000000" w:themeColor="text1"/>
                <w:sz w:val="22"/>
                <w:szCs w:val="22"/>
              </w:rPr>
              <w:t>管理体系在认证周期内持续</w:t>
            </w:r>
            <w:r>
              <w:rPr>
                <w:rFonts w:hint="eastAsia" w:ascii="Times New Roman" w:hAnsi="Times New Roman" w:cs="Times New Roman"/>
                <w:b w:val="0"/>
                <w:bCs/>
                <w:color w:val="000000" w:themeColor="text1"/>
                <w:sz w:val="22"/>
                <w:szCs w:val="22"/>
                <w:lang w:val="en-US" w:eastAsia="zh-CN"/>
              </w:rPr>
              <w:t>有效</w:t>
            </w:r>
            <w:r>
              <w:rPr>
                <w:rFonts w:hint="eastAsia" w:ascii="Times New Roman" w:hAnsi="Times New Roman" w:cs="Times New Roman"/>
                <w:b w:val="0"/>
                <w:bCs/>
                <w:color w:val="000000" w:themeColor="text1"/>
                <w:sz w:val="22"/>
                <w:szCs w:val="22"/>
              </w:rPr>
              <w:t>，持续满足标准要求和目标有效，</w:t>
            </w:r>
            <w:r>
              <w:rPr>
                <w:rFonts w:hint="eastAsia" w:ascii="Times New Roman" w:hAnsi="Times New Roman" w:cs="Times New Roman"/>
                <w:b w:val="0"/>
                <w:bCs/>
                <w:color w:val="000000" w:themeColor="text1"/>
                <w:sz w:val="22"/>
                <w:szCs w:val="22"/>
                <w:lang w:val="en-US" w:eastAsia="zh-CN"/>
              </w:rPr>
              <w:t>能够</w:t>
            </w:r>
            <w:r>
              <w:rPr>
                <w:rFonts w:hint="eastAsia" w:ascii="Times New Roman" w:hAnsi="Times New Roman" w:cs="Times New Roman"/>
                <w:b w:val="0"/>
                <w:bCs/>
                <w:color w:val="000000" w:themeColor="text1"/>
                <w:sz w:val="22"/>
                <w:szCs w:val="22"/>
              </w:rPr>
              <w:t>稳定、合格</w:t>
            </w:r>
            <w:r>
              <w:rPr>
                <w:rFonts w:hint="eastAsia" w:ascii="Times New Roman" w:hAnsi="Times New Roman" w:cs="Times New Roman"/>
                <w:b w:val="0"/>
                <w:bCs/>
                <w:color w:val="000000" w:themeColor="text1"/>
                <w:sz w:val="22"/>
                <w:szCs w:val="22"/>
                <w:lang w:val="en-US" w:eastAsia="zh-CN"/>
              </w:rPr>
              <w:t>地提供顾客满意的</w:t>
            </w:r>
            <w:r>
              <w:rPr>
                <w:rFonts w:hint="eastAsia" w:ascii="Times New Roman" w:hAnsi="Times New Roman" w:cs="Times New Roman"/>
                <w:b w:val="0"/>
                <w:bCs/>
                <w:color w:val="000000" w:themeColor="text1"/>
                <w:sz w:val="22"/>
                <w:szCs w:val="22"/>
              </w:rPr>
              <w:t>产品</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能够</w:t>
            </w:r>
            <w:r>
              <w:rPr>
                <w:rFonts w:hint="eastAsia" w:ascii="Times New Roman" w:hAnsi="Times New Roman" w:cs="Times New Roman"/>
                <w:b w:val="0"/>
                <w:bCs/>
                <w:color w:val="000000" w:themeColor="text1"/>
                <w:sz w:val="22"/>
                <w:szCs w:val="22"/>
              </w:rPr>
              <w:t>满足环境/职业健康安全法规</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对环境因素和危险源进行了控制，近一年没有</w:t>
            </w:r>
            <w:r>
              <w:rPr>
                <w:rFonts w:hint="eastAsia" w:ascii="Times New Roman" w:hAnsi="Times New Roman" w:cs="Times New Roman"/>
                <w:b w:val="0"/>
                <w:bCs/>
                <w:color w:val="000000" w:themeColor="text1"/>
                <w:sz w:val="22"/>
                <w:szCs w:val="22"/>
              </w:rPr>
              <w:t>重大事故</w:t>
            </w:r>
            <w:r>
              <w:rPr>
                <w:rFonts w:hint="eastAsia" w:ascii="Times New Roman" w:hAnsi="Times New Roman" w:cs="Times New Roman"/>
                <w:b w:val="0"/>
                <w:bCs/>
                <w:color w:val="000000" w:themeColor="text1"/>
                <w:sz w:val="22"/>
                <w:szCs w:val="22"/>
                <w:lang w:val="en-US" w:eastAsia="zh-CN"/>
              </w:rPr>
              <w:t>发生，能够</w:t>
            </w:r>
            <w:r>
              <w:rPr>
                <w:rFonts w:hint="eastAsia" w:ascii="Times New Roman" w:hAnsi="Times New Roman" w:cs="Times New Roman"/>
                <w:b w:val="0"/>
                <w:bCs/>
                <w:color w:val="000000" w:themeColor="text1"/>
                <w:sz w:val="22"/>
                <w:szCs w:val="22"/>
              </w:rPr>
              <w:t>持续改进策划的活动；</w:t>
            </w:r>
          </w:p>
          <w:p>
            <w:pPr>
              <w:spacing w:line="280" w:lineRule="exact"/>
              <w:ind w:firstLine="220" w:firstLineChars="100"/>
              <w:rPr>
                <w:rFonts w:ascii="宋体" w:hAnsi="宋体"/>
                <w:b/>
                <w:szCs w:val="21"/>
              </w:rPr>
            </w:pPr>
            <w:r>
              <w:rPr>
                <w:rFonts w:hint="eastAsia" w:ascii="Times New Roman" w:hAnsi="Times New Roman" w:cs="Times New Roman"/>
                <w:b w:val="0"/>
                <w:bCs/>
                <w:color w:val="000000" w:themeColor="text1"/>
                <w:sz w:val="22"/>
                <w:szCs w:val="22"/>
                <w:lang w:val="en-US" w:eastAsia="zh-CN"/>
              </w:rPr>
              <w:t>公司没有</w:t>
            </w:r>
            <w:r>
              <w:rPr>
                <w:rFonts w:hint="eastAsia" w:ascii="Times New Roman" w:hAnsi="Times New Roman" w:cs="Times New Roman"/>
                <w:b w:val="0"/>
                <w:bCs/>
                <w:color w:val="000000" w:themeColor="text1"/>
                <w:sz w:val="22"/>
                <w:szCs w:val="22"/>
              </w:rPr>
              <w:t>扩大范围情况</w:t>
            </w:r>
            <w:r>
              <w:rPr>
                <w:rFonts w:hint="eastAsia" w:ascii="Times New Roman" w:hAnsi="Times New Roman" w:cs="Times New Roman"/>
                <w:b w:val="0"/>
                <w:bCs/>
                <w:color w:val="000000" w:themeColor="text1"/>
                <w:sz w:val="22"/>
                <w:szCs w:val="22"/>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rFonts w:hint="eastAsia"/>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line="360" w:lineRule="exact"/>
        <w:ind w:left="528" w:leftChars="220"/>
        <w:rPr>
          <w:rFonts w:hint="eastAsia"/>
          <w:b/>
          <w:sz w:val="21"/>
        </w:rPr>
      </w:pP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1312" behindDoc="1" locked="0" layoutInCell="1" allowOverlap="1">
            <wp:simplePos x="0" y="0"/>
            <wp:positionH relativeFrom="column">
              <wp:posOffset>1388110</wp:posOffset>
            </wp:positionH>
            <wp:positionV relativeFrom="paragraph">
              <wp:posOffset>222250</wp:posOffset>
            </wp:positionV>
            <wp:extent cx="611505" cy="504190"/>
            <wp:effectExtent l="0" t="0" r="10795" b="3810"/>
            <wp:wrapTight wrapText="bothSides">
              <wp:wrapPolygon>
                <wp:start x="0" y="0"/>
                <wp:lineTo x="0" y="21219"/>
                <wp:lineTo x="21084" y="21219"/>
                <wp:lineTo x="21084"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contrast="84000"/>
                    </a:blip>
                    <a:stretch>
                      <a:fillRect/>
                    </a:stretch>
                  </pic:blipFill>
                  <pic:spPr>
                    <a:xfrm>
                      <a:off x="1496695" y="2028825"/>
                      <a:ext cx="611505"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default" w:eastAsia="宋体"/>
          <w:b/>
          <w:sz w:val="21"/>
          <w:lang w:val="en-US" w:eastAsia="zh-CN"/>
        </w:rPr>
        <w:drawing>
          <wp:anchor distT="0" distB="0" distL="114300" distR="114300" simplePos="0" relativeHeight="251662336" behindDoc="0" locked="0" layoutInCell="1" allowOverlap="1">
            <wp:simplePos x="0" y="0"/>
            <wp:positionH relativeFrom="column">
              <wp:posOffset>2776220</wp:posOffset>
            </wp:positionH>
            <wp:positionV relativeFrom="paragraph">
              <wp:posOffset>69215</wp:posOffset>
            </wp:positionV>
            <wp:extent cx="860425" cy="393700"/>
            <wp:effectExtent l="0" t="0" r="3175" b="0"/>
            <wp:wrapSquare wrapText="bothSides"/>
            <wp:docPr id="1" name="图片 1" descr="5ad1b8914bdf82d6563866dadcf3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d1b8914bdf82d6563866dadcf363a"/>
                    <pic:cNvPicPr>
                      <a:picLocks noChangeAspect="1"/>
                    </pic:cNvPicPr>
                  </pic:nvPicPr>
                  <pic:blipFill>
                    <a:blip r:embed="rId7"/>
                    <a:stretch>
                      <a:fillRect/>
                    </a:stretch>
                  </pic:blipFill>
                  <pic:spPr>
                    <a:xfrm>
                      <a:off x="0" y="0"/>
                      <a:ext cx="860425" cy="393700"/>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rFonts w:hint="default" w:eastAsia="宋体"/>
          <w:b/>
          <w:sz w:val="21"/>
          <w:lang w:val="en-US" w:eastAsia="zh-CN"/>
        </w:rPr>
      </w:pPr>
      <w:r>
        <w:rPr>
          <w:rFonts w:hint="eastAsia"/>
          <w:b/>
          <w:sz w:val="21"/>
        </w:rPr>
        <w:t>审核组组员（签名）：</w:t>
      </w:r>
      <w:r>
        <w:rPr>
          <w:rFonts w:hint="eastAsia"/>
          <w:b/>
          <w:sz w:val="21"/>
          <w:lang w:val="en-US" w:eastAsia="zh-CN"/>
        </w:rPr>
        <w:t xml:space="preserve">              </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2020.9.27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2160" w:firstLineChars="900"/>
        <w:rPr>
          <w:rFonts w:hint="eastAsia"/>
          <w:b/>
          <w:sz w:val="21"/>
          <w:szCs w:val="21"/>
        </w:rPr>
      </w:pPr>
      <w:r>
        <w:drawing>
          <wp:anchor distT="0" distB="0" distL="114300" distR="114300" simplePos="0" relativeHeight="251666432" behindDoc="1" locked="0" layoutInCell="1" allowOverlap="1">
            <wp:simplePos x="0" y="0"/>
            <wp:positionH relativeFrom="column">
              <wp:posOffset>1340485</wp:posOffset>
            </wp:positionH>
            <wp:positionV relativeFrom="paragraph">
              <wp:posOffset>212090</wp:posOffset>
            </wp:positionV>
            <wp:extent cx="611505" cy="504190"/>
            <wp:effectExtent l="0" t="0" r="10795" b="3810"/>
            <wp:wrapTight wrapText="bothSides">
              <wp:wrapPolygon>
                <wp:start x="0" y="0"/>
                <wp:lineTo x="0" y="21219"/>
                <wp:lineTo x="21084" y="21219"/>
                <wp:lineTo x="21084"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84000"/>
                    </a:blip>
                    <a:stretch>
                      <a:fillRect/>
                    </a:stretch>
                  </pic:blipFill>
                  <pic:spPr>
                    <a:xfrm>
                      <a:off x="0" y="0"/>
                      <a:ext cx="611505"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895" w:firstLineChars="343"/>
        <w:rPr>
          <w:rFonts w:hint="eastAsia"/>
          <w:b/>
          <w:sz w:val="26"/>
          <w:szCs w:val="26"/>
        </w:rPr>
      </w:pPr>
    </w:p>
    <w:p>
      <w:pPr>
        <w:tabs>
          <w:tab w:val="left" w:pos="6880"/>
          <w:tab w:val="left" w:pos="7740"/>
          <w:tab w:val="left" w:pos="8385"/>
        </w:tabs>
        <w:snapToGrid w:val="0"/>
        <w:spacing w:before="163" w:beforeLines="50"/>
        <w:ind w:firstLine="895" w:firstLineChars="34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209336"/>
    <w:multiLevelType w:val="singleLevel"/>
    <w:tmpl w:val="A0209336"/>
    <w:lvl w:ilvl="0" w:tentative="0">
      <w:start w:val="3"/>
      <w:numFmt w:val="decimal"/>
      <w:lvlText w:val="%1."/>
      <w:lvlJc w:val="left"/>
      <w:pPr>
        <w:tabs>
          <w:tab w:val="left" w:pos="312"/>
        </w:tabs>
      </w:pPr>
    </w:lvl>
  </w:abstractNum>
  <w:abstractNum w:abstractNumId="1">
    <w:nsid w:val="BE81D62F"/>
    <w:multiLevelType w:val="singleLevel"/>
    <w:tmpl w:val="BE81D62F"/>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278C2A4"/>
    <w:multiLevelType w:val="singleLevel"/>
    <w:tmpl w:val="0278C2A4"/>
    <w:lvl w:ilvl="0" w:tentative="0">
      <w:start w:val="6"/>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543874D"/>
    <w:multiLevelType w:val="singleLevel"/>
    <w:tmpl w:val="5543874D"/>
    <w:lvl w:ilvl="0" w:tentative="0">
      <w:start w:val="10"/>
      <w:numFmt w:val="decimal"/>
      <w:suff w:val="space"/>
      <w:lvlText w:val="%1."/>
      <w:lvlJc w:val="left"/>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2C273B"/>
    <w:rsid w:val="78AB2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2020-09-27T02:29:15Z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