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501130" cy="9107805"/>
            <wp:effectExtent l="0" t="0" r="1270" b="10795"/>
            <wp:docPr id="3" name="图片 3" descr="c4a3606fbe430328208e67c7c403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a3606fbe430328208e67c7c403a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1130" cy="910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409055" cy="9109710"/>
            <wp:effectExtent l="0" t="0" r="4445" b="8890"/>
            <wp:docPr id="4" name="图片 4" descr="4c53d3fc31539a03f25ce224e833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c53d3fc31539a03f25ce224e8338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19" w:name="_GoBack"/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80"/>
        <w:gridCol w:w="31"/>
        <w:gridCol w:w="253"/>
        <w:gridCol w:w="256"/>
        <w:gridCol w:w="730"/>
        <w:gridCol w:w="45"/>
        <w:gridCol w:w="1125"/>
        <w:gridCol w:w="537"/>
        <w:gridCol w:w="1553"/>
        <w:gridCol w:w="6"/>
        <w:gridCol w:w="451"/>
        <w:gridCol w:w="116"/>
        <w:gridCol w:w="124"/>
        <w:gridCol w:w="273"/>
        <w:gridCol w:w="845"/>
        <w:gridCol w:w="765"/>
        <w:gridCol w:w="577"/>
        <w:gridCol w:w="29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河北迪创家具有限公司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正定县南牛乡南牛村羊曲线路段054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156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陈玉匣</w:t>
            </w:r>
            <w:bookmarkEnd w:id="2"/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15383000808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156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孙红朝</w:t>
            </w:r>
            <w:bookmarkEnd w:id="5"/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156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0352 -2019-QEO-2020</w:t>
            </w:r>
            <w:bookmarkEnd w:id="6"/>
          </w:p>
        </w:tc>
        <w:tc>
          <w:tcPr>
            <w:tcW w:w="20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4703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Q：钢木、板式家具（办公家具、展柜、木质门）的生产和销售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E：钢木、板式家具（办公家具、展柜、木质门）的生产和销售及相关环境管理活动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O：钢木、板式家具（办公家具、展柜、木质门）的生产和销售所涉及场所的职业健康安全管理活动</w:t>
            </w:r>
            <w:bookmarkEnd w:id="9"/>
          </w:p>
        </w:tc>
        <w:tc>
          <w:tcPr>
            <w:tcW w:w="51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362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Q：06.02.03;06.02.05;23.01.01;29.12.00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E：06.02.03;06.02.05;23.01.01;29.12.00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O：06.02.03;06.02.05;23.01.01;29.12.00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2020年09月25日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2020年09月26日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2017-N1QMS-2201919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2018-N1OHSMS-2201919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杨捷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7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河北省防伪行业协会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Q:06.02.03,06.02.05,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E:06.02.03,06.02.05,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O:06.02.03,06.02.05,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1905</wp:posOffset>
                  </wp:positionV>
                  <wp:extent cx="611505" cy="504190"/>
                  <wp:effectExtent l="0" t="0" r="10795" b="3810"/>
                  <wp:wrapTight wrapText="bothSides">
                    <wp:wrapPolygon>
                      <wp:start x="0" y="0"/>
                      <wp:lineTo x="0" y="21219"/>
                      <wp:lineTo x="21084" y="21219"/>
                      <wp:lineTo x="21084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2020.9.25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1" w:type="dxa"/>
            <w:gridSpan w:val="2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2020.9.25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ISC-JSZJ-163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23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pacing w:line="2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Q4.1/4.2/4.3/4.4/5.2/5.3/6.1/6.2/6.3/9.1.1/9.3/10.1/10.3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E4.1/4.2/4.3/4.4/5.1/5.2/5.3/6.1/6.2/9.1.1/9.3/10.1/10.3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S4.1/4.2/4.3.1/4.3.3/4.4.1/4.4.3/4.5.1/4.5.2/4.6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ISC-JSZJ-163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cs="宋体"/>
                <w:sz w:val="21"/>
                <w:szCs w:val="21"/>
              </w:rPr>
              <w:t>部</w:t>
            </w:r>
            <w:r>
              <w:rPr>
                <w:rFonts w:hint="eastAsia"/>
                <w:b/>
                <w:sz w:val="20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生产和服务提供的控制；标识和可追溯性；产品防护；产品和服务的放行；不合格输出的控制；变更的控制；环境因素、危险源辨识、风险评价和控制措施的确定；应急准备和响应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8.5.1/8.5.2/8.5.4/8.5.6/8.6/8.7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S4.4.1/4.3.3/4.3.1/4.4.3/4.4.6/4.4.7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ISC-JSZJ-163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2020.9.25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8.4/8.2/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sz w:val="21"/>
                <w:szCs w:val="21"/>
              </w:rPr>
              <w:t>9.1.2/8.5.3/8.5.5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S4.4.1/4.3.3/4.3.1/4.4.3/4.4.6/4.4.7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2020.7.26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Q：5.3/6.2/7.1.2/7.1.6/9.2/10.2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E：5.3/6.1.2/6.1.3/6.2/8.1/8.2/9.1/9.2/10.2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S：4.4.1/4.3.1/4.3.2/4.3.3/4.4.3/4.4.6/4.4.7/4.5.1/4.5.2/4.5.3/4.5.5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ISC-2201919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  <w:szCs w:val="22"/>
              </w:rPr>
              <w:t>ISC-JSZJ-163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末次会议（管理层及各部门负责人）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cs="宋体"/>
                <w:sz w:val="21"/>
                <w:szCs w:val="21"/>
              </w:rPr>
              <w:t>部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供销部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ISC-JSZJ-163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94E56"/>
    <w:rsid w:val="0B7D1B3A"/>
    <w:rsid w:val="114E4898"/>
    <w:rsid w:val="129B3FF5"/>
    <w:rsid w:val="17C170E6"/>
    <w:rsid w:val="68CC6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15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2020-09-27T01:55:59Z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