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MMS：GB/T19022-2003/ISO10012:2003,E：GB/T 24001-2016/ISO14001:2015</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ind w:firstLine="1600" w:firstLineChars="500"/>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宝鸡天王机械有限责任公司</w:t>
      </w:r>
      <w:bookmarkEnd w:id="1"/>
    </w:p>
    <w:p>
      <w:pPr>
        <w:spacing w:line="360" w:lineRule="auto"/>
        <w:ind w:firstLine="1440" w:firstLineChars="300"/>
        <w:jc w:val="left"/>
        <w:rPr>
          <w:rFonts w:ascii="宋体" w:hAnsi="宋体"/>
          <w:spacing w:val="32"/>
          <w:sz w:val="32"/>
          <w:u w:val="single"/>
        </w:rPr>
      </w:pPr>
      <w:r>
        <w:rPr>
          <w:rFonts w:hint="eastAsia" w:ascii="宋体" w:hAnsi="宋体"/>
          <w:spacing w:val="80"/>
          <w:sz w:val="32"/>
        </w:rPr>
        <w:t>编号</w:t>
      </w:r>
      <w:r>
        <w:rPr>
          <w:rFonts w:hint="eastAsia" w:ascii="宋体" w:hAnsi="宋体"/>
          <w:sz w:val="32"/>
        </w:rPr>
        <w:t>：</w:t>
      </w:r>
      <w:bookmarkStart w:id="2" w:name="合同编号"/>
      <w:r>
        <w:rPr>
          <w:rFonts w:hint="eastAsia" w:ascii="宋体" w:hAnsi="宋体"/>
          <w:sz w:val="32"/>
        </w:rPr>
        <w:t>0137-2019-2020</w:t>
      </w:r>
      <w:bookmarkEnd w:id="2"/>
    </w:p>
    <w:p>
      <w:pPr>
        <w:spacing w:line="360" w:lineRule="auto"/>
        <w:ind w:firstLine="1440" w:firstLineChars="300"/>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0137-2019-2020</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2979"/>
        <w:gridCol w:w="1825"/>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297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宝鸡天王机械有限责任公司</w:t>
            </w:r>
            <w:bookmarkEnd w:id="4"/>
          </w:p>
        </w:tc>
        <w:tc>
          <w:tcPr>
            <w:tcW w:w="1825"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185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鲁刚</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297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MMS:ISC-2019-0494</w:t>
            </w:r>
            <w:bookmarkEnd w:id="6"/>
          </w:p>
        </w:tc>
        <w:tc>
          <w:tcPr>
            <w:tcW w:w="1825"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185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 xml:space="preserve">2024-09-16 </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2979" w:type="dxa"/>
          </w:tcPr>
          <w:p>
            <w:pPr>
              <w:tabs>
                <w:tab w:val="left" w:pos="880"/>
              </w:tabs>
              <w:autoSpaceDE w:val="0"/>
              <w:autoSpaceDN w:val="0"/>
              <w:adjustRightInd w:val="0"/>
              <w:spacing w:before="35" w:line="276" w:lineRule="auto"/>
              <w:ind w:right="161"/>
              <w:rPr>
                <w:rFonts w:hint="default" w:cs="宋体" w:asciiTheme="minorEastAsia" w:hAnsiTheme="minorEastAsia"/>
                <w:kern w:val="0"/>
                <w:szCs w:val="21"/>
                <w:lang w:val="en-US"/>
              </w:rPr>
            </w:pPr>
            <w:bookmarkStart w:id="8" w:name="监督次数"/>
            <w:r>
              <w:rPr>
                <w:rFonts w:hint="eastAsia" w:cs="宋体" w:asciiTheme="minorEastAsia" w:hAnsiTheme="minorEastAsia"/>
                <w:kern w:val="0"/>
                <w:szCs w:val="21"/>
                <w:lang w:val="en-US" w:eastAsia="zh-CN"/>
              </w:rPr>
              <w:t>第</w:t>
            </w:r>
            <w:r>
              <w:rPr>
                <w:rFonts w:cs="宋体" w:asciiTheme="minorEastAsia" w:hAnsiTheme="minorEastAsia"/>
                <w:kern w:val="0"/>
                <w:szCs w:val="21"/>
              </w:rPr>
              <w:t>一</w:t>
            </w:r>
            <w:bookmarkEnd w:id="8"/>
            <w:r>
              <w:rPr>
                <w:rFonts w:hint="eastAsia" w:cs="宋体" w:asciiTheme="minorEastAsia" w:hAnsiTheme="minorEastAsia"/>
                <w:kern w:val="0"/>
                <w:szCs w:val="21"/>
                <w:lang w:val="en-US" w:eastAsia="zh-CN"/>
              </w:rPr>
              <w:t>次监督审核</w:t>
            </w:r>
          </w:p>
        </w:tc>
        <w:tc>
          <w:tcPr>
            <w:tcW w:w="1825"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1858" w:type="dxa"/>
          </w:tcPr>
          <w:p>
            <w:pPr>
              <w:tabs>
                <w:tab w:val="left" w:pos="880"/>
              </w:tabs>
              <w:autoSpaceDE w:val="0"/>
              <w:autoSpaceDN w:val="0"/>
              <w:adjustRightInd w:val="0"/>
              <w:spacing w:before="35" w:line="360" w:lineRule="auto"/>
              <w:ind w:right="161"/>
              <w:rPr>
                <w:rFonts w:hint="eastAsia" w:cs="宋体" w:asciiTheme="minorEastAsia" w:hAnsiTheme="minorEastAsia" w:eastAsiaTheme="minorEastAsia"/>
                <w:kern w:val="0"/>
                <w:szCs w:val="21"/>
                <w:lang w:eastAsia="zh-CN"/>
              </w:rPr>
            </w:pPr>
            <w:bookmarkStart w:id="9" w:name="审核开始日"/>
            <w:r>
              <w:rPr>
                <w:rFonts w:cs="宋体" w:asciiTheme="minorEastAsia" w:hAnsiTheme="minorEastAsia"/>
                <w:kern w:val="0"/>
                <w:szCs w:val="21"/>
              </w:rPr>
              <w:t xml:space="preserve">2020年09月22日 </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2979" w:type="dxa"/>
          </w:tcPr>
          <w:p>
            <w:pPr>
              <w:tabs>
                <w:tab w:val="left" w:pos="880"/>
              </w:tabs>
              <w:autoSpaceDE w:val="0"/>
              <w:autoSpaceDN w:val="0"/>
              <w:adjustRightInd w:val="0"/>
              <w:spacing w:before="35" w:line="276" w:lineRule="auto"/>
              <w:ind w:right="161"/>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eastAsia="zh-CN"/>
              </w:rPr>
              <w:t>孙保健</w:t>
            </w:r>
            <w:r>
              <w:rPr>
                <w:rFonts w:hint="eastAsia" w:cs="宋体" w:asciiTheme="minorEastAsia" w:hAnsiTheme="minorEastAsia"/>
                <w:kern w:val="0"/>
                <w:szCs w:val="21"/>
                <w:lang w:val="en-US" w:eastAsia="zh-CN"/>
              </w:rPr>
              <w:t xml:space="preserve">   </w:t>
            </w:r>
            <w:r>
              <w:rPr>
                <w:rFonts w:ascii="宋体" w:hAnsi="宋体"/>
                <w:color w:val="000000"/>
                <w:szCs w:val="21"/>
                <w:shd w:val="pct10" w:color="auto" w:fill="FFFFFF"/>
              </w:rPr>
              <w:t>中认协评[2020]44 号ISC[S]0176</w:t>
            </w:r>
          </w:p>
        </w:tc>
        <w:tc>
          <w:tcPr>
            <w:tcW w:w="1825"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185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ascii="宋体" w:hAnsi="宋体"/>
                <w:szCs w:val="21"/>
                <w:lang w:val="en-US" w:eastAsia="zh-CN"/>
              </w:rPr>
              <w:t>办公室.</w:t>
            </w:r>
            <w:r>
              <w:rPr>
                <w:rFonts w:hint="eastAsia"/>
                <w:szCs w:val="21"/>
              </w:rPr>
              <w:t>技术部</w:t>
            </w:r>
            <w:r>
              <w:rPr>
                <w:rFonts w:hint="eastAsia"/>
                <w:szCs w:val="21"/>
                <w:lang w:val="en-US" w:eastAsia="zh-CN"/>
              </w:rPr>
              <w:t>.品管部.</w:t>
            </w:r>
            <w:r>
              <w:rPr>
                <w:rFonts w:hint="eastAsia"/>
                <w:szCs w:val="21"/>
              </w:rPr>
              <w:t>生产部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pStyle w:val="9"/>
        <w:widowControl/>
        <w:numPr>
          <w:ilvl w:val="0"/>
          <w:numId w:val="1"/>
        </w:numPr>
        <w:spacing w:line="360" w:lineRule="auto"/>
        <w:ind w:firstLineChars="0"/>
        <w:rPr>
          <w:rFonts w:cs="宋体" w:asciiTheme="minorEastAsia" w:hAnsiTheme="minorEastAsia"/>
          <w:bCs/>
          <w:kern w:val="0"/>
          <w:szCs w:val="21"/>
        </w:rPr>
      </w:pP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400" w:lineRule="exact"/>
        <w:ind w:firstLine="420" w:firstLineChars="200"/>
        <w:rPr>
          <w:rFonts w:hint="eastAsia" w:cs="宋体" w:asciiTheme="minorEastAsia" w:hAnsiTheme="minorEastAsia" w:eastAsiaTheme="minorEastAsia"/>
          <w:bCs/>
          <w:kern w:val="0"/>
          <w:szCs w:val="21"/>
          <w:lang w:eastAsia="zh-CN"/>
        </w:rPr>
      </w:pPr>
      <w:r>
        <w:rPr>
          <w:rFonts w:cs="宋体" w:asciiTheme="minorEastAsia" w:hAnsiTheme="minorEastAsia"/>
          <w:bCs/>
          <w:kern w:val="0"/>
          <w:szCs w:val="21"/>
        </w:rPr>
        <w:t>一年内</w:t>
      </w:r>
      <w:r>
        <w:rPr>
          <w:rFonts w:hint="eastAsia" w:cs="宋体" w:asciiTheme="minorEastAsia" w:hAnsiTheme="minorEastAsia"/>
          <w:bCs/>
          <w:kern w:val="0"/>
          <w:szCs w:val="21"/>
        </w:rPr>
        <w:t>，</w:t>
      </w:r>
      <w:r>
        <w:rPr>
          <w:rFonts w:hint="eastAsia" w:ascii="宋体" w:hAnsi="宋体"/>
          <w:szCs w:val="21"/>
        </w:rPr>
        <w:t>公司</w:t>
      </w:r>
      <w:r>
        <w:rPr>
          <w:rFonts w:hint="eastAsia"/>
          <w:bCs/>
          <w:szCs w:val="21"/>
        </w:rPr>
        <w:t>日常运行中生产、经营、安全、销售及行政管理方面，未出现</w:t>
      </w:r>
      <w:r>
        <w:rPr>
          <w:rFonts w:cs="宋体" w:asciiTheme="minorEastAsia" w:hAnsiTheme="minorEastAsia"/>
          <w:bCs/>
          <w:kern w:val="0"/>
          <w:szCs w:val="21"/>
        </w:rPr>
        <w:t>违反法律</w:t>
      </w:r>
      <w:r>
        <w:rPr>
          <w:rFonts w:hint="eastAsia" w:cs="宋体" w:asciiTheme="minorEastAsia" w:hAnsiTheme="minorEastAsia"/>
          <w:bCs/>
          <w:kern w:val="0"/>
          <w:szCs w:val="21"/>
        </w:rPr>
        <w:t>、</w:t>
      </w:r>
      <w:r>
        <w:rPr>
          <w:rFonts w:cs="宋体" w:asciiTheme="minorEastAsia" w:hAnsiTheme="minorEastAsia"/>
          <w:bCs/>
          <w:kern w:val="0"/>
          <w:szCs w:val="21"/>
        </w:rPr>
        <w:t>法规</w:t>
      </w:r>
      <w:r>
        <w:rPr>
          <w:rFonts w:hint="eastAsia" w:cs="宋体" w:asciiTheme="minorEastAsia" w:hAnsiTheme="minorEastAsia"/>
          <w:bCs/>
          <w:kern w:val="0"/>
          <w:szCs w:val="21"/>
        </w:rPr>
        <w:t>问题或</w:t>
      </w:r>
      <w:r>
        <w:rPr>
          <w:rFonts w:cs="宋体" w:asciiTheme="minorEastAsia" w:hAnsiTheme="minorEastAsia"/>
          <w:bCs/>
          <w:kern w:val="0"/>
          <w:szCs w:val="21"/>
        </w:rPr>
        <w:t>重大事故</w:t>
      </w:r>
      <w:r>
        <w:rPr>
          <w:rFonts w:hint="eastAsia" w:cs="宋体" w:asciiTheme="minorEastAsia" w:hAnsiTheme="minorEastAsia"/>
          <w:bCs/>
          <w:kern w:val="0"/>
          <w:szCs w:val="21"/>
        </w:rPr>
        <w:t>发生</w:t>
      </w:r>
      <w:r>
        <w:rPr>
          <w:rFonts w:hint="eastAsia" w:cs="宋体" w:asciiTheme="minorEastAsia" w:hAnsiTheme="minorEastAsia"/>
          <w:bCs/>
          <w:kern w:val="0"/>
          <w:szCs w:val="21"/>
          <w:lang w:val="en-US" w:eastAsia="zh-CN"/>
        </w:rPr>
        <w:t>,</w:t>
      </w:r>
      <w:r>
        <w:rPr>
          <w:rFonts w:hint="eastAsia" w:cs="宋体" w:asciiTheme="minorEastAsia" w:hAnsiTheme="minorEastAsia"/>
          <w:bCs/>
          <w:kern w:val="0"/>
          <w:szCs w:val="21"/>
        </w:rPr>
        <w:t>满足要求</w:t>
      </w:r>
      <w:r>
        <w:rPr>
          <w:rFonts w:hint="eastAsia" w:cs="宋体" w:asciiTheme="minorEastAsia" w:hAnsiTheme="minorEastAsia"/>
          <w:bCs/>
          <w:kern w:val="0"/>
          <w:szCs w:val="21"/>
          <w:lang w:eastAsia="zh-CN"/>
        </w:rPr>
        <w:t>。</w:t>
      </w:r>
    </w:p>
    <w:p>
      <w:pPr>
        <w:pStyle w:val="9"/>
        <w:widowControl/>
        <w:numPr>
          <w:ilvl w:val="0"/>
          <w:numId w:val="1"/>
        </w:numPr>
        <w:spacing w:line="360" w:lineRule="auto"/>
        <w:ind w:firstLineChars="0"/>
        <w:rPr>
          <w:rFonts w:cs="宋体" w:asciiTheme="minorEastAsia" w:hAnsiTheme="minorEastAsia"/>
          <w:bCs/>
          <w:kern w:val="0"/>
          <w:szCs w:val="21"/>
        </w:rPr>
      </w:pPr>
      <w:r>
        <w:rPr>
          <w:rFonts w:cs="宋体" w:asciiTheme="minorEastAsia" w:hAnsiTheme="minorEastAsia"/>
          <w:bCs/>
          <w:kern w:val="0"/>
          <w:szCs w:val="21"/>
        </w:rPr>
        <w:t>监督审核过程简述：</w:t>
      </w:r>
    </w:p>
    <w:p>
      <w:pPr>
        <w:widowControl/>
        <w:spacing w:line="400" w:lineRule="exact"/>
        <w:ind w:firstLine="420" w:firstLineChars="200"/>
        <w:rPr>
          <w:rFonts w:cs="宋体" w:asciiTheme="minorEastAsia" w:hAnsiTheme="minorEastAsia"/>
          <w:bCs/>
          <w:kern w:val="0"/>
          <w:szCs w:val="21"/>
        </w:rPr>
      </w:pPr>
      <w:r>
        <w:rPr>
          <w:rFonts w:hint="eastAsia" w:cs="宋体" w:asciiTheme="minorEastAsia" w:hAnsiTheme="minorEastAsia"/>
          <w:bCs/>
          <w:kern w:val="0"/>
          <w:szCs w:val="21"/>
        </w:rPr>
        <w:t>为有效评价公司测量管理体系认证后一年以来运行情况，</w:t>
      </w:r>
      <w:r>
        <w:rPr>
          <w:rFonts w:hint="eastAsia" w:cs="宋体" w:asciiTheme="minorEastAsia" w:hAnsiTheme="minorEastAsia"/>
          <w:bCs/>
          <w:kern w:val="0"/>
          <w:szCs w:val="21"/>
          <w:lang w:eastAsia="zh-CN"/>
        </w:rPr>
        <w:t>2020年09月22日</w:t>
      </w:r>
      <w:r>
        <w:rPr>
          <w:rFonts w:hint="eastAsia" w:cs="宋体" w:asciiTheme="minorEastAsia" w:hAnsiTheme="minorEastAsia"/>
          <w:bCs/>
          <w:kern w:val="0"/>
          <w:szCs w:val="21"/>
        </w:rPr>
        <w:t>，</w:t>
      </w:r>
      <w:r>
        <w:rPr>
          <w:rFonts w:hint="eastAsia" w:cs="宋体" w:asciiTheme="minorEastAsia" w:hAnsiTheme="minorEastAsia"/>
          <w:bCs/>
          <w:kern w:val="0"/>
          <w:szCs w:val="21"/>
          <w:lang w:eastAsia="zh-CN"/>
        </w:rPr>
        <w:t>审</w:t>
      </w:r>
      <w:r>
        <w:rPr>
          <w:rFonts w:hint="eastAsia" w:ascii="宋体" w:hAnsi="宋体"/>
          <w:szCs w:val="21"/>
          <w:lang w:eastAsia="zh-CN"/>
        </w:rPr>
        <w:t>核组</w:t>
      </w:r>
      <w:r>
        <w:rPr>
          <w:rFonts w:ascii="宋体" w:hAnsi="宋体"/>
          <w:szCs w:val="21"/>
        </w:rPr>
        <w:t>对该公司的体系文件进行了版本</w:t>
      </w:r>
      <w:r>
        <w:rPr>
          <w:rFonts w:hint="eastAsia" w:ascii="宋体" w:hAnsi="宋体"/>
          <w:szCs w:val="21"/>
        </w:rPr>
        <w:t>（A/0）</w:t>
      </w:r>
      <w:r>
        <w:rPr>
          <w:rFonts w:ascii="宋体" w:hAnsi="宋体"/>
          <w:szCs w:val="21"/>
        </w:rPr>
        <w:t>确认，</w:t>
      </w:r>
      <w:r>
        <w:rPr>
          <w:rFonts w:hint="eastAsia" w:ascii="宋体" w:hAnsi="宋体"/>
          <w:szCs w:val="21"/>
          <w:lang w:eastAsia="zh-CN"/>
        </w:rPr>
        <w:t>在</w:t>
      </w:r>
      <w:r>
        <w:rPr>
          <w:rFonts w:hint="eastAsia" w:cs="宋体" w:asciiTheme="minorEastAsia" w:hAnsiTheme="minorEastAsia"/>
          <w:bCs/>
          <w:kern w:val="0"/>
          <w:szCs w:val="21"/>
        </w:rPr>
        <w:t>现场审核中，审核组先、后抽样检查了涉及公司测量体系内的管理、生产、经营、质量和环境等方面的</w:t>
      </w:r>
      <w:r>
        <w:rPr>
          <w:rFonts w:hint="eastAsia" w:cs="宋体" w:asciiTheme="minorEastAsia" w:hAnsiTheme="minorEastAsia"/>
          <w:bCs/>
          <w:kern w:val="0"/>
          <w:szCs w:val="21"/>
          <w:lang w:val="en-US" w:eastAsia="zh-CN"/>
        </w:rPr>
        <w:t>4</w:t>
      </w:r>
      <w:r>
        <w:rPr>
          <w:rFonts w:hint="eastAsia" w:cs="宋体" w:asciiTheme="minorEastAsia" w:hAnsiTheme="minorEastAsia"/>
          <w:bCs/>
          <w:kern w:val="0"/>
          <w:szCs w:val="21"/>
        </w:rPr>
        <w:t>个职能部门</w:t>
      </w:r>
      <w:r>
        <w:rPr>
          <w:rFonts w:hint="eastAsia" w:cs="宋体" w:asciiTheme="minorEastAsia" w:hAnsiTheme="minorEastAsia"/>
          <w:bCs/>
          <w:kern w:val="0"/>
          <w:szCs w:val="21"/>
          <w:lang w:eastAsia="zh-CN"/>
        </w:rPr>
        <w:t>及</w:t>
      </w:r>
      <w:r>
        <w:rPr>
          <w:rFonts w:hint="eastAsia" w:cs="宋体" w:asciiTheme="minorEastAsia" w:hAnsiTheme="minorEastAsia"/>
          <w:bCs/>
          <w:kern w:val="0"/>
          <w:szCs w:val="21"/>
        </w:rPr>
        <w:t>车间，该企业不是重点耗能单位，企业的能源计量器具的配备率及准确度等级均满足G</w:t>
      </w:r>
      <w:r>
        <w:rPr>
          <w:rFonts w:cs="宋体" w:asciiTheme="minorEastAsia" w:hAnsiTheme="minorEastAsia"/>
          <w:bCs/>
          <w:kern w:val="0"/>
          <w:szCs w:val="21"/>
        </w:rPr>
        <w:t>B17167-2006</w:t>
      </w:r>
      <w:r>
        <w:rPr>
          <w:rFonts w:hint="eastAsia" w:cs="宋体" w:asciiTheme="minorEastAsia" w:hAnsiTheme="minorEastAsia"/>
          <w:bCs/>
          <w:kern w:val="0"/>
          <w:szCs w:val="21"/>
        </w:rPr>
        <w:t>标准要求。</w:t>
      </w:r>
      <w:r>
        <w:rPr>
          <w:rFonts w:hint="eastAsia" w:cs="宋体" w:asciiTheme="minorEastAsia" w:hAnsiTheme="minorEastAsia"/>
          <w:bCs/>
          <w:kern w:val="0"/>
          <w:szCs w:val="21"/>
          <w:lang w:val="en-US" w:eastAsia="zh-CN"/>
        </w:rPr>
        <w:t>2019年全年能耗折合标煤</w:t>
      </w:r>
      <w:r>
        <w:rPr>
          <w:rFonts w:hint="eastAsia" w:cs="宋体" w:asciiTheme="minorEastAsia" w:hAnsiTheme="minorEastAsia"/>
          <w:bCs/>
          <w:color w:val="000000" w:themeColor="text1"/>
          <w:kern w:val="0"/>
          <w:szCs w:val="21"/>
          <w:lang w:val="en-US" w:eastAsia="zh-CN"/>
        </w:rPr>
        <w:t>154</w:t>
      </w:r>
      <w:r>
        <w:rPr>
          <w:rFonts w:hint="eastAsia" w:cs="宋体" w:asciiTheme="minorEastAsia" w:hAnsiTheme="minorEastAsia"/>
          <w:bCs/>
          <w:kern w:val="0"/>
          <w:szCs w:val="21"/>
          <w:lang w:val="en-US" w:eastAsia="zh-CN"/>
        </w:rPr>
        <w:t>吨。</w:t>
      </w:r>
      <w:r>
        <w:rPr>
          <w:rFonts w:hint="eastAsia" w:cs="宋体" w:asciiTheme="minorEastAsia" w:hAnsiTheme="minorEastAsia"/>
          <w:bCs/>
          <w:kern w:val="0"/>
          <w:szCs w:val="21"/>
        </w:rPr>
        <w:t>重点抽查</w:t>
      </w:r>
      <w:r>
        <w:rPr>
          <w:rFonts w:hint="eastAsia" w:ascii="宋体" w:hAnsi="宋体"/>
          <w:szCs w:val="21"/>
        </w:rPr>
        <w:t>了公司计量特征突出的重要环节、</w:t>
      </w:r>
      <w:r>
        <w:rPr>
          <w:rFonts w:hint="eastAsia" w:ascii="宋体" w:hAnsi="宋体" w:eastAsia="宋体" w:cs="Times New Roman"/>
          <w:szCs w:val="21"/>
        </w:rPr>
        <w:t>原材料（外购件、外协件进厂检测）、生产线中产品的各种综合性能检测等测量过程</w:t>
      </w:r>
      <w:r>
        <w:rPr>
          <w:rFonts w:hint="eastAsia" w:ascii="宋体" w:hAnsi="宋体"/>
          <w:szCs w:val="21"/>
        </w:rPr>
        <w:t>以及量值溯源系统</w:t>
      </w:r>
      <w:r>
        <w:rPr>
          <w:rFonts w:hint="eastAsia" w:cs="宋体" w:asciiTheme="minorEastAsia" w:hAnsiTheme="minorEastAsia"/>
          <w:bCs/>
          <w:kern w:val="0"/>
          <w:szCs w:val="21"/>
        </w:rPr>
        <w:t>，同时，跟踪验证了该公司在获得测量管理体系认证后，对体系的运行监视、分析完善和持续改进等工作情况。</w:t>
      </w:r>
    </w:p>
    <w:p>
      <w:pPr>
        <w:widowControl/>
        <w:spacing w:line="400" w:lineRule="exact"/>
        <w:ind w:firstLine="420" w:firstLineChars="200"/>
        <w:rPr>
          <w:rFonts w:cs="宋体" w:asciiTheme="minorEastAsia" w:hAnsiTheme="minorEastAsia"/>
          <w:bCs/>
          <w:kern w:val="0"/>
          <w:szCs w:val="21"/>
        </w:rPr>
      </w:pPr>
      <w:r>
        <w:rPr>
          <w:rFonts w:hint="eastAsia" w:cs="宋体" w:asciiTheme="minorEastAsia" w:hAnsiTheme="minorEastAsia"/>
          <w:bCs/>
          <w:kern w:val="0"/>
          <w:szCs w:val="21"/>
        </w:rPr>
        <w:t xml:space="preserve">公司测量管理体系的符合性、有效性及持续改进，符合GB/T 19022-2003标准要求，公司测量管理体系正常有序运行，较好地满足了公司生产、销售和持续发展的需要。 </w:t>
      </w:r>
    </w:p>
    <w:p>
      <w:pPr>
        <w:widowControl/>
        <w:spacing w:line="440" w:lineRule="exact"/>
        <w:rPr>
          <w:rFonts w:cs="宋体" w:asciiTheme="minorEastAsia" w:hAnsiTheme="minorEastAsia"/>
          <w:bCs/>
          <w:kern w:val="0"/>
          <w:szCs w:val="21"/>
        </w:rPr>
      </w:pPr>
      <w:r>
        <w:rPr>
          <w:rFonts w:hint="eastAsia" w:cs="宋体" w:asciiTheme="minorEastAsia" w:hAnsiTheme="minorEastAsia"/>
          <w:bCs/>
          <w:kern w:val="0"/>
          <w:szCs w:val="21"/>
        </w:rPr>
        <w:t>3.</w:t>
      </w:r>
      <w:r>
        <w:rPr>
          <w:rFonts w:hint="eastAsia" w:asciiTheme="minorEastAsia" w:hAnsiTheme="minorEastAsia"/>
          <w:bCs/>
          <w:szCs w:val="21"/>
        </w:rPr>
        <w:t>内部审核和管理评审</w:t>
      </w:r>
      <w:r>
        <w:rPr>
          <w:rFonts w:cs="宋体" w:asciiTheme="minorEastAsia" w:hAnsiTheme="minorEastAsia"/>
          <w:bCs/>
          <w:kern w:val="0"/>
          <w:szCs w:val="21"/>
        </w:rPr>
        <w:t>的情况：</w:t>
      </w:r>
    </w:p>
    <w:p>
      <w:pPr>
        <w:widowControl/>
        <w:spacing w:line="400" w:lineRule="exact"/>
        <w:ind w:firstLine="420" w:firstLineChars="200"/>
        <w:rPr>
          <w:rFonts w:hint="eastAsia" w:cs="宋体" w:asciiTheme="minorEastAsia" w:hAnsiTheme="minorEastAsia"/>
          <w:bCs/>
          <w:kern w:val="0"/>
          <w:szCs w:val="21"/>
        </w:rPr>
      </w:pPr>
      <w:r>
        <w:rPr>
          <w:rFonts w:hint="eastAsia" w:cs="宋体" w:asciiTheme="minorEastAsia" w:hAnsiTheme="minorEastAsia"/>
          <w:bCs/>
          <w:kern w:val="0"/>
          <w:szCs w:val="21"/>
        </w:rPr>
        <w:t>在审核过程中了解到，该公司于20</w:t>
      </w:r>
      <w:r>
        <w:rPr>
          <w:rFonts w:hint="eastAsia" w:cs="宋体" w:asciiTheme="minorEastAsia" w:hAnsiTheme="minorEastAsia"/>
          <w:bCs/>
          <w:kern w:val="0"/>
          <w:szCs w:val="21"/>
          <w:lang w:val="en-US" w:eastAsia="zh-CN"/>
        </w:rPr>
        <w:t>20</w:t>
      </w:r>
      <w:r>
        <w:rPr>
          <w:rFonts w:hint="eastAsia" w:cs="宋体" w:asciiTheme="minorEastAsia" w:hAnsiTheme="minorEastAsia"/>
          <w:bCs/>
          <w:kern w:val="0"/>
          <w:szCs w:val="21"/>
        </w:rPr>
        <w:t>年</w:t>
      </w:r>
      <w:r>
        <w:rPr>
          <w:rFonts w:hint="eastAsia" w:cs="宋体" w:asciiTheme="minorEastAsia" w:hAnsiTheme="minorEastAsia"/>
          <w:bCs/>
          <w:kern w:val="0"/>
          <w:szCs w:val="21"/>
          <w:lang w:val="en-US" w:eastAsia="zh-CN"/>
        </w:rPr>
        <w:t>07</w:t>
      </w:r>
      <w:r>
        <w:rPr>
          <w:rFonts w:hint="eastAsia" w:cs="宋体" w:asciiTheme="minorEastAsia" w:hAnsiTheme="minorEastAsia"/>
          <w:bCs/>
          <w:kern w:val="0"/>
          <w:szCs w:val="21"/>
        </w:rPr>
        <w:t>月</w:t>
      </w:r>
      <w:r>
        <w:rPr>
          <w:rFonts w:hint="eastAsia" w:cs="宋体" w:asciiTheme="minorEastAsia" w:hAnsiTheme="minorEastAsia"/>
          <w:bCs/>
          <w:kern w:val="0"/>
          <w:szCs w:val="21"/>
          <w:lang w:val="en-US" w:eastAsia="zh-CN"/>
        </w:rPr>
        <w:t>25</w:t>
      </w:r>
      <w:r>
        <w:rPr>
          <w:rFonts w:hint="eastAsia" w:cs="宋体" w:asciiTheme="minorEastAsia" w:hAnsiTheme="minorEastAsia"/>
          <w:bCs/>
          <w:kern w:val="0"/>
          <w:szCs w:val="21"/>
        </w:rPr>
        <w:t>日 组织了内部审核，对内审中提出的</w:t>
      </w:r>
      <w:r>
        <w:rPr>
          <w:rFonts w:hint="eastAsia" w:cs="宋体" w:asciiTheme="minorEastAsia" w:hAnsiTheme="minorEastAsia"/>
          <w:bCs/>
          <w:kern w:val="0"/>
          <w:szCs w:val="21"/>
          <w:lang w:val="en-US" w:eastAsia="zh-CN"/>
        </w:rPr>
        <w:t>1</w:t>
      </w:r>
      <w:r>
        <w:rPr>
          <w:rFonts w:hint="eastAsia" w:cs="宋体" w:asciiTheme="minorEastAsia" w:hAnsiTheme="minorEastAsia"/>
          <w:bCs/>
          <w:kern w:val="0"/>
          <w:szCs w:val="21"/>
        </w:rPr>
        <w:t>项不符合项（一般不符合）制定了纠正措施，并进行了整改。20</w:t>
      </w:r>
      <w:r>
        <w:rPr>
          <w:rFonts w:hint="eastAsia" w:cs="宋体" w:asciiTheme="minorEastAsia" w:hAnsiTheme="minorEastAsia"/>
          <w:bCs/>
          <w:kern w:val="0"/>
          <w:szCs w:val="21"/>
          <w:lang w:val="en-US" w:eastAsia="zh-CN"/>
        </w:rPr>
        <w:t>20</w:t>
      </w:r>
      <w:r>
        <w:rPr>
          <w:rFonts w:hint="eastAsia" w:cs="宋体" w:asciiTheme="minorEastAsia" w:hAnsiTheme="minorEastAsia"/>
          <w:bCs/>
          <w:kern w:val="0"/>
          <w:szCs w:val="21"/>
        </w:rPr>
        <w:t>年</w:t>
      </w:r>
      <w:r>
        <w:rPr>
          <w:rFonts w:hint="eastAsia" w:cs="宋体" w:asciiTheme="minorEastAsia" w:hAnsiTheme="minorEastAsia"/>
          <w:bCs/>
          <w:kern w:val="0"/>
          <w:szCs w:val="21"/>
          <w:lang w:val="en-US" w:eastAsia="zh-CN"/>
        </w:rPr>
        <w:t>08</w:t>
      </w:r>
      <w:r>
        <w:rPr>
          <w:rFonts w:hint="eastAsia" w:cs="宋体" w:asciiTheme="minorEastAsia" w:hAnsiTheme="minorEastAsia"/>
          <w:bCs/>
          <w:kern w:val="0"/>
          <w:szCs w:val="21"/>
        </w:rPr>
        <w:t>月</w:t>
      </w:r>
      <w:r>
        <w:rPr>
          <w:rFonts w:hint="eastAsia" w:cs="宋体" w:asciiTheme="minorEastAsia" w:hAnsiTheme="minorEastAsia"/>
          <w:bCs/>
          <w:kern w:val="0"/>
          <w:szCs w:val="21"/>
          <w:lang w:val="en-US" w:eastAsia="zh-CN"/>
        </w:rPr>
        <w:t>05</w:t>
      </w:r>
      <w:r>
        <w:rPr>
          <w:rFonts w:hint="eastAsia" w:cs="宋体" w:asciiTheme="minorEastAsia" w:hAnsiTheme="minorEastAsia"/>
          <w:bCs/>
          <w:kern w:val="0"/>
          <w:szCs w:val="21"/>
        </w:rPr>
        <w:t>日进行了管理评审，对测量管理体系进行了有效评价，确保了测量管理体系的运行质量。</w:t>
      </w:r>
    </w:p>
    <w:p>
      <w:pPr>
        <w:widowControl/>
        <w:spacing w:line="440" w:lineRule="exact"/>
        <w:rPr>
          <w:rFonts w:asciiTheme="minorEastAsia" w:hAnsiTheme="minorEastAsia"/>
          <w:bCs/>
          <w:szCs w:val="21"/>
        </w:rPr>
      </w:pPr>
      <w:r>
        <w:rPr>
          <w:rFonts w:hint="eastAsia" w:asciiTheme="minorEastAsia" w:hAnsiTheme="minorEastAsia"/>
          <w:bCs/>
          <w:szCs w:val="21"/>
        </w:rPr>
        <w:t>4.为持续改进而策划的活动的进展</w:t>
      </w:r>
      <w:r>
        <w:rPr>
          <w:rFonts w:hint="eastAsia" w:cs="宋体" w:asciiTheme="minorEastAsia" w:hAnsiTheme="minorEastAsia"/>
          <w:bCs/>
          <w:kern w:val="0"/>
          <w:szCs w:val="21"/>
        </w:rPr>
        <w:t xml:space="preserve"> </w:t>
      </w:r>
      <w:r>
        <w:rPr>
          <w:rFonts w:cs="宋体" w:asciiTheme="minorEastAsia" w:hAnsiTheme="minorEastAsia"/>
          <w:bCs/>
          <w:kern w:val="0"/>
          <w:szCs w:val="21"/>
        </w:rPr>
        <w:t>，包括：</w:t>
      </w:r>
      <w:r>
        <w:rPr>
          <w:rFonts w:hint="eastAsia" w:cs="宋体" w:asciiTheme="minorEastAsia" w:hAnsiTheme="minorEastAsia"/>
          <w:bCs/>
          <w:kern w:val="0"/>
          <w:szCs w:val="21"/>
        </w:rPr>
        <w:t>(对重点关键测量过程的控制进行抽查)</w:t>
      </w:r>
    </w:p>
    <w:p>
      <w:pPr>
        <w:widowControl/>
        <w:spacing w:line="400" w:lineRule="exact"/>
        <w:rPr>
          <w:rFonts w:asciiTheme="minorEastAsia" w:hAnsiTheme="minorEastAsia"/>
          <w:bCs/>
          <w:szCs w:val="21"/>
        </w:rPr>
      </w:pPr>
      <w:bookmarkStart w:id="11" w:name="_GoBack"/>
      <w:bookmarkEnd w:id="11"/>
      <w:r>
        <w:rPr>
          <w:rFonts w:hint="eastAsia" w:cs="宋体" w:asciiTheme="minorEastAsia" w:hAnsiTheme="minorEastAsia"/>
          <w:kern w:val="0"/>
          <w:szCs w:val="21"/>
        </w:rPr>
        <w:t>4.1</w:t>
      </w:r>
      <w:r>
        <w:rPr>
          <w:rFonts w:cs="宋体" w:asciiTheme="minorEastAsia" w:hAnsiTheme="minorEastAsia"/>
          <w:kern w:val="0"/>
          <w:szCs w:val="21"/>
        </w:rPr>
        <w:t xml:space="preserve"> </w:t>
      </w:r>
      <w:r>
        <w:rPr>
          <w:rFonts w:hint="eastAsia" w:cs="宋体" w:asciiTheme="minorEastAsia" w:hAnsiTheme="minorEastAsia"/>
          <w:kern w:val="0"/>
          <w:szCs w:val="21"/>
          <w:lang w:eastAsia="zh-CN"/>
        </w:rPr>
        <w:t>宝鸡天王机械有限责任公司</w:t>
      </w:r>
      <w:r>
        <w:rPr>
          <w:rFonts w:hint="eastAsia" w:cs="宋体" w:asciiTheme="minorEastAsia" w:hAnsiTheme="minorEastAsia"/>
          <w:kern w:val="0"/>
          <w:szCs w:val="21"/>
        </w:rPr>
        <w:t>领导层重视测量管理体系各项工作，职能部门职能作用发挥较好，建立的测量管理体系，运行正常，并持续符合相关法律、法规的要求；</w:t>
      </w:r>
    </w:p>
    <w:p>
      <w:pPr>
        <w:widowControl/>
        <w:spacing w:line="400" w:lineRule="exact"/>
        <w:rPr>
          <w:rFonts w:cs="宋体" w:asciiTheme="minorEastAsia" w:hAnsiTheme="minorEastAsia"/>
          <w:kern w:val="0"/>
          <w:szCs w:val="21"/>
        </w:rPr>
      </w:pPr>
      <w:r>
        <w:rPr>
          <w:rFonts w:hint="eastAsia" w:cs="宋体" w:asciiTheme="minorEastAsia" w:hAnsiTheme="minorEastAsia"/>
          <w:kern w:val="0"/>
          <w:szCs w:val="21"/>
        </w:rPr>
        <w:t xml:space="preserve">4.2 </w:t>
      </w:r>
      <w:r>
        <w:rPr>
          <w:rFonts w:cs="宋体" w:asciiTheme="minorEastAsia" w:hAnsiTheme="minorEastAsia"/>
          <w:kern w:val="0"/>
          <w:szCs w:val="21"/>
        </w:rPr>
        <w:t xml:space="preserve"> </w:t>
      </w:r>
      <w:r>
        <w:rPr>
          <w:rFonts w:hint="eastAsia" w:cs="宋体" w:asciiTheme="minorEastAsia" w:hAnsiTheme="minorEastAsia"/>
          <w:kern w:val="0"/>
          <w:szCs w:val="21"/>
          <w:lang w:eastAsia="zh-CN"/>
        </w:rPr>
        <w:t>2020</w:t>
      </w:r>
      <w:r>
        <w:rPr>
          <w:rFonts w:hint="eastAsia" w:cs="宋体" w:asciiTheme="minorEastAsia" w:hAnsiTheme="minorEastAsia"/>
          <w:kern w:val="0"/>
          <w:szCs w:val="21"/>
        </w:rPr>
        <w:t>年质量目标考核细则已确认，并按规定的内容和时间进行考核，年度质量目标完成情况较好；</w:t>
      </w:r>
    </w:p>
    <w:p>
      <w:pPr>
        <w:widowControl/>
        <w:spacing w:line="400" w:lineRule="exact"/>
        <w:rPr>
          <w:rFonts w:cs="宋体" w:asciiTheme="minorEastAsia" w:hAnsiTheme="minorEastAsia"/>
          <w:kern w:val="0"/>
          <w:szCs w:val="21"/>
        </w:rPr>
      </w:pPr>
      <w:r>
        <w:rPr>
          <w:rFonts w:hint="eastAsia" w:cs="宋体" w:asciiTheme="minorEastAsia" w:hAnsiTheme="minorEastAsia"/>
          <w:kern w:val="0"/>
          <w:szCs w:val="21"/>
        </w:rPr>
        <w:t>4.3</w:t>
      </w:r>
      <w:r>
        <w:rPr>
          <w:rFonts w:cs="宋体" w:asciiTheme="minorEastAsia" w:hAnsiTheme="minorEastAsia"/>
          <w:kern w:val="0"/>
          <w:szCs w:val="21"/>
        </w:rPr>
        <w:t xml:space="preserve"> </w:t>
      </w:r>
      <w:r>
        <w:rPr>
          <w:rFonts w:hint="eastAsia" w:cs="宋体" w:asciiTheme="minorEastAsia" w:hAnsiTheme="minorEastAsia"/>
          <w:kern w:val="0"/>
          <w:szCs w:val="21"/>
        </w:rPr>
        <w:t>抽查了企业对已识别的</w:t>
      </w: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个关键测量过程：</w:t>
      </w:r>
      <w:r>
        <w:rPr>
          <w:rFonts w:hint="eastAsia" w:ascii="宋体" w:hAnsi="宋体" w:eastAsia="宋体" w:cs="宋体"/>
          <w:kern w:val="0"/>
          <w:szCs w:val="21"/>
        </w:rPr>
        <w:t>《</w:t>
      </w:r>
      <w:r>
        <w:rPr>
          <w:rFonts w:hint="eastAsia" w:ascii="Times New Roman" w:hAnsi="Times New Roman" w:eastAsia="宋体" w:cs="Times New Roman"/>
          <w:lang w:eastAsia="zh-CN"/>
        </w:rPr>
        <w:t>低倒档拨叉轴外圆检验</w:t>
      </w:r>
      <w:r>
        <w:rPr>
          <w:rFonts w:hint="eastAsia" w:ascii="Times New Roman" w:hAnsi="Times New Roman" w:cs="Times New Roman"/>
        </w:rPr>
        <w:t>测量过程</w:t>
      </w:r>
      <w:r>
        <w:rPr>
          <w:rFonts w:hint="eastAsia" w:ascii="宋体" w:hAnsi="宋体" w:eastAsia="宋体" w:cs="宋体"/>
        </w:rPr>
        <w:t>》</w:t>
      </w:r>
      <w:r>
        <w:rPr>
          <w:rFonts w:hint="eastAsia" w:cs="宋体" w:asciiTheme="minorEastAsia" w:hAnsiTheme="minorEastAsia"/>
          <w:kern w:val="0"/>
          <w:szCs w:val="21"/>
          <w:lang w:eastAsia="zh-CN"/>
        </w:rPr>
        <w:t>，</w:t>
      </w:r>
      <w:r>
        <w:rPr>
          <w:rFonts w:hint="eastAsia" w:cs="宋体" w:asciiTheme="minorEastAsia" w:hAnsiTheme="minorEastAsia"/>
          <w:kern w:val="0"/>
          <w:szCs w:val="21"/>
        </w:rPr>
        <w:t>体系运行</w:t>
      </w:r>
      <w:r>
        <w:rPr>
          <w:rFonts w:hint="eastAsia" w:cs="宋体" w:asciiTheme="minorEastAsia" w:hAnsiTheme="minorEastAsia"/>
          <w:kern w:val="0"/>
          <w:szCs w:val="21"/>
          <w:lang w:val="en-US" w:eastAsia="zh-CN"/>
        </w:rPr>
        <w:t>在新的</w:t>
      </w:r>
      <w:r>
        <w:rPr>
          <w:rFonts w:hint="eastAsia" w:cs="宋体" w:asciiTheme="minorEastAsia" w:hAnsiTheme="minorEastAsia"/>
          <w:kern w:val="0"/>
          <w:szCs w:val="21"/>
        </w:rPr>
        <w:t>一年来未有新增测量过程，对高度控制的测量过程能进行有效性控制、监视，记录、监视控制图齐全，完整；抽查了</w:t>
      </w:r>
      <w:r>
        <w:rPr>
          <w:rFonts w:hint="eastAsia" w:ascii="宋体" w:hAnsi="宋体" w:eastAsia="宋体" w:cs="宋体"/>
          <w:kern w:val="0"/>
          <w:szCs w:val="21"/>
        </w:rPr>
        <w:t>《</w:t>
      </w:r>
      <w:r>
        <w:rPr>
          <w:rFonts w:hint="eastAsia" w:ascii="Times New Roman" w:hAnsi="Times New Roman" w:eastAsia="宋体" w:cs="Times New Roman"/>
          <w:lang w:eastAsia="zh-CN"/>
        </w:rPr>
        <w:t>低倒档拨叉轴外圆检验</w:t>
      </w:r>
      <w:r>
        <w:rPr>
          <w:rFonts w:hint="eastAsia" w:ascii="Times New Roman" w:hAnsi="Times New Roman" w:cs="Times New Roman"/>
        </w:rPr>
        <w:t>测量过程</w:t>
      </w:r>
      <w:r>
        <w:rPr>
          <w:rFonts w:hint="eastAsia" w:ascii="宋体" w:hAnsi="宋体" w:eastAsia="宋体" w:cs="宋体"/>
        </w:rPr>
        <w:t>》</w:t>
      </w:r>
      <w:r>
        <w:rPr>
          <w:rFonts w:hint="eastAsia" w:cs="宋体" w:asciiTheme="minorEastAsia" w:hAnsiTheme="minorEastAsia"/>
          <w:kern w:val="0"/>
          <w:szCs w:val="21"/>
        </w:rPr>
        <w:t>控制的监视记录，见附页：测量过程监视统计记录表及监视控制图。</w:t>
      </w:r>
    </w:p>
    <w:p>
      <w:pPr>
        <w:widowControl/>
        <w:spacing w:line="440" w:lineRule="exact"/>
        <w:rPr>
          <w:rFonts w:cs="宋体" w:asciiTheme="minorEastAsia" w:hAnsiTheme="minorEastAsia"/>
          <w:bCs/>
          <w:kern w:val="0"/>
          <w:szCs w:val="21"/>
        </w:rPr>
      </w:pPr>
      <w:r>
        <w:rPr>
          <w:rFonts w:hint="eastAsia" w:asciiTheme="minorEastAsia" w:hAnsiTheme="minorEastAsia"/>
          <w:bCs/>
          <w:szCs w:val="21"/>
        </w:rPr>
        <w:t>5.对认证审核时提出的不符合项的纠正措施情况有表述</w:t>
      </w:r>
      <w:r>
        <w:rPr>
          <w:rFonts w:cs="宋体" w:asciiTheme="minorEastAsia" w:hAnsiTheme="minorEastAsia"/>
          <w:bCs/>
          <w:kern w:val="0"/>
          <w:szCs w:val="21"/>
        </w:rPr>
        <w:t>：</w:t>
      </w:r>
    </w:p>
    <w:p>
      <w:pPr>
        <w:pStyle w:val="9"/>
        <w:widowControl/>
        <w:spacing w:line="360" w:lineRule="auto"/>
        <w:ind w:left="420" w:firstLine="0" w:firstLineChars="0"/>
        <w:jc w:val="left"/>
        <w:rPr>
          <w:rFonts w:hint="eastAsia" w:cs="宋体"/>
          <w:kern w:val="0"/>
        </w:rPr>
      </w:pPr>
      <w:r>
        <w:rPr>
          <w:rFonts w:hint="eastAsia" w:cs="宋体"/>
          <w:kern w:val="0"/>
        </w:rPr>
        <w:t>公司已针对上一年度开具的不符合项已采取有效措施，已关闭。</w:t>
      </w:r>
    </w:p>
    <w:p>
      <w:pPr>
        <w:pStyle w:val="9"/>
        <w:widowControl/>
        <w:numPr>
          <w:ilvl w:val="0"/>
          <w:numId w:val="0"/>
        </w:numPr>
        <w:spacing w:line="276" w:lineRule="auto"/>
        <w:ind w:leftChars="0"/>
        <w:rPr>
          <w:rFonts w:cs="宋体" w:asciiTheme="minorEastAsia" w:hAnsiTheme="minorEastAsia"/>
          <w:bCs/>
          <w:kern w:val="0"/>
          <w:szCs w:val="21"/>
        </w:rPr>
      </w:pPr>
      <w:r>
        <w:rPr>
          <w:rFonts w:hint="eastAsia" w:cs="宋体" w:asciiTheme="minorEastAsia" w:hAnsiTheme="minorEastAsia"/>
          <w:bCs/>
          <w:kern w:val="0"/>
          <w:szCs w:val="21"/>
          <w:lang w:val="en-US" w:eastAsia="zh-CN"/>
        </w:rPr>
        <w:t>6.</w:t>
      </w:r>
      <w:r>
        <w:rPr>
          <w:rFonts w:hint="eastAsia" w:cs="宋体" w:asciiTheme="minorEastAsia" w:hAnsiTheme="minorEastAsia"/>
          <w:bCs/>
          <w:kern w:val="0"/>
          <w:szCs w:val="21"/>
        </w:rPr>
        <w:t>抽查公司能源管理情况：</w:t>
      </w:r>
    </w:p>
    <w:p>
      <w:pPr>
        <w:widowControl/>
        <w:spacing w:line="400" w:lineRule="exact"/>
        <w:ind w:firstLine="420" w:firstLineChars="200"/>
        <w:rPr>
          <w:rFonts w:hint="eastAsia" w:asciiTheme="minorEastAsia" w:hAnsiTheme="minorEastAsia"/>
          <w:bCs/>
          <w:color w:val="000000" w:themeColor="text1"/>
          <w:szCs w:val="21"/>
        </w:rPr>
      </w:pPr>
      <w:r>
        <w:rPr>
          <w:rFonts w:hint="eastAsia" w:asciiTheme="minorEastAsia" w:hAnsiTheme="minorEastAsia"/>
          <w:bCs/>
          <w:color w:val="000000" w:themeColor="text1"/>
          <w:szCs w:val="21"/>
        </w:rPr>
        <w:t>该公司</w:t>
      </w:r>
      <w:r>
        <w:rPr>
          <w:rFonts w:hint="eastAsia" w:hAnsi="DFKai-SB"/>
          <w:color w:val="000000" w:themeColor="text1"/>
          <w:szCs w:val="21"/>
          <w:lang w:val="en-US" w:eastAsia="zh-CN"/>
        </w:rPr>
        <w:t>主要用能为电能2019年全年电能消耗用电共计1258056Kw/h：折合154吨标准煤。</w:t>
      </w:r>
      <w:r>
        <w:rPr>
          <w:rFonts w:hint="eastAsia" w:asciiTheme="minorEastAsia" w:hAnsiTheme="minorEastAsia"/>
          <w:bCs/>
          <w:color w:val="000000" w:themeColor="text1"/>
          <w:szCs w:val="21"/>
        </w:rPr>
        <w:t>不属于重点能耗企业，已经按要求统计公司水电气总能耗</w:t>
      </w:r>
      <w:r>
        <w:rPr>
          <w:rFonts w:hint="eastAsia" w:asciiTheme="minorEastAsia" w:hAnsiTheme="minorEastAsia"/>
          <w:bCs/>
          <w:color w:val="000000" w:themeColor="text1"/>
          <w:szCs w:val="21"/>
          <w:lang w:eastAsia="zh-CN"/>
        </w:rPr>
        <w:t>，</w:t>
      </w:r>
      <w:r>
        <w:rPr>
          <w:rFonts w:hint="eastAsia" w:asciiTheme="minorEastAsia" w:hAnsiTheme="minorEastAsia"/>
          <w:bCs/>
          <w:color w:val="000000" w:themeColor="text1"/>
          <w:szCs w:val="21"/>
        </w:rPr>
        <w:t>建立了能源计量器台账；能源计量器具已纳入测量体系管理。</w:t>
      </w:r>
    </w:p>
    <w:p>
      <w:pPr>
        <w:pStyle w:val="9"/>
        <w:widowControl/>
        <w:numPr>
          <w:ilvl w:val="0"/>
          <w:numId w:val="0"/>
        </w:numPr>
        <w:spacing w:line="360" w:lineRule="auto"/>
        <w:ind w:leftChars="0"/>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lang w:val="en-US" w:eastAsia="zh-CN"/>
        </w:rPr>
        <w:t>7.</w:t>
      </w:r>
      <w:r>
        <w:rPr>
          <w:rFonts w:hint="eastAsia" w:cs="宋体" w:asciiTheme="minorEastAsia" w:hAnsiTheme="minorEastAsia"/>
          <w:bCs/>
          <w:color w:val="000000" w:themeColor="text1"/>
          <w:kern w:val="0"/>
          <w:szCs w:val="21"/>
        </w:rPr>
        <w:t>对投诉的处理</w:t>
      </w:r>
      <w:r>
        <w:rPr>
          <w:rFonts w:cs="宋体" w:asciiTheme="minorEastAsia" w:hAnsiTheme="minorEastAsia"/>
          <w:bCs/>
          <w:color w:val="000000" w:themeColor="text1"/>
          <w:kern w:val="0"/>
          <w:szCs w:val="21"/>
        </w:rPr>
        <w:t>情况：</w:t>
      </w:r>
    </w:p>
    <w:p>
      <w:pPr>
        <w:widowControl/>
        <w:spacing w:line="400" w:lineRule="exact"/>
        <w:ind w:firstLine="420" w:firstLineChars="200"/>
        <w:rPr>
          <w:rFonts w:asciiTheme="minorEastAsia" w:hAnsiTheme="minorEastAsia"/>
          <w:bCs/>
          <w:szCs w:val="21"/>
        </w:rPr>
      </w:pPr>
      <w:r>
        <w:rPr>
          <w:rFonts w:hint="eastAsia" w:asciiTheme="minorEastAsia" w:hAnsiTheme="minorEastAsia"/>
          <w:bCs/>
          <w:szCs w:val="21"/>
        </w:rPr>
        <w:t>公司目前尚未接到客户在产品质量、物料交接、能源、安全、现场管理等方面的投诉和纠纷。</w:t>
      </w:r>
    </w:p>
    <w:p>
      <w:pPr>
        <w:widowControl/>
        <w:spacing w:line="440" w:lineRule="exact"/>
        <w:rPr>
          <w:rFonts w:cs="宋体" w:asciiTheme="minorEastAsia" w:hAnsiTheme="minorEastAsia"/>
          <w:bCs/>
          <w:kern w:val="0"/>
          <w:szCs w:val="21"/>
        </w:rPr>
      </w:pPr>
      <w:r>
        <w:rPr>
          <w:rFonts w:hint="eastAsia" w:asciiTheme="minorEastAsia" w:hAnsiTheme="minorEastAsia"/>
          <w:bCs/>
          <w:szCs w:val="21"/>
          <w:lang w:val="en-US" w:eastAsia="zh-CN"/>
        </w:rPr>
        <w:t>8</w:t>
      </w:r>
      <w:r>
        <w:rPr>
          <w:rFonts w:hint="eastAsia" w:asciiTheme="minorEastAsia" w:hAnsiTheme="minorEastAsia"/>
          <w:bCs/>
          <w:szCs w:val="21"/>
        </w:rPr>
        <w:t>.测量管理体系在实现获证客户目标方面的有效性及持续的运作控制</w:t>
      </w:r>
      <w:r>
        <w:rPr>
          <w:rFonts w:cs="宋体" w:asciiTheme="minorEastAsia" w:hAnsiTheme="minorEastAsia"/>
          <w:bCs/>
          <w:kern w:val="0"/>
          <w:szCs w:val="21"/>
        </w:rPr>
        <w:t>情况：</w:t>
      </w:r>
    </w:p>
    <w:p>
      <w:pPr>
        <w:widowControl/>
        <w:spacing w:line="400" w:lineRule="exact"/>
        <w:ind w:firstLine="420" w:firstLineChars="200"/>
        <w:rPr>
          <w:rFonts w:asciiTheme="minorEastAsia" w:hAnsiTheme="minorEastAsia"/>
          <w:bCs/>
          <w:szCs w:val="21"/>
        </w:rPr>
      </w:pPr>
      <w:r>
        <w:rPr>
          <w:rFonts w:hint="eastAsia" w:asciiTheme="minorEastAsia" w:hAnsiTheme="minorEastAsia"/>
          <w:bCs/>
          <w:szCs w:val="21"/>
        </w:rPr>
        <w:t>公司《计量工作质量目标管理程序》，规定了公司的计量方针及</w:t>
      </w:r>
      <w:r>
        <w:rPr>
          <w:rFonts w:hint="eastAsia" w:asciiTheme="minorEastAsia" w:hAnsiTheme="minorEastAsia"/>
          <w:bCs/>
          <w:szCs w:val="21"/>
          <w:lang w:val="en-US" w:eastAsia="zh-CN"/>
        </w:rPr>
        <w:t>4</w:t>
      </w:r>
      <w:r>
        <w:rPr>
          <w:rFonts w:hint="eastAsia" w:asciiTheme="minorEastAsia" w:hAnsiTheme="minorEastAsia"/>
          <w:bCs/>
          <w:szCs w:val="21"/>
        </w:rPr>
        <w:t>项质量目标 ，是管理体系追求的承诺和准则，内容基本覆盖标准要素。公司将质量目标考核细则已纳入员工绩效考核表，进一步体现了实现顾客、质量、服务等方面的要求，符合GB/T 19022-2003标准要求，适应性、有效性及对持续运作的控制</w:t>
      </w:r>
      <w:r>
        <w:rPr>
          <w:rFonts w:hint="eastAsia" w:asciiTheme="minorEastAsia" w:hAnsiTheme="minorEastAsia"/>
          <w:bCs/>
          <w:color w:val="FF0000"/>
          <w:szCs w:val="21"/>
        </w:rPr>
        <w:t>。</w:t>
      </w:r>
    </w:p>
    <w:p>
      <w:pPr>
        <w:pStyle w:val="9"/>
        <w:widowControl/>
        <w:numPr>
          <w:ilvl w:val="0"/>
          <w:numId w:val="0"/>
        </w:numPr>
        <w:spacing w:line="360" w:lineRule="auto"/>
        <w:ind w:leftChars="0"/>
        <w:rPr>
          <w:rFonts w:cs="宋体" w:asciiTheme="minorEastAsia" w:hAnsiTheme="minorEastAsia"/>
          <w:bCs/>
          <w:kern w:val="0"/>
          <w:szCs w:val="21"/>
        </w:rPr>
      </w:pPr>
      <w:r>
        <w:rPr>
          <w:rFonts w:hint="eastAsia" w:cs="宋体" w:asciiTheme="minorEastAsia" w:hAnsiTheme="minorEastAsia"/>
          <w:bCs/>
          <w:kern w:val="0"/>
          <w:szCs w:val="21"/>
          <w:lang w:val="en-US" w:eastAsia="zh-CN"/>
        </w:rPr>
        <w:t>9.</w:t>
      </w:r>
      <w:r>
        <w:rPr>
          <w:rFonts w:hint="eastAsia" w:cs="宋体" w:asciiTheme="minorEastAsia" w:hAnsiTheme="minorEastAsia"/>
          <w:bCs/>
          <w:kern w:val="0"/>
          <w:szCs w:val="21"/>
        </w:rPr>
        <w:t>对企业组织任何变更的审核</w:t>
      </w:r>
    </w:p>
    <w:p>
      <w:pPr>
        <w:widowControl/>
        <w:spacing w:line="360" w:lineRule="auto"/>
        <w:ind w:firstLine="210" w:firstLineChars="100"/>
        <w:rPr>
          <w:rFonts w:hint="eastAsia" w:asciiTheme="minorEastAsia" w:hAnsiTheme="minorEastAsia"/>
          <w:bCs/>
          <w:szCs w:val="21"/>
        </w:rPr>
      </w:pPr>
      <w:r>
        <w:rPr>
          <w:rFonts w:hint="eastAsia" w:asciiTheme="minorEastAsia" w:hAnsiTheme="minorEastAsia"/>
          <w:bCs/>
          <w:szCs w:val="21"/>
        </w:rPr>
        <w:t>企业在本年度内未发生与本审核有关的变更。</w:t>
      </w:r>
    </w:p>
    <w:p>
      <w:pPr>
        <w:pStyle w:val="9"/>
        <w:widowControl/>
        <w:numPr>
          <w:ilvl w:val="0"/>
          <w:numId w:val="0"/>
        </w:numPr>
        <w:spacing w:line="360" w:lineRule="auto"/>
        <w:ind w:leftChars="0"/>
        <w:rPr>
          <w:rFonts w:cs="宋体" w:asciiTheme="minorEastAsia" w:hAnsiTheme="minorEastAsia"/>
          <w:bCs/>
          <w:kern w:val="0"/>
          <w:szCs w:val="21"/>
        </w:rPr>
      </w:pPr>
      <w:r>
        <w:rPr>
          <w:rFonts w:hint="eastAsia" w:cs="宋体" w:asciiTheme="minorEastAsia" w:hAnsiTheme="minorEastAsia"/>
          <w:bCs/>
          <w:kern w:val="0"/>
          <w:szCs w:val="21"/>
          <w:lang w:val="en-US" w:eastAsia="zh-CN"/>
        </w:rPr>
        <w:t>10.</w:t>
      </w:r>
      <w:r>
        <w:rPr>
          <w:rFonts w:hint="eastAsia" w:cs="宋体" w:asciiTheme="minorEastAsia" w:hAnsiTheme="minorEastAsia"/>
          <w:bCs/>
          <w:kern w:val="0"/>
          <w:szCs w:val="21"/>
        </w:rPr>
        <w:t>标志的使用和（或）任何其他对认证资格引用</w:t>
      </w:r>
      <w:r>
        <w:rPr>
          <w:rFonts w:cs="宋体" w:asciiTheme="minorEastAsia" w:hAnsiTheme="minorEastAsia"/>
          <w:bCs/>
          <w:kern w:val="0"/>
          <w:szCs w:val="21"/>
        </w:rPr>
        <w:t>的情况：</w:t>
      </w:r>
    </w:p>
    <w:p>
      <w:pPr>
        <w:widowControl/>
        <w:spacing w:line="400" w:lineRule="exact"/>
        <w:ind w:firstLine="420" w:firstLineChars="200"/>
        <w:rPr>
          <w:rFonts w:hint="eastAsia" w:cs="宋体" w:asciiTheme="minorEastAsia" w:hAnsiTheme="minorEastAsia"/>
          <w:bCs/>
          <w:kern w:val="0"/>
          <w:szCs w:val="21"/>
        </w:rPr>
      </w:pPr>
      <w:r>
        <w:rPr>
          <w:rFonts w:hint="eastAsia" w:cs="宋体" w:asciiTheme="minorEastAsia" w:hAnsiTheme="minorEastAsia"/>
          <w:bCs/>
          <w:kern w:val="0"/>
          <w:szCs w:val="21"/>
        </w:rPr>
        <w:t>该公司已按要求北京国标联合认证有限公司要求正确使用标志和证书。</w:t>
      </w:r>
    </w:p>
    <w:p>
      <w:pPr>
        <w:widowControl/>
        <w:spacing w:line="400" w:lineRule="exact"/>
        <w:rPr>
          <w:rFonts w:ascii="宋体" w:hAnsi="宋体" w:eastAsia="宋体" w:cs="宋体"/>
          <w:kern w:val="0"/>
          <w:szCs w:val="21"/>
        </w:rPr>
      </w:pPr>
      <w:r>
        <w:rPr>
          <w:rFonts w:hint="eastAsia" w:ascii="宋体" w:hAnsi="宋体" w:eastAsia="宋体" w:cs="宋体"/>
          <w:kern w:val="0"/>
          <w:szCs w:val="21"/>
        </w:rPr>
        <w:t>10.</w:t>
      </w:r>
      <w:r>
        <w:rPr>
          <w:rFonts w:hint="eastAsia" w:ascii="宋体" w:hAnsi="宋体" w:eastAsia="宋体" w:cs="宋体"/>
          <w:kern w:val="0"/>
          <w:szCs w:val="21"/>
          <w:lang w:val="en-US" w:eastAsia="zh-CN"/>
        </w:rPr>
        <w:t>1</w:t>
      </w:r>
      <w:r>
        <w:rPr>
          <w:rFonts w:hint="eastAsia" w:ascii="宋体" w:hAnsi="宋体" w:eastAsia="宋体" w:cs="宋体"/>
          <w:kern w:val="0"/>
          <w:szCs w:val="21"/>
        </w:rPr>
        <w:t xml:space="preserve"> 本次监督审核共出具一般不符合项</w:t>
      </w:r>
      <w:r>
        <w:rPr>
          <w:rFonts w:hint="eastAsia" w:ascii="宋体" w:hAnsi="宋体" w:eastAsia="宋体" w:cs="宋体"/>
          <w:kern w:val="0"/>
          <w:szCs w:val="21"/>
          <w:lang w:val="en-US" w:eastAsia="zh-CN"/>
        </w:rPr>
        <w:t>1</w:t>
      </w:r>
      <w:r>
        <w:rPr>
          <w:rFonts w:hint="eastAsia" w:ascii="宋体" w:hAnsi="宋体" w:eastAsia="宋体" w:cs="宋体"/>
          <w:kern w:val="0"/>
          <w:szCs w:val="21"/>
        </w:rPr>
        <w:t>项，未发现严重的或系统性的不符合情况：</w:t>
      </w:r>
    </w:p>
    <w:p>
      <w:pPr>
        <w:spacing w:line="440" w:lineRule="exact"/>
        <w:jc w:val="left"/>
        <w:rPr>
          <w:rFonts w:hint="eastAsia" w:ascii="宋体" w:hAnsi="宋体" w:eastAsia="宋体" w:cs="Times New Roman"/>
          <w:color w:val="FF0000"/>
          <w:szCs w:val="21"/>
          <w:lang w:val="en-US" w:eastAsia="zh-CN"/>
        </w:rPr>
      </w:pPr>
      <w:r>
        <w:rPr>
          <w:rFonts w:hint="eastAsia" w:ascii="宋体" w:hAnsi="宋体" w:eastAsia="宋体" w:cs="Times New Roman"/>
          <w:color w:val="000000" w:themeColor="text1"/>
          <w:szCs w:val="21"/>
          <w:lang w:val="en-US" w:eastAsia="zh-CN"/>
        </w:rPr>
        <w:t>10.1</w:t>
      </w:r>
      <w:r>
        <w:rPr>
          <w:rFonts w:hint="eastAsia" w:ascii="宋体" w:hAnsi="宋体"/>
          <w:color w:val="auto"/>
          <w:szCs w:val="21"/>
          <w:lang w:eastAsia="zh-CN"/>
        </w:rPr>
        <w:t>查</w:t>
      </w:r>
      <w:r>
        <w:rPr>
          <w:rFonts w:hint="eastAsia" w:ascii="宋体" w:hAnsi="宋体"/>
          <w:color w:val="auto"/>
          <w:szCs w:val="21"/>
          <w:lang w:val="en-US" w:eastAsia="zh-CN"/>
        </w:rPr>
        <w:t>生产部</w:t>
      </w:r>
      <w:r>
        <w:rPr>
          <w:rFonts w:hint="eastAsia" w:ascii="宋体" w:hAnsi="宋体"/>
          <w:color w:val="auto"/>
          <w:szCs w:val="21"/>
          <w:lang w:eastAsia="zh-CN"/>
        </w:rPr>
        <w:t>，</w:t>
      </w:r>
      <w:r>
        <w:rPr>
          <w:rFonts w:hint="eastAsia"/>
          <w:color w:val="auto"/>
          <w:szCs w:val="21"/>
          <w:lang w:eastAsia="zh-CN"/>
        </w:rPr>
        <w:t>编号</w:t>
      </w:r>
      <w:r>
        <w:rPr>
          <w:rFonts w:hint="eastAsia"/>
          <w:color w:val="auto"/>
          <w:szCs w:val="21"/>
          <w:lang w:val="en-US" w:eastAsia="zh-CN"/>
        </w:rPr>
        <w:t xml:space="preserve">0863204，型号/规格 </w:t>
      </w:r>
      <w:r>
        <w:rPr>
          <w:rFonts w:hint="eastAsia" w:ascii="宋体" w:hAnsi="宋体" w:eastAsia="宋体" w:cs="宋体"/>
          <w:color w:val="auto"/>
          <w:szCs w:val="21"/>
          <w:lang w:val="en-US" w:eastAsia="zh-CN"/>
        </w:rPr>
        <w:t>(0-25mm/0.01mm)的外径千分尺</w:t>
      </w:r>
      <w:r>
        <w:rPr>
          <w:rFonts w:hint="eastAsia"/>
          <w:color w:val="auto"/>
          <w:szCs w:val="21"/>
          <w:lang w:val="en-US" w:eastAsia="zh-CN"/>
        </w:rPr>
        <w:t>，校准日期：2020.06.17 ，现场</w:t>
      </w:r>
      <w:r>
        <w:rPr>
          <w:rFonts w:hint="eastAsia" w:ascii="宋体" w:hAnsi="宋体"/>
          <w:color w:val="auto"/>
          <w:szCs w:val="21"/>
          <w:lang w:eastAsia="zh-CN"/>
        </w:rPr>
        <w:t>未见确认标识</w:t>
      </w:r>
      <w:r>
        <w:rPr>
          <w:rFonts w:hint="eastAsia" w:ascii="宋体" w:hAnsi="宋体" w:eastAsia="宋体" w:cs="Times New Roman"/>
          <w:color w:val="auto"/>
          <w:szCs w:val="21"/>
          <w:lang w:val="en-US" w:eastAsia="zh-CN"/>
        </w:rPr>
        <w:t>，不符合GB/T 19022-2003  6.2.4之规定。</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三、</w:t>
      </w:r>
      <w:r>
        <w:rPr>
          <w:rFonts w:cs="宋体" w:asciiTheme="minorEastAsia" w:hAnsiTheme="minorEastAsia"/>
          <w:b/>
          <w:bCs/>
          <w:kern w:val="0"/>
          <w:szCs w:val="21"/>
        </w:rPr>
        <w:t>监督审核结论意见(含需要说明的事项):</w:t>
      </w:r>
    </w:p>
    <w:p>
      <w:pPr>
        <w:widowControl/>
        <w:spacing w:line="400" w:lineRule="exact"/>
        <w:ind w:firstLine="420" w:firstLineChars="200"/>
        <w:rPr>
          <w:rFonts w:ascii="宋体" w:hAnsi="宋体" w:eastAsia="宋体" w:cs="宋体"/>
          <w:bCs/>
          <w:kern w:val="0"/>
          <w:szCs w:val="21"/>
        </w:rPr>
      </w:pPr>
      <w:r>
        <w:rPr>
          <w:rFonts w:hint="eastAsia" w:ascii="宋体" w:hAnsi="宋体" w:eastAsia="宋体" w:cs="宋体"/>
          <w:bCs/>
          <w:kern w:val="0"/>
          <w:szCs w:val="21"/>
          <w:lang w:eastAsia="zh-CN"/>
        </w:rPr>
        <w:t>通过2020年09月22日</w:t>
      </w:r>
      <w:r>
        <w:rPr>
          <w:rFonts w:hint="eastAsia" w:ascii="宋体" w:hAnsi="宋体" w:eastAsia="宋体" w:cs="宋体"/>
          <w:bCs/>
          <w:kern w:val="0"/>
          <w:szCs w:val="21"/>
        </w:rPr>
        <w:t>对</w:t>
      </w:r>
      <w:r>
        <w:rPr>
          <w:rFonts w:hint="eastAsia" w:ascii="宋体" w:hAnsi="宋体" w:eastAsia="宋体"/>
          <w:szCs w:val="21"/>
          <w:lang w:eastAsia="zh-CN"/>
        </w:rPr>
        <w:t>宝鸡天王机械有限责任公司</w:t>
      </w:r>
      <w:r>
        <w:rPr>
          <w:rFonts w:hint="eastAsia" w:ascii="宋体" w:hAnsi="宋体" w:eastAsia="宋体" w:cs="宋体"/>
          <w:bCs/>
          <w:kern w:val="0"/>
          <w:szCs w:val="21"/>
        </w:rPr>
        <w:t>建立的测量管理体系进行年度监督审核. 审核组按照测量管理体系认证要求进行了抽查审核验证，审核组认为：公司领导重视计量工作，测量管理体系文件资料完整，计量相关部门及人员岗位职责明确。配备的检测设备、测量设备实行分类管理并通过量值溯源，用于关键、重要测量过程的测量设备均通过计量确认。现场在用测量设备状况良好,检测记录齐全，关键测量过程受控、监视方法正确有效，重要测量人员能力受控，测量设备、测量环境、测量软件、测量记录及外部供方管理等各项工作，测量管理体系通过一年来的运行更加完善和规范，使公司测量体系持续满足顾客的测量要求。经审核表明，</w:t>
      </w:r>
      <w:r>
        <w:rPr>
          <w:rFonts w:hint="eastAsia" w:ascii="宋体" w:hAnsi="宋体" w:eastAsia="宋体"/>
          <w:szCs w:val="21"/>
          <w:lang w:eastAsia="zh-CN"/>
        </w:rPr>
        <w:t>宝鸡天王机械有限责任公司</w:t>
      </w:r>
      <w:r>
        <w:rPr>
          <w:rFonts w:hint="eastAsia" w:ascii="宋体" w:hAnsi="宋体" w:eastAsia="宋体" w:cs="宋体"/>
          <w:kern w:val="0"/>
          <w:szCs w:val="21"/>
          <w:shd w:val="clear" w:color="auto" w:fill="FFFFFF"/>
          <w:lang w:eastAsia="zh-CN"/>
        </w:rPr>
        <w:t>的</w:t>
      </w:r>
      <w:r>
        <w:rPr>
          <w:rFonts w:hint="eastAsia" w:ascii="宋体" w:hAnsi="宋体" w:eastAsia="宋体" w:cs="宋体"/>
          <w:bCs/>
          <w:kern w:val="0"/>
          <w:szCs w:val="21"/>
        </w:rPr>
        <w:t>测量管理体系，符合GB/T 19022-2003标准要求，对体系运行具有持续的有效性、符合性予以肯定。建议报请北京国标联合认证有限公司批准通过监督审核。</w:t>
      </w:r>
    </w:p>
    <w:p>
      <w:pPr>
        <w:widowControl/>
        <w:spacing w:line="400" w:lineRule="exact"/>
        <w:ind w:firstLine="420" w:firstLineChars="200"/>
        <w:rPr>
          <w:rStyle w:val="10"/>
          <w:rFonts w:ascii="宋体" w:hAnsi="宋体" w:eastAsia="宋体"/>
          <w:sz w:val="21"/>
          <w:szCs w:val="21"/>
        </w:rPr>
      </w:pPr>
      <w:r>
        <w:rPr>
          <w:rFonts w:hint="eastAsia" w:ascii="宋体" w:hAnsi="宋体" w:eastAsia="宋体" w:cs="宋体"/>
          <w:bCs/>
          <w:kern w:val="0"/>
          <w:szCs w:val="21"/>
        </w:rPr>
        <w:t>为了促进支持企业测量管理体系持续提高，建议</w:t>
      </w:r>
      <w:r>
        <w:rPr>
          <w:rFonts w:hint="eastAsia" w:ascii="宋体" w:hAnsi="宋体" w:eastAsia="宋体" w:cs="Times New Roman"/>
          <w:szCs w:val="21"/>
        </w:rPr>
        <w:t>企业加强体系文件的宣贯培训，提升全员计量意识</w:t>
      </w:r>
      <w:r>
        <w:rPr>
          <w:rFonts w:hint="eastAsia" w:ascii="宋体" w:hAnsi="宋体" w:eastAsia="宋体" w:cs="宋体"/>
          <w:bCs/>
          <w:kern w:val="0"/>
          <w:szCs w:val="21"/>
        </w:rPr>
        <w:t xml:space="preserve">，加强对重要、关键测量过程的识别、控制工作，使测量管理体系能够更加有效地发挥作用。 </w:t>
      </w:r>
    </w:p>
    <w:p>
      <w:pPr>
        <w:pStyle w:val="11"/>
        <w:widowControl/>
        <w:spacing w:line="360" w:lineRule="auto"/>
        <w:ind w:right="55" w:firstLine="420"/>
        <w:rPr>
          <w:rStyle w:val="10"/>
          <w:rFonts w:ascii="宋体" w:hAnsi="宋体" w:eastAsia="宋体"/>
          <w:sz w:val="21"/>
          <w:szCs w:val="21"/>
        </w:rPr>
      </w:pPr>
    </w:p>
    <w:p>
      <w:pPr>
        <w:pStyle w:val="11"/>
        <w:widowControl/>
        <w:spacing w:line="360" w:lineRule="auto"/>
        <w:ind w:right="55" w:firstLine="420"/>
        <w:rPr>
          <w:rFonts w:ascii="宋体" w:hAnsi="宋体" w:eastAsia="宋体" w:cs="黑体"/>
          <w:sz w:val="21"/>
          <w:szCs w:val="21"/>
        </w:rPr>
      </w:pPr>
      <w:r>
        <w:rPr>
          <w:rFonts w:ascii="宋体" w:hAnsi="宋体" w:eastAsia="宋体" w:cs="宋体"/>
          <w:szCs w:val="28"/>
        </w:rPr>
        <w:t>审核员 （签字）：</w:t>
      </w:r>
    </w:p>
    <w:p>
      <w:pPr>
        <w:widowControl/>
        <w:spacing w:line="360" w:lineRule="auto"/>
        <w:ind w:right="1365"/>
        <w:rPr>
          <w:rFonts w:ascii="宋体" w:hAnsi="宋体" w:eastAsia="宋体" w:cs="宋体"/>
          <w:b/>
          <w:bCs/>
          <w:kern w:val="0"/>
          <w:szCs w:val="21"/>
        </w:rPr>
      </w:pPr>
    </w:p>
    <w:p>
      <w:pPr>
        <w:widowControl/>
        <w:spacing w:line="360" w:lineRule="auto"/>
        <w:ind w:right="1365"/>
        <w:rPr>
          <w:rFonts w:ascii="宋体" w:hAnsi="宋体" w:eastAsia="宋体" w:cs="宋体"/>
          <w:kern w:val="0"/>
          <w:szCs w:val="21"/>
        </w:rPr>
      </w:pPr>
      <w:r>
        <w:rPr>
          <w:rFonts w:hint="eastAsia" w:ascii="宋体" w:hAnsi="宋体" w:eastAsia="宋体" w:cs="宋体"/>
          <w:b/>
          <w:bCs/>
          <w:kern w:val="0"/>
          <w:szCs w:val="21"/>
        </w:rPr>
        <w:t>四、报告审查人意见</w:t>
      </w:r>
    </w:p>
    <w:p>
      <w:pPr>
        <w:widowControl/>
        <w:spacing w:line="360" w:lineRule="auto"/>
        <w:ind w:firstLine="3118" w:firstLineChars="1485"/>
        <w:jc w:val="left"/>
        <w:rPr>
          <w:rFonts w:ascii="宋体" w:hAnsi="宋体" w:eastAsia="宋体" w:cs="宋体"/>
          <w:kern w:val="0"/>
          <w:szCs w:val="28"/>
        </w:rPr>
      </w:pPr>
    </w:p>
    <w:p>
      <w:pPr>
        <w:widowControl/>
        <w:spacing w:line="360" w:lineRule="auto"/>
        <w:ind w:firstLine="3118" w:firstLineChars="1485"/>
        <w:jc w:val="left"/>
        <w:rPr>
          <w:rFonts w:ascii="宋体" w:hAnsi="宋体" w:eastAsia="宋体" w:cs="宋体"/>
          <w:kern w:val="0"/>
          <w:szCs w:val="28"/>
        </w:rPr>
      </w:pPr>
    </w:p>
    <w:p>
      <w:pPr>
        <w:widowControl/>
        <w:spacing w:line="360" w:lineRule="auto"/>
        <w:ind w:firstLine="3780" w:firstLineChars="1800"/>
        <w:jc w:val="left"/>
        <w:rPr>
          <w:rFonts w:hint="eastAsia" w:ascii="宋体" w:hAnsi="宋体" w:eastAsia="宋体" w:cs="宋体"/>
          <w:kern w:val="0"/>
          <w:szCs w:val="28"/>
          <w:lang w:val="en-US" w:eastAsia="zh-CN"/>
        </w:rPr>
      </w:pPr>
      <w:r>
        <w:rPr>
          <w:rFonts w:hint="eastAsia" w:ascii="宋体" w:hAnsi="宋体" w:eastAsia="宋体" w:cs="宋体"/>
          <w:kern w:val="0"/>
          <w:szCs w:val="28"/>
        </w:rPr>
        <w:t>审查人员（签字）：             日期：</w:t>
      </w:r>
      <w:r>
        <w:rPr>
          <w:rFonts w:hint="eastAsia" w:ascii="宋体" w:hAnsi="宋体" w:eastAsia="宋体" w:cs="宋体"/>
          <w:kern w:val="0"/>
          <w:szCs w:val="28"/>
          <w:lang w:val="en-US" w:eastAsia="zh-CN"/>
        </w:rPr>
        <w:t xml:space="preserve">   </w:t>
      </w:r>
    </w:p>
    <w:p>
      <w:pPr>
        <w:widowControl/>
        <w:spacing w:line="360" w:lineRule="auto"/>
        <w:ind w:right="1050"/>
        <w:rPr>
          <w:rFonts w:ascii="宋体" w:hAnsi="宋体" w:eastAsia="宋体" w:cs="宋体"/>
          <w:b/>
          <w:bCs/>
          <w:kern w:val="0"/>
          <w:szCs w:val="21"/>
        </w:rPr>
      </w:pPr>
    </w:p>
    <w:p>
      <w:pPr>
        <w:widowControl/>
        <w:spacing w:line="360" w:lineRule="auto"/>
        <w:ind w:right="1050"/>
        <w:rPr>
          <w:rFonts w:ascii="宋体" w:hAnsi="宋体" w:eastAsia="宋体" w:cs="宋体"/>
          <w:kern w:val="0"/>
          <w:szCs w:val="28"/>
        </w:rPr>
      </w:pPr>
      <w:r>
        <w:rPr>
          <w:rFonts w:hint="eastAsia" w:ascii="宋体" w:hAnsi="宋体" w:eastAsia="宋体" w:cs="宋体"/>
          <w:b/>
          <w:bCs/>
          <w:kern w:val="0"/>
          <w:szCs w:val="21"/>
        </w:rPr>
        <w:t xml:space="preserve">五、 </w:t>
      </w:r>
      <w:r>
        <w:rPr>
          <w:rFonts w:ascii="宋体" w:hAnsi="宋体" w:eastAsia="宋体" w:cs="宋体"/>
          <w:b/>
          <w:bCs/>
          <w:kern w:val="0"/>
          <w:szCs w:val="21"/>
        </w:rPr>
        <w:t>认证</w:t>
      </w:r>
      <w:r>
        <w:rPr>
          <w:rFonts w:hint="eastAsia" w:ascii="宋体" w:hAnsi="宋体" w:eastAsia="宋体" w:cs="宋体"/>
          <w:b/>
          <w:bCs/>
          <w:kern w:val="0"/>
          <w:szCs w:val="21"/>
        </w:rPr>
        <w:t>机构</w:t>
      </w:r>
      <w:r>
        <w:rPr>
          <w:rFonts w:ascii="宋体" w:hAnsi="宋体" w:eastAsia="宋体" w:cs="宋体"/>
          <w:b/>
          <w:kern w:val="0"/>
          <w:szCs w:val="28"/>
        </w:rPr>
        <w:t>负责人</w:t>
      </w:r>
      <w:r>
        <w:rPr>
          <w:rFonts w:hint="eastAsia" w:ascii="宋体" w:hAnsi="宋体" w:eastAsia="宋体" w:cs="宋体"/>
          <w:kern w:val="0"/>
          <w:szCs w:val="28"/>
        </w:rPr>
        <w:t>(</w:t>
      </w:r>
      <w:r>
        <w:rPr>
          <w:rFonts w:ascii="宋体" w:hAnsi="宋体" w:eastAsia="宋体" w:cs="宋体"/>
          <w:kern w:val="0"/>
          <w:szCs w:val="28"/>
        </w:rPr>
        <w:t>签字</w:t>
      </w:r>
      <w:r>
        <w:rPr>
          <w:rFonts w:hint="eastAsia" w:ascii="宋体" w:hAnsi="宋体" w:eastAsia="宋体" w:cs="宋体"/>
          <w:kern w:val="0"/>
          <w:szCs w:val="28"/>
        </w:rPr>
        <w:t>)</w:t>
      </w:r>
      <w:r>
        <w:rPr>
          <w:rFonts w:ascii="宋体" w:hAnsi="宋体" w:eastAsia="宋体" w:cs="宋体"/>
          <w:kern w:val="0"/>
          <w:szCs w:val="28"/>
        </w:rPr>
        <w:t>：日期：</w:t>
      </w:r>
    </w:p>
    <w:p>
      <w:pPr>
        <w:widowControl/>
        <w:spacing w:line="360" w:lineRule="auto"/>
        <w:ind w:right="360"/>
        <w:rPr>
          <w:rFonts w:ascii="Times New Roman" w:hAnsi="Times New Roman" w:eastAsia="宋体" w:cs="Times New Roman"/>
          <w:bCs/>
          <w:kern w:val="0"/>
          <w:sz w:val="18"/>
          <w:szCs w:val="18"/>
        </w:rPr>
      </w:pP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DFKai-SB">
    <w:altName w:val="Microsoft JhengHei Light"/>
    <w:panose1 w:val="03000509000000000000"/>
    <w:charset w:val="88"/>
    <w:family w:val="script"/>
    <w:pitch w:val="default"/>
    <w:sig w:usb0="00000000" w:usb1="00000000" w:usb2="00000016"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10"/>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A5D12"/>
    <w:multiLevelType w:val="multilevel"/>
    <w:tmpl w:val="3B8A5D1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0F3C93"/>
    <w:rsid w:val="05A22B72"/>
    <w:rsid w:val="08754EAD"/>
    <w:rsid w:val="14DD41BA"/>
    <w:rsid w:val="1E172808"/>
    <w:rsid w:val="274B66FC"/>
    <w:rsid w:val="27546953"/>
    <w:rsid w:val="4B615CF0"/>
    <w:rsid w:val="504B48F0"/>
    <w:rsid w:val="507F5314"/>
    <w:rsid w:val="52915C1C"/>
    <w:rsid w:val="673B0E32"/>
    <w:rsid w:val="6E0B0D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unhideWhenUsed/>
    <w:qFormat/>
    <w:uiPriority w:val="99"/>
    <w:pPr>
      <w:ind w:firstLine="420" w:firstLineChars="200"/>
    </w:pPr>
  </w:style>
  <w:style w:type="character" w:customStyle="1" w:styleId="10">
    <w:name w:val="Font Style137"/>
    <w:qFormat/>
    <w:uiPriority w:val="0"/>
    <w:rPr>
      <w:rFonts w:ascii="黑体" w:eastAsia="黑体" w:cs="黑体"/>
      <w:sz w:val="20"/>
      <w:szCs w:val="20"/>
    </w:rPr>
  </w:style>
  <w:style w:type="paragraph" w:customStyle="1" w:styleId="11">
    <w:name w:val="Style52"/>
    <w:basedOn w:val="1"/>
    <w:qFormat/>
    <w:uiPriority w:val="0"/>
    <w:pPr>
      <w:adjustRightInd w:val="0"/>
      <w:jc w:val="left"/>
    </w:pPr>
    <w:rPr>
      <w:rFonts w:ascii="黑体" w:hAnsi="Times New Roman" w:eastAsia="黑体" w:cs="Times New Roman"/>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Words>
  <Characters>461</Characters>
  <Lines>3</Lines>
  <Paragraphs>1</Paragraphs>
  <TotalTime>40</TotalTime>
  <ScaleCrop>false</ScaleCrop>
  <LinksUpToDate>false</LinksUpToDate>
  <CharactersWithSpaces>540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LIL</cp:lastModifiedBy>
  <cp:lastPrinted>2017-09-01T06:24:00Z</cp:lastPrinted>
  <dcterms:modified xsi:type="dcterms:W3CDTF">2020-09-22T15:23:33Z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