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1"/>
                <w:szCs w:val="21"/>
              </w:rPr>
            </w:pPr>
            <w:r>
              <w:rPr>
                <w:rFonts w:hint="eastAsia"/>
                <w:sz w:val="21"/>
                <w:szCs w:val="21"/>
              </w:rPr>
              <w:t>过程与活动、</w:t>
            </w:r>
          </w:p>
          <w:p>
            <w:pPr>
              <w:spacing w:line="360" w:lineRule="auto"/>
              <w:jc w:val="center"/>
              <w:rPr>
                <w:sz w:val="21"/>
                <w:szCs w:val="21"/>
              </w:rPr>
            </w:pPr>
            <w:r>
              <w:rPr>
                <w:rFonts w:hint="eastAsia"/>
                <w:sz w:val="21"/>
                <w:szCs w:val="21"/>
              </w:rPr>
              <w:t>抽样计划</w:t>
            </w:r>
          </w:p>
        </w:tc>
        <w:tc>
          <w:tcPr>
            <w:tcW w:w="960" w:type="dxa"/>
            <w:vMerge w:val="restart"/>
            <w:vAlign w:val="center"/>
          </w:tcPr>
          <w:p>
            <w:pPr>
              <w:spacing w:line="360" w:lineRule="auto"/>
              <w:rPr>
                <w:sz w:val="21"/>
                <w:szCs w:val="21"/>
              </w:rPr>
            </w:pPr>
            <w:r>
              <w:rPr>
                <w:rFonts w:hint="eastAsia"/>
                <w:sz w:val="21"/>
                <w:szCs w:val="21"/>
              </w:rPr>
              <w:t>涉及</w:t>
            </w:r>
          </w:p>
          <w:p>
            <w:pPr>
              <w:spacing w:line="360" w:lineRule="auto"/>
              <w:rPr>
                <w:sz w:val="21"/>
                <w:szCs w:val="21"/>
              </w:rPr>
            </w:pPr>
            <w:r>
              <w:rPr>
                <w:rFonts w:hint="eastAsia"/>
                <w:sz w:val="21"/>
                <w:szCs w:val="21"/>
              </w:rPr>
              <w:t>条款</w:t>
            </w:r>
          </w:p>
        </w:tc>
        <w:tc>
          <w:tcPr>
            <w:tcW w:w="10004" w:type="dxa"/>
            <w:vAlign w:val="center"/>
          </w:tcPr>
          <w:p>
            <w:pPr>
              <w:spacing w:line="360" w:lineRule="auto"/>
              <w:rPr>
                <w:rFonts w:hint="default"/>
                <w:sz w:val="21"/>
                <w:szCs w:val="21"/>
                <w:lang w:val="en-US"/>
              </w:rPr>
            </w:pPr>
            <w:r>
              <w:rPr>
                <w:rFonts w:hint="eastAsia"/>
                <w:sz w:val="21"/>
                <w:szCs w:val="21"/>
              </w:rPr>
              <w:t>受审核部门：</w:t>
            </w:r>
            <w:r>
              <w:rPr>
                <w:rFonts w:hint="eastAsia"/>
                <w:sz w:val="21"/>
                <w:szCs w:val="21"/>
                <w:lang w:eastAsia="zh-CN"/>
              </w:rPr>
              <w:t>管理层</w:t>
            </w:r>
            <w:r>
              <w:rPr>
                <w:rFonts w:hint="eastAsia"/>
                <w:sz w:val="21"/>
                <w:szCs w:val="21"/>
                <w:lang w:val="en-US" w:eastAsia="zh-CN"/>
              </w:rPr>
              <w:t xml:space="preserve">        </w:t>
            </w:r>
            <w:r>
              <w:rPr>
                <w:rFonts w:hint="eastAsia"/>
                <w:sz w:val="21"/>
                <w:szCs w:val="21"/>
              </w:rPr>
              <w:t>主管领导：</w:t>
            </w:r>
            <w:r>
              <w:rPr>
                <w:rFonts w:hint="eastAsia"/>
                <w:sz w:val="21"/>
                <w:szCs w:val="21"/>
                <w:lang w:eastAsia="zh-CN"/>
              </w:rPr>
              <w:t>高帆</w:t>
            </w:r>
            <w:r>
              <w:rPr>
                <w:rFonts w:hint="eastAsia"/>
                <w:sz w:val="21"/>
                <w:szCs w:val="21"/>
                <w:lang w:val="en-US" w:eastAsia="zh-CN"/>
              </w:rPr>
              <w:t xml:space="preserve">        管代：李琪琪</w:t>
            </w:r>
          </w:p>
        </w:tc>
        <w:tc>
          <w:tcPr>
            <w:tcW w:w="1585" w:type="dxa"/>
            <w:vMerge w:val="restart"/>
            <w:vAlign w:val="center"/>
          </w:tcPr>
          <w:p>
            <w:pPr>
              <w:spacing w:line="360" w:lineRule="auto"/>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1"/>
                <w:szCs w:val="21"/>
                <w:lang w:eastAsia="zh-CN"/>
              </w:rPr>
              <w:t>审核员：李俐、强兴</w:t>
            </w:r>
            <w:r>
              <w:rPr>
                <w:rFonts w:hint="eastAsia"/>
                <w:sz w:val="21"/>
                <w:szCs w:val="21"/>
                <w:lang w:val="en-US" w:eastAsia="zh-CN"/>
              </w:rPr>
              <w:t xml:space="preserve"> </w:t>
            </w:r>
            <w:bookmarkStart w:id="0" w:name="_GoBack"/>
            <w:bookmarkEnd w:id="0"/>
            <w:r>
              <w:rPr>
                <w:rFonts w:hint="eastAsia"/>
                <w:sz w:val="21"/>
                <w:szCs w:val="21"/>
                <w:lang w:val="en-US" w:eastAsia="zh-CN"/>
              </w:rPr>
              <w:t xml:space="preserve">        </w:t>
            </w:r>
            <w:r>
              <w:rPr>
                <w:rFonts w:hint="eastAsia"/>
                <w:sz w:val="21"/>
                <w:szCs w:val="21"/>
                <w:lang w:eastAsia="zh-CN"/>
              </w:rPr>
              <w:t>审核时间：</w:t>
            </w:r>
            <w:r>
              <w:rPr>
                <w:rFonts w:hint="eastAsia"/>
                <w:sz w:val="21"/>
                <w:szCs w:val="21"/>
                <w:lang w:val="en-US" w:eastAsia="zh-CN"/>
              </w:rPr>
              <w:t xml:space="preserve">2020.9.25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160" w:type="dxa"/>
            <w:vMerge w:val="continue"/>
            <w:vAlign w:val="center"/>
          </w:tcPr>
          <w:p/>
        </w:tc>
        <w:tc>
          <w:tcPr>
            <w:tcW w:w="960" w:type="dxa"/>
            <w:vMerge w:val="continue"/>
            <w:vAlign w:val="center"/>
          </w:tcPr>
          <w:p/>
        </w:tc>
        <w:tc>
          <w:tcPr>
            <w:tcW w:w="10004" w:type="dxa"/>
            <w:vAlign w:val="center"/>
          </w:tcPr>
          <w:p>
            <w:r>
              <w:rPr>
                <w:rFonts w:hint="eastAsia"/>
              </w:rPr>
              <w:t>审核条款：</w:t>
            </w:r>
          </w:p>
          <w:p>
            <w:pPr>
              <w:pStyle w:val="2"/>
            </w:pPr>
            <w:r>
              <w:rPr>
                <w:rFonts w:hint="eastAsia" w:ascii="宋体" w:hAnsi="宋体" w:cs="宋体"/>
                <w:color w:val="000000"/>
                <w:kern w:val="0"/>
                <w:sz w:val="21"/>
                <w:szCs w:val="21"/>
                <w:lang w:bidi="ar"/>
              </w:rPr>
              <w:t>Q:4.1；4.2；4.3；4.4；5.1；5.2；5.3；6.1；6.2；6.3；7.1.1；7.4；9.1.1；9.3；10.1；10.3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vAlign w:val="top"/>
          </w:tcPr>
          <w:p>
            <w:pPr>
              <w:spacing w:line="360" w:lineRule="auto"/>
              <w:rPr>
                <w:rFonts w:ascii="Times New Roman" w:hAnsi="Times New Roman" w:eastAsia="宋体" w:cs="Times New Roman"/>
                <w:kern w:val="2"/>
                <w:sz w:val="21"/>
                <w:lang w:val="en-US" w:eastAsia="zh-CN" w:bidi="ar-SA"/>
              </w:rPr>
            </w:pPr>
            <w:r>
              <w:rPr>
                <w:rFonts w:hint="eastAsia"/>
              </w:rPr>
              <w:t>资质</w:t>
            </w:r>
          </w:p>
        </w:tc>
        <w:tc>
          <w:tcPr>
            <w:tcW w:w="960" w:type="dxa"/>
            <w:vAlign w:val="top"/>
          </w:tcPr>
          <w:p>
            <w:pPr>
              <w:spacing w:line="360" w:lineRule="auto"/>
              <w:rPr>
                <w:rFonts w:ascii="Times New Roman" w:hAnsi="Times New Roman" w:eastAsia="宋体" w:cs="Times New Roman"/>
                <w:kern w:val="2"/>
                <w:sz w:val="21"/>
                <w:lang w:val="en-US" w:eastAsia="zh-CN" w:bidi="ar-SA"/>
              </w:rPr>
            </w:pPr>
          </w:p>
        </w:tc>
        <w:tc>
          <w:tcPr>
            <w:tcW w:w="10004" w:type="dxa"/>
            <w:vAlign w:val="top"/>
          </w:tcPr>
          <w:p>
            <w:pPr>
              <w:spacing w:line="360" w:lineRule="auto"/>
            </w:pPr>
            <w:r>
              <w:rPr>
                <w:rFonts w:hint="eastAsia"/>
              </w:rPr>
              <w:t>营业执照：</w:t>
            </w:r>
          </w:p>
          <w:p>
            <w:pPr>
              <w:spacing w:line="360" w:lineRule="auto"/>
            </w:pPr>
            <w:r>
              <w:rPr>
                <w:rFonts w:hint="eastAsia"/>
              </w:rPr>
              <w:t>统一社会信用代码：</w:t>
            </w:r>
            <w:r>
              <w:rPr>
                <w:rFonts w:hint="eastAsia"/>
                <w:color w:val="000000"/>
                <w:szCs w:val="21"/>
                <w:lang w:val="en-US" w:eastAsia="zh-CN"/>
              </w:rPr>
              <w:t>916103046879557770</w:t>
            </w:r>
          </w:p>
          <w:p>
            <w:pPr>
              <w:spacing w:line="360" w:lineRule="auto"/>
            </w:pPr>
            <w:r>
              <w:rPr>
                <w:rFonts w:hint="eastAsia"/>
              </w:rPr>
              <w:t>成立日期：200</w:t>
            </w:r>
            <w:r>
              <w:rPr>
                <w:rFonts w:hint="eastAsia"/>
                <w:lang w:val="en-US" w:eastAsia="zh-CN"/>
              </w:rPr>
              <w:t>9</w:t>
            </w:r>
            <w:r>
              <w:rPr>
                <w:rFonts w:hint="eastAsia"/>
              </w:rPr>
              <w:t>年</w:t>
            </w:r>
            <w:r>
              <w:rPr>
                <w:rFonts w:hint="eastAsia"/>
                <w:lang w:val="en-US" w:eastAsia="zh-CN"/>
              </w:rPr>
              <w:t>4</w:t>
            </w:r>
            <w:r>
              <w:rPr>
                <w:rFonts w:hint="eastAsia"/>
              </w:rPr>
              <w:t>月</w:t>
            </w:r>
            <w:r>
              <w:rPr>
                <w:rFonts w:hint="eastAsia"/>
                <w:lang w:val="en-US" w:eastAsia="zh-CN"/>
              </w:rPr>
              <w:t>1</w:t>
            </w:r>
            <w:r>
              <w:rPr>
                <w:rFonts w:hint="eastAsia"/>
              </w:rPr>
              <w:t>6日营业期限：长期</w:t>
            </w:r>
          </w:p>
          <w:p>
            <w:pPr>
              <w:spacing w:line="360" w:lineRule="auto"/>
              <w:rPr>
                <w:rFonts w:ascii="Times New Roman" w:hAnsi="Times New Roman" w:eastAsia="宋体" w:cs="Times New Roman"/>
                <w:kern w:val="2"/>
                <w:sz w:val="21"/>
                <w:lang w:val="en-US" w:eastAsia="zh-CN" w:bidi="ar-SA"/>
              </w:rPr>
            </w:pPr>
            <w:r>
              <w:rPr>
                <w:rFonts w:hint="eastAsia"/>
              </w:rPr>
              <w:t>认证范围在经营范围内，符合要求。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2160" w:type="dxa"/>
            <w:vAlign w:val="top"/>
          </w:tcPr>
          <w:p>
            <w:pPr>
              <w:spacing w:line="360" w:lineRule="auto"/>
              <w:rPr>
                <w:rFonts w:ascii="Times New Roman" w:hAnsi="Times New Roman" w:eastAsia="宋体" w:cs="Times New Roman"/>
                <w:kern w:val="2"/>
                <w:sz w:val="21"/>
                <w:lang w:val="en-US" w:eastAsia="zh-CN" w:bidi="ar-SA"/>
              </w:rPr>
            </w:pPr>
            <w:r>
              <w:rPr>
                <w:rFonts w:hint="eastAsia"/>
              </w:rPr>
              <w:t>组织及其环境</w:t>
            </w:r>
          </w:p>
        </w:tc>
        <w:tc>
          <w:tcPr>
            <w:tcW w:w="960" w:type="dxa"/>
            <w:vAlign w:val="top"/>
          </w:tcPr>
          <w:p>
            <w:pPr>
              <w:spacing w:line="360" w:lineRule="auto"/>
              <w:rPr>
                <w:rFonts w:ascii="Times New Roman" w:hAnsi="Times New Roman" w:eastAsia="宋体" w:cs="Times New Roman"/>
                <w:kern w:val="2"/>
                <w:sz w:val="21"/>
                <w:lang w:val="en-US" w:eastAsia="zh-CN" w:bidi="ar-SA"/>
              </w:rPr>
            </w:pPr>
            <w:r>
              <w:t>4.1</w:t>
            </w:r>
          </w:p>
        </w:tc>
        <w:tc>
          <w:tcPr>
            <w:tcW w:w="10004" w:type="dxa"/>
            <w:vAlign w:val="top"/>
          </w:tcPr>
          <w:p>
            <w:pPr>
              <w:spacing w:line="360" w:lineRule="auto"/>
            </w:pPr>
            <w:r>
              <w:rPr>
                <w:rFonts w:hint="eastAsia"/>
              </w:rPr>
              <w:t>总经理：</w:t>
            </w:r>
            <w:r>
              <w:rPr>
                <w:rFonts w:hint="eastAsia"/>
                <w:lang w:eastAsia="zh-CN"/>
              </w:rPr>
              <w:t>高帆</w:t>
            </w:r>
            <w:r>
              <w:rPr>
                <w:rFonts w:hint="eastAsia"/>
              </w:rPr>
              <w:t>，人员状况：</w:t>
            </w:r>
            <w:r>
              <w:rPr>
                <w:rFonts w:hint="eastAsia"/>
                <w:lang w:val="en-US" w:eastAsia="zh-CN"/>
              </w:rPr>
              <w:t>10</w:t>
            </w:r>
            <w:r>
              <w:rPr>
                <w:rFonts w:hint="eastAsia"/>
              </w:rPr>
              <w:t>人</w:t>
            </w:r>
          </w:p>
          <w:p>
            <w:pPr>
              <w:spacing w:line="360" w:lineRule="auto"/>
            </w:pPr>
            <w:r>
              <w:rPr>
                <w:rFonts w:hint="eastAsia"/>
              </w:rPr>
              <w:t>组织情况：</w:t>
            </w:r>
          </w:p>
          <w:p>
            <w:pPr>
              <w:tabs>
                <w:tab w:val="left" w:pos="5865"/>
              </w:tabs>
              <w:spacing w:line="360" w:lineRule="auto"/>
              <w:ind w:firstLine="420" w:firstLineChars="200"/>
              <w:rPr>
                <w:rFonts w:ascii="宋体" w:hAnsi="宋体"/>
                <w:color w:val="000000"/>
                <w:sz w:val="21"/>
                <w:szCs w:val="21"/>
              </w:rPr>
            </w:pPr>
            <w:r>
              <w:rPr>
                <w:rFonts w:hint="eastAsia" w:ascii="宋体" w:hAnsi="宋体"/>
                <w:color w:val="000000"/>
                <w:sz w:val="21"/>
                <w:szCs w:val="21"/>
                <w:lang w:eastAsia="zh-CN"/>
              </w:rPr>
              <w:t>宝鸡欣龙消失泡模制造有限公司，位于陕西省宝鸡市陈仓区虢镇高家堎(原村砖厂),交通</w:t>
            </w:r>
            <w:r>
              <w:rPr>
                <w:rFonts w:hint="eastAsia" w:ascii="宋体" w:hAnsi="宋体"/>
                <w:color w:val="000000"/>
                <w:sz w:val="21"/>
                <w:szCs w:val="21"/>
              </w:rPr>
              <w:t>十分便利，靠近汽车制造工业区和石油机械配套基地。</w:t>
            </w:r>
          </w:p>
          <w:p>
            <w:pPr>
              <w:tabs>
                <w:tab w:val="left" w:pos="5865"/>
              </w:tabs>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公司以</w:t>
            </w:r>
            <w:r>
              <w:rPr>
                <w:rFonts w:hint="eastAsia" w:ascii="宋体" w:hAnsi="宋体"/>
                <w:color w:val="000000"/>
                <w:sz w:val="21"/>
                <w:szCs w:val="21"/>
                <w:lang w:eastAsia="zh-CN"/>
              </w:rPr>
              <w:t>消失模、泡沫制品</w:t>
            </w:r>
            <w:r>
              <w:rPr>
                <w:rFonts w:hint="eastAsia" w:ascii="宋体" w:hAnsi="宋体"/>
                <w:color w:val="000000"/>
                <w:sz w:val="21"/>
                <w:szCs w:val="21"/>
              </w:rPr>
              <w:t>加工为主，公司具有完善的管理体系和加工制造能力,是一家长期给汽车行业、</w:t>
            </w:r>
            <w:r>
              <w:rPr>
                <w:rFonts w:hint="eastAsia" w:ascii="宋体" w:hAnsi="宋体"/>
                <w:color w:val="000000"/>
                <w:sz w:val="21"/>
                <w:szCs w:val="21"/>
                <w:lang w:val="en-US" w:eastAsia="zh-CN"/>
              </w:rPr>
              <w:t>建筑</w:t>
            </w:r>
            <w:r>
              <w:rPr>
                <w:rFonts w:hint="eastAsia" w:ascii="宋体" w:hAnsi="宋体"/>
                <w:color w:val="000000"/>
                <w:sz w:val="21"/>
                <w:szCs w:val="21"/>
              </w:rPr>
              <w:t>配套的供货单位，并以“加工精度高、质量好、周期短、信守合同”的良好口碑被客户认可信得过产品。</w:t>
            </w:r>
          </w:p>
          <w:p>
            <w:pPr>
              <w:spacing w:line="360" w:lineRule="auto"/>
              <w:ind w:firstLine="420" w:firstLineChars="200"/>
              <w:rPr>
                <w:szCs w:val="22"/>
              </w:rPr>
            </w:pPr>
            <w:r>
              <w:rPr>
                <w:rFonts w:hint="eastAsia"/>
                <w:szCs w:val="22"/>
              </w:rPr>
              <w:t>公司通过业内展会、同行交流、座谈会、每周工作例会、QQ、微信等进行内外部沟通，并定期进行评审，形成会议记录。</w:t>
            </w:r>
          </w:p>
          <w:p>
            <w:pPr>
              <w:spacing w:line="360" w:lineRule="auto"/>
              <w:rPr>
                <w:szCs w:val="22"/>
              </w:rPr>
            </w:pPr>
            <w:r>
              <w:rPr>
                <w:rFonts w:hint="eastAsia"/>
                <w:szCs w:val="22"/>
              </w:rPr>
              <w:t>对组织内外部环境进行了识别:</w:t>
            </w:r>
          </w:p>
          <w:p>
            <w:pPr>
              <w:spacing w:line="360" w:lineRule="auto"/>
            </w:pPr>
            <w:r>
              <w:rPr>
                <w:rFonts w:hint="eastAsia"/>
              </w:rPr>
              <w:t>外部环境：</w:t>
            </w:r>
            <w:r>
              <w:t>供应商、顾客、竞争者、政府和社会团体等</w:t>
            </w:r>
            <w:r>
              <w:rPr>
                <w:rFonts w:hint="eastAsia"/>
              </w:rPr>
              <w:t>。</w:t>
            </w:r>
          </w:p>
          <w:p>
            <w:pPr>
              <w:spacing w:line="360" w:lineRule="auto"/>
            </w:pPr>
            <w:r>
              <w:rPr>
                <w:rFonts w:hint="eastAsia"/>
              </w:rPr>
              <w:t>内部环境：</w:t>
            </w:r>
            <w:r>
              <w:t>物理环境、心理环境、文化环境等</w:t>
            </w:r>
            <w:r>
              <w:rPr>
                <w:rFonts w:hint="eastAsia"/>
              </w:rPr>
              <w:t>。</w:t>
            </w:r>
          </w:p>
          <w:p>
            <w:pPr>
              <w:spacing w:line="360" w:lineRule="auto"/>
              <w:ind w:firstLine="420" w:firstLineChars="200"/>
              <w:rPr>
                <w:rFonts w:ascii="Times New Roman" w:hAnsi="Times New Roman" w:eastAsia="宋体" w:cs="Times New Roman"/>
                <w:kern w:val="2"/>
                <w:sz w:val="21"/>
                <w:lang w:val="en-US" w:eastAsia="zh-CN" w:bidi="ar-SA"/>
              </w:rPr>
            </w:pPr>
            <w:r>
              <w:rPr>
                <w:rFonts w:hint="eastAsia"/>
              </w:rPr>
              <w:t>组织环境识别充分、有效。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kern w:val="2"/>
                <w:sz w:val="21"/>
                <w:lang w:val="en-US" w:eastAsia="zh-CN" w:bidi="ar-SA"/>
              </w:rPr>
            </w:pPr>
            <w:r>
              <w:rPr>
                <w:rFonts w:hint="eastAsia"/>
              </w:rPr>
              <w:t>相关方的需求和期望</w:t>
            </w:r>
          </w:p>
        </w:tc>
        <w:tc>
          <w:tcPr>
            <w:tcW w:w="960" w:type="dxa"/>
            <w:vAlign w:val="top"/>
          </w:tcPr>
          <w:p>
            <w:pPr>
              <w:spacing w:line="360" w:lineRule="auto"/>
              <w:rPr>
                <w:rFonts w:ascii="Times New Roman" w:hAnsi="Times New Roman" w:eastAsia="宋体" w:cs="Times New Roman"/>
                <w:kern w:val="2"/>
                <w:sz w:val="21"/>
                <w:lang w:val="en-US" w:eastAsia="zh-CN" w:bidi="ar-SA"/>
              </w:rPr>
            </w:pPr>
            <w:r>
              <w:t>4.2</w:t>
            </w:r>
          </w:p>
        </w:tc>
        <w:tc>
          <w:tcPr>
            <w:tcW w:w="10004" w:type="dxa"/>
            <w:vAlign w:val="top"/>
          </w:tcPr>
          <w:p>
            <w:pPr>
              <w:spacing w:line="360" w:lineRule="auto"/>
              <w:ind w:firstLine="420" w:firstLineChars="200"/>
            </w:pPr>
            <w:r>
              <w:rPr>
                <w:rFonts w:hint="eastAsia"/>
              </w:rPr>
              <w:t>公司识别并确定了利益相关方：顾客、外部供应商、员工及其他为本公司工作的人员或组织等。</w:t>
            </w:r>
          </w:p>
          <w:p>
            <w:pPr>
              <w:spacing w:line="360" w:lineRule="auto"/>
            </w:pPr>
            <w:r>
              <w:rPr>
                <w:rFonts w:hint="eastAsia"/>
              </w:rPr>
              <w:t>总经理介绍公司通过投标、合同约定、不同形式沟通（如：电话、面对面、调查问卷等）形式了解相关方的需求，然后提供出满足他们要求提供优质产品和完善的服务，目前公司能满足相关方的需求和期望。</w:t>
            </w:r>
          </w:p>
          <w:p>
            <w:pPr>
              <w:spacing w:line="360" w:lineRule="auto"/>
              <w:ind w:firstLine="420" w:firstLineChars="200"/>
            </w:pPr>
            <w:r>
              <w:rPr>
                <w:rFonts w:hint="eastAsia"/>
              </w:rPr>
              <w:t>相关方进行监视和评审的方式方法：通过QQ和微信等现代通讯手段是常用的便捷而又高效主要方法。相关方的需求和期望主要表现如下：</w:t>
            </w:r>
          </w:p>
          <w:p>
            <w:pPr>
              <w:spacing w:line="360" w:lineRule="auto"/>
              <w:ind w:firstLine="420" w:firstLineChars="200"/>
            </w:pPr>
            <w:r>
              <w:rPr>
                <w:rFonts w:hint="eastAsia"/>
              </w:rPr>
              <w:t>查见《相关方要求识别和控制》相关方：顾客的需求和期望</w:t>
            </w:r>
            <w:r>
              <w:rPr>
                <w:rFonts w:hint="eastAsia"/>
                <w:lang w:eastAsia="zh-CN"/>
              </w:rPr>
              <w:t>、</w:t>
            </w:r>
            <w:r>
              <w:rPr>
                <w:rFonts w:hint="eastAsia"/>
              </w:rPr>
              <w:t>产品质量符合顾客要求、及时交货、价格合理、服务及时、通过ISO9001:2015。</w:t>
            </w:r>
          </w:p>
          <w:p>
            <w:pPr>
              <w:spacing w:line="360" w:lineRule="auto"/>
              <w:ind w:firstLine="420" w:firstLineChars="200"/>
              <w:rPr>
                <w:rFonts w:ascii="Times New Roman" w:hAnsi="Times New Roman" w:eastAsia="宋体" w:cs="Times New Roman"/>
                <w:kern w:val="2"/>
                <w:sz w:val="21"/>
                <w:lang w:val="en-US" w:eastAsia="zh-CN" w:bidi="ar-SA"/>
              </w:rPr>
            </w:pPr>
            <w:r>
              <w:rPr>
                <w:rFonts w:hint="eastAsia"/>
              </w:rPr>
              <w:t>目前企业未发生处罚、相关方投诉事件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2160" w:type="dxa"/>
            <w:vAlign w:val="top"/>
          </w:tcPr>
          <w:p>
            <w:pPr>
              <w:spacing w:line="360" w:lineRule="auto"/>
              <w:rPr>
                <w:rFonts w:hint="eastAsia" w:ascii="Times New Roman" w:hAnsi="Times New Roman" w:eastAsia="宋体" w:cs="Times New Roman"/>
                <w:kern w:val="2"/>
                <w:sz w:val="21"/>
                <w:lang w:val="en-US" w:eastAsia="zh-CN" w:bidi="ar-SA"/>
              </w:rPr>
            </w:pPr>
            <w:r>
              <w:rPr>
                <w:rFonts w:hint="eastAsia"/>
              </w:rPr>
              <w:t>质量管理体系的范围</w:t>
            </w:r>
          </w:p>
        </w:tc>
        <w:tc>
          <w:tcPr>
            <w:tcW w:w="960" w:type="dxa"/>
            <w:vAlign w:val="top"/>
          </w:tcPr>
          <w:p>
            <w:pPr>
              <w:spacing w:line="360" w:lineRule="auto"/>
              <w:rPr>
                <w:rFonts w:ascii="Times New Roman" w:hAnsi="Times New Roman" w:eastAsia="宋体" w:cs="Times New Roman"/>
                <w:kern w:val="2"/>
                <w:sz w:val="21"/>
                <w:lang w:val="en-US" w:eastAsia="zh-CN" w:bidi="ar-SA"/>
              </w:rPr>
            </w:pPr>
            <w:r>
              <w:t>4.3</w:t>
            </w:r>
          </w:p>
        </w:tc>
        <w:tc>
          <w:tcPr>
            <w:tcW w:w="10004" w:type="dxa"/>
            <w:vAlign w:val="top"/>
          </w:tcPr>
          <w:p>
            <w:pPr>
              <w:spacing w:line="360" w:lineRule="auto"/>
              <w:ind w:firstLine="420" w:firstLineChars="200"/>
            </w:pPr>
            <w:r>
              <w:rPr>
                <w:rFonts w:hint="eastAsia"/>
              </w:rPr>
              <w:t>公司按照标准要求编写了体系文件，于</w:t>
            </w:r>
            <w:r>
              <w:t>20</w:t>
            </w:r>
            <w:r>
              <w:rPr>
                <w:rFonts w:hint="eastAsia"/>
                <w:lang w:val="en-US" w:eastAsia="zh-CN"/>
              </w:rPr>
              <w:t>20</w:t>
            </w:r>
            <w:r>
              <w:rPr>
                <w:rFonts w:hint="eastAsia"/>
              </w:rPr>
              <w:t>年</w:t>
            </w:r>
            <w:r>
              <w:rPr>
                <w:rFonts w:hint="eastAsia"/>
                <w:lang w:val="en-US" w:eastAsia="zh-CN"/>
              </w:rPr>
              <w:t>3</w:t>
            </w:r>
            <w:r>
              <w:rPr>
                <w:rFonts w:hint="eastAsia"/>
              </w:rPr>
              <w:t>月1日发布</w:t>
            </w:r>
            <w:r>
              <w:rPr>
                <w:rFonts w:hint="eastAsia"/>
                <w:lang w:val="en-US" w:eastAsia="zh-CN"/>
              </w:rPr>
              <w:t>并</w:t>
            </w:r>
            <w:r>
              <w:rPr>
                <w:rFonts w:hint="eastAsia"/>
              </w:rPr>
              <w:t>实施管理体系文件，包括管理手册、程序文件、作业文件和记录表格等内容，管理手册中包括了管理方针和管理目标，并给出了各级文件的接口。质量手册中明确了体系的范围，管理手册可获得并得到保持。</w:t>
            </w:r>
          </w:p>
          <w:p>
            <w:pPr>
              <w:spacing w:line="360" w:lineRule="auto"/>
              <w:ind w:firstLine="420" w:firstLineChars="200"/>
              <w:rPr>
                <w:rFonts w:ascii="宋体" w:hAnsi="宋体"/>
                <w:sz w:val="24"/>
              </w:rPr>
            </w:pPr>
            <w:r>
              <w:rPr>
                <w:rFonts w:hint="eastAsia"/>
              </w:rPr>
              <w:t>公司明确了质量管理体系的边界：</w:t>
            </w:r>
            <w:r>
              <w:rPr>
                <w:rFonts w:hint="eastAsia" w:ascii="宋体" w:hAnsi="宋体"/>
                <w:color w:val="000000"/>
                <w:sz w:val="21"/>
                <w:szCs w:val="21"/>
                <w:lang w:eastAsia="zh-CN"/>
              </w:rPr>
              <w:t>陕西省宝鸡市陈仓区虢镇高家堎(原村砖厂)</w:t>
            </w:r>
            <w:r>
              <w:rPr>
                <w:rFonts w:hint="eastAsia"/>
              </w:rPr>
              <w:t>。</w:t>
            </w:r>
          </w:p>
          <w:p>
            <w:pPr>
              <w:spacing w:line="360" w:lineRule="auto"/>
              <w:ind w:firstLine="420" w:firstLineChars="200"/>
            </w:pPr>
            <w:r>
              <w:rPr>
                <w:rFonts w:hint="eastAsia"/>
              </w:rPr>
              <w:t>范围：</w:t>
            </w:r>
            <w:r>
              <w:rPr>
                <w:rFonts w:hint="eastAsia" w:ascii="宋体" w:hAnsi="宋体" w:eastAsia="宋体" w:cs="Times New Roman"/>
                <w:color w:val="000000"/>
                <w:sz w:val="21"/>
                <w:szCs w:val="21"/>
              </w:rPr>
              <w:t>消失模、泡沫制品（泡沫板材、泡沫包装材料）的加工及销售</w:t>
            </w:r>
            <w:r>
              <w:rPr>
                <w:rFonts w:hint="eastAsia" w:ascii="宋体" w:hAnsi="宋体"/>
                <w:szCs w:val="21"/>
              </w:rPr>
              <w:t>。</w:t>
            </w:r>
          </w:p>
          <w:p>
            <w:pPr>
              <w:spacing w:line="360" w:lineRule="auto"/>
              <w:ind w:firstLine="420" w:firstLineChars="200"/>
            </w:pPr>
            <w:r>
              <w:rPr>
                <w:rFonts w:hint="eastAsia"/>
              </w:rPr>
              <w:t>不适用条款：无</w:t>
            </w:r>
          </w:p>
          <w:p>
            <w:pPr>
              <w:spacing w:line="360" w:lineRule="auto"/>
              <w:ind w:firstLine="420" w:firstLineChars="200"/>
            </w:pPr>
            <w:r>
              <w:rPr>
                <w:rFonts w:hint="eastAsia"/>
              </w:rPr>
              <w:t>外包过程：无</w:t>
            </w:r>
          </w:p>
          <w:p>
            <w:pPr>
              <w:spacing w:line="360" w:lineRule="auto"/>
              <w:ind w:firstLine="420" w:firstLineChars="200"/>
              <w:rPr>
                <w:rFonts w:hint="eastAsia" w:ascii="Times New Roman" w:hAnsi="Times New Roman" w:eastAsia="宋体" w:cs="Times New Roman"/>
                <w:kern w:val="2"/>
                <w:sz w:val="21"/>
                <w:lang w:val="en-US" w:eastAsia="zh-CN" w:bidi="ar-SA"/>
              </w:rPr>
            </w:pPr>
            <w:r>
              <w:rPr>
                <w:rFonts w:hint="eastAsia"/>
              </w:rPr>
              <w:t>在确定质量管理体系的范围时考虑了公司的内外部因素和相关方的需求和期望，考虑了公司的产品和服务，与公司的宗旨和战略方向一致。符合标准要求。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hint="eastAsia" w:ascii="Times New Roman" w:hAnsi="Times New Roman" w:eastAsia="宋体" w:cs="Times New Roman"/>
                <w:kern w:val="2"/>
                <w:sz w:val="21"/>
                <w:lang w:val="en-US" w:eastAsia="zh-CN" w:bidi="ar-SA"/>
              </w:rPr>
            </w:pPr>
            <w:r>
              <w:rPr>
                <w:rFonts w:hint="eastAsia"/>
              </w:rPr>
              <w:t>质量管理体系及其过程</w:t>
            </w:r>
          </w:p>
        </w:tc>
        <w:tc>
          <w:tcPr>
            <w:tcW w:w="960" w:type="dxa"/>
            <w:vAlign w:val="top"/>
          </w:tcPr>
          <w:p>
            <w:pPr>
              <w:spacing w:line="360" w:lineRule="auto"/>
              <w:rPr>
                <w:rFonts w:ascii="Times New Roman" w:hAnsi="Times New Roman" w:eastAsia="宋体" w:cs="Times New Roman"/>
                <w:kern w:val="2"/>
                <w:sz w:val="21"/>
                <w:lang w:val="en-US" w:eastAsia="zh-CN" w:bidi="ar-SA"/>
              </w:rPr>
            </w:pPr>
            <w:r>
              <w:t>4.4</w:t>
            </w:r>
          </w:p>
        </w:tc>
        <w:tc>
          <w:tcPr>
            <w:tcW w:w="10004" w:type="dxa"/>
            <w:vAlign w:val="top"/>
          </w:tcPr>
          <w:p>
            <w:pPr>
              <w:spacing w:line="360" w:lineRule="auto"/>
              <w:ind w:firstLine="420" w:firstLineChars="200"/>
            </w:pPr>
            <w:r>
              <w:rPr>
                <w:rFonts w:hint="eastAsia"/>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配备了各种资源满足体系运行的需要。确立了监视测量的方法。</w:t>
            </w:r>
          </w:p>
          <w:p>
            <w:pPr>
              <w:spacing w:line="360" w:lineRule="auto"/>
              <w:ind w:firstLine="420" w:firstLineChars="200"/>
            </w:pPr>
            <w:r>
              <w:rPr>
                <w:rFonts w:hint="eastAsia"/>
              </w:rPr>
              <w:t>不适用条款：无</w:t>
            </w:r>
          </w:p>
          <w:p>
            <w:pPr>
              <w:spacing w:line="360" w:lineRule="auto"/>
              <w:ind w:firstLine="420" w:firstLineChars="200"/>
              <w:rPr>
                <w:rFonts w:hint="eastAsia" w:ascii="Times New Roman" w:hAnsi="Times New Roman" w:eastAsia="宋体" w:cs="Times New Roman"/>
                <w:kern w:val="2"/>
                <w:sz w:val="21"/>
                <w:lang w:val="en-US" w:eastAsia="zh-CN" w:bidi="ar-SA"/>
              </w:rPr>
            </w:pPr>
            <w:r>
              <w:rPr>
                <w:rFonts w:hint="eastAsia"/>
              </w:rPr>
              <w:t>外包过程：无</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3" w:hRule="atLeast"/>
        </w:trPr>
        <w:tc>
          <w:tcPr>
            <w:tcW w:w="2160" w:type="dxa"/>
            <w:vAlign w:val="top"/>
          </w:tcPr>
          <w:p>
            <w:pPr>
              <w:spacing w:line="360" w:lineRule="auto"/>
            </w:pPr>
          </w:p>
          <w:p>
            <w:pPr>
              <w:spacing w:line="360" w:lineRule="auto"/>
            </w:pPr>
          </w:p>
          <w:p>
            <w:pPr>
              <w:spacing w:line="360" w:lineRule="auto"/>
              <w:jc w:val="center"/>
            </w:pPr>
            <w:r>
              <w:rPr>
                <w:rFonts w:hint="eastAsia"/>
              </w:rPr>
              <w:t>领导作用和承诺</w:t>
            </w:r>
          </w:p>
          <w:p>
            <w:pPr>
              <w:spacing w:line="360" w:lineRule="auto"/>
              <w:jc w:val="center"/>
            </w:pPr>
          </w:p>
          <w:p>
            <w:pPr>
              <w:spacing w:line="360" w:lineRule="auto"/>
              <w:jc w:val="center"/>
              <w:rPr>
                <w:rFonts w:hint="eastAsia" w:ascii="Times New Roman" w:hAnsi="Times New Roman" w:eastAsia="宋体" w:cs="Times New Roman"/>
                <w:kern w:val="2"/>
                <w:sz w:val="21"/>
                <w:lang w:val="en-US" w:eastAsia="zh-CN" w:bidi="ar-SA"/>
              </w:rPr>
            </w:pPr>
            <w:r>
              <w:rPr>
                <w:rFonts w:hint="eastAsia"/>
              </w:rPr>
              <w:t>总则</w:t>
            </w:r>
          </w:p>
        </w:tc>
        <w:tc>
          <w:tcPr>
            <w:tcW w:w="960" w:type="dxa"/>
            <w:vAlign w:val="top"/>
          </w:tcPr>
          <w:p>
            <w:pPr>
              <w:spacing w:line="360" w:lineRule="auto"/>
            </w:pPr>
          </w:p>
          <w:p>
            <w:pPr>
              <w:spacing w:line="360" w:lineRule="auto"/>
            </w:pPr>
          </w:p>
          <w:p>
            <w:pPr>
              <w:spacing w:line="360" w:lineRule="auto"/>
              <w:rPr>
                <w:rFonts w:ascii="Times New Roman" w:hAnsi="Times New Roman" w:eastAsia="宋体" w:cs="Times New Roman"/>
                <w:kern w:val="2"/>
                <w:sz w:val="21"/>
                <w:lang w:val="en-US" w:eastAsia="zh-CN" w:bidi="ar-SA"/>
              </w:rPr>
            </w:pPr>
            <w:r>
              <w:t>5.1.1</w:t>
            </w:r>
          </w:p>
        </w:tc>
        <w:tc>
          <w:tcPr>
            <w:tcW w:w="10004" w:type="dxa"/>
            <w:vAlign w:val="top"/>
          </w:tcPr>
          <w:p>
            <w:pPr>
              <w:spacing w:line="360" w:lineRule="auto"/>
              <w:ind w:firstLine="420" w:firstLineChars="200"/>
              <w:rPr>
                <w:rFonts w:hint="eastAsia"/>
              </w:rPr>
            </w:pPr>
            <w:r>
              <w:rPr>
                <w:rFonts w:hint="eastAsia"/>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对质量管理体系的有效性负责；确保质量方针和质量目标的建立，并与公司的环境及战略方向保持一致；确保质量方针在组织内得到理解和实施；确保质量管理体系要求纳入组织的业务运作；提高过程方法的意识和基于风险的方法；确保质量管理体系所需的资源；传达沟通有效的质量管理以及满足质量管理体系要求的重要性；确保质量管理体系实现其预期的输出；积极</w:t>
            </w:r>
            <w:r>
              <w:t>参与</w:t>
            </w:r>
            <w:r>
              <w:rPr>
                <w:rFonts w:hint="eastAsia"/>
              </w:rPr>
              <w:t>、指导和支持员工参与对质量管理体系的有效性做出贡献；增强持续改进和创新；支持其他管理者在其职责范围内发挥其应尽的领导作用。</w:t>
            </w:r>
          </w:p>
          <w:p>
            <w:pPr>
              <w:pStyle w:val="2"/>
              <w:rPr>
                <w:rFonts w:hint="eastAsia"/>
                <w:lang w:val="en-US" w:eastAsia="zh-CN"/>
              </w:rPr>
            </w:pPr>
            <w:r>
              <w:rPr>
                <w:rFonts w:hint="eastAsia" w:ascii="Times New Roman" w:hAnsi="Times New Roman" w:eastAsia="宋体" w:cs="Times New Roman"/>
                <w:kern w:val="2"/>
                <w:sz w:val="21"/>
                <w:szCs w:val="22"/>
                <w:lang w:val="en-US" w:eastAsia="zh-CN" w:bidi="ar-SA"/>
              </w:rPr>
              <w:t>最高管理者的领导作用已得到落实。</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2160" w:type="dxa"/>
            <w:vAlign w:val="top"/>
          </w:tcPr>
          <w:p>
            <w:pPr>
              <w:rPr>
                <w:rFonts w:hint="eastAsia"/>
              </w:rPr>
            </w:pPr>
          </w:p>
          <w:p>
            <w:pPr>
              <w:rPr>
                <w:rFonts w:hint="eastAsia"/>
              </w:rPr>
            </w:pPr>
          </w:p>
          <w:p>
            <w:pPr>
              <w:rPr>
                <w:rFonts w:hint="eastAsia" w:ascii="Times New Roman" w:hAnsi="Times New Roman" w:eastAsia="宋体" w:cs="Times New Roman"/>
                <w:kern w:val="2"/>
                <w:sz w:val="21"/>
                <w:lang w:val="en-US" w:eastAsia="zh-CN" w:bidi="ar-SA"/>
              </w:rPr>
            </w:pPr>
            <w:r>
              <w:rPr>
                <w:rFonts w:hint="eastAsia"/>
              </w:rPr>
              <w:t>以顾客为关注焦点</w:t>
            </w:r>
          </w:p>
        </w:tc>
        <w:tc>
          <w:tcPr>
            <w:tcW w:w="960" w:type="dxa"/>
            <w:vAlign w:val="top"/>
          </w:tcPr>
          <w:p/>
          <w:p>
            <w:pPr>
              <w:rPr>
                <w:rFonts w:ascii="Times New Roman" w:hAnsi="Times New Roman" w:eastAsia="宋体" w:cs="Times New Roman"/>
                <w:kern w:val="2"/>
                <w:sz w:val="21"/>
                <w:lang w:val="en-US" w:eastAsia="zh-CN" w:bidi="ar-SA"/>
              </w:rPr>
            </w:pPr>
            <w:r>
              <w:t>5.1.2</w:t>
            </w:r>
          </w:p>
        </w:tc>
        <w:tc>
          <w:tcPr>
            <w:tcW w:w="10004" w:type="dxa"/>
            <w:vAlign w:val="top"/>
          </w:tcPr>
          <w:p>
            <w:pPr>
              <w:spacing w:line="360" w:lineRule="auto"/>
              <w:ind w:firstLine="210" w:firstLineChars="100"/>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szCs w:val="22"/>
                <w:lang w:eastAsia="zh-CN"/>
              </w:rPr>
              <w:t>总经理介绍：本公司目前能充分识别其承揽的</w:t>
            </w:r>
            <w:r>
              <w:rPr>
                <w:rFonts w:hint="eastAsia" w:ascii="宋体" w:hAnsi="宋体" w:eastAsia="宋体" w:cs="Times New Roman"/>
                <w:color w:val="000000"/>
                <w:sz w:val="21"/>
                <w:szCs w:val="21"/>
              </w:rPr>
              <w:t>消失模、泡沫制品（泡沫板材、泡沫包装材料）的加工及销售</w:t>
            </w:r>
            <w:r>
              <w:rPr>
                <w:rFonts w:hint="eastAsia" w:ascii="Times New Roman" w:hAnsi="Times New Roman" w:eastAsia="宋体" w:cs="Times New Roman"/>
                <w:szCs w:val="22"/>
                <w:lang w:eastAsia="zh-CN"/>
              </w:rPr>
              <w:t>的相关要求，确定、理解并持续满足顾客要求以及适用法律法规要求，并能顺畅地转变为公司内部要求加以控制，按照要求定期对顾客满意程度实施测量，以其寻找改进机会，基本做到了以顾客为关注焦点。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2160" w:type="dxa"/>
            <w:vAlign w:val="top"/>
          </w:tcPr>
          <w:p>
            <w:pPr>
              <w:rPr>
                <w:rFonts w:hint="eastAsia" w:ascii="Times New Roman" w:hAnsi="Times New Roman" w:eastAsia="宋体" w:cs="Times New Roman"/>
                <w:kern w:val="2"/>
                <w:sz w:val="21"/>
                <w:lang w:val="en-US" w:eastAsia="zh-CN" w:bidi="ar-SA"/>
              </w:rPr>
            </w:pPr>
            <w:r>
              <w:rPr>
                <w:rFonts w:hint="eastAsia"/>
              </w:rPr>
              <w:t>方针</w:t>
            </w:r>
          </w:p>
        </w:tc>
        <w:tc>
          <w:tcPr>
            <w:tcW w:w="960" w:type="dxa"/>
            <w:vAlign w:val="top"/>
          </w:tcPr>
          <w:p>
            <w:pPr>
              <w:rPr>
                <w:rFonts w:ascii="Times New Roman" w:hAnsi="Times New Roman" w:eastAsia="宋体" w:cs="Times New Roman"/>
                <w:kern w:val="2"/>
                <w:sz w:val="21"/>
                <w:lang w:val="en-US" w:eastAsia="zh-CN" w:bidi="ar-SA"/>
              </w:rPr>
            </w:pPr>
            <w:r>
              <w:t>5.2</w:t>
            </w:r>
          </w:p>
        </w:tc>
        <w:tc>
          <w:tcPr>
            <w:tcW w:w="10004" w:type="dxa"/>
            <w:vAlign w:val="top"/>
          </w:tcPr>
          <w:p>
            <w:pPr>
              <w:rPr>
                <w:rFonts w:ascii="宋体"/>
                <w:szCs w:val="21"/>
              </w:rPr>
            </w:pPr>
            <w:r>
              <w:rPr>
                <w:rFonts w:hint="eastAsia"/>
              </w:rPr>
              <w:t>企业策划并制定了质量方针：</w:t>
            </w:r>
            <w:r>
              <w:rPr>
                <w:rFonts w:hint="eastAsia" w:ascii="宋体" w:hAnsi="宋体"/>
                <w:szCs w:val="21"/>
              </w:rPr>
              <w:t>“质量为本、顾客至上、持续改进、追求最佳</w:t>
            </w:r>
            <w:r>
              <w:rPr>
                <w:rFonts w:hint="eastAsia" w:ascii="宋体" w:hAnsi="宋体"/>
                <w:sz w:val="28"/>
              </w:rPr>
              <w:t>。</w:t>
            </w:r>
            <w:r>
              <w:rPr>
                <w:rFonts w:hint="eastAsia" w:ascii="宋体" w:hAnsi="宋体"/>
                <w:szCs w:val="21"/>
              </w:rPr>
              <w:t>”</w:t>
            </w:r>
          </w:p>
          <w:p>
            <w:r>
              <w:rPr>
                <w:rFonts w:hint="eastAsia"/>
              </w:rPr>
              <w:t>方针在质量手册中予以规定，经总经理批准实施。</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rPr>
                <w:rFonts w:hint="eastAsia" w:ascii="Times New Roman" w:hAnsi="Times New Roman" w:eastAsia="宋体" w:cs="Times New Roman"/>
                <w:kern w:val="2"/>
                <w:sz w:val="21"/>
                <w:lang w:val="en-US" w:eastAsia="zh-CN" w:bidi="ar-SA"/>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2160" w:type="dxa"/>
            <w:vAlign w:val="top"/>
          </w:tcPr>
          <w:p>
            <w:pPr>
              <w:spacing w:line="360" w:lineRule="auto"/>
              <w:rPr>
                <w:rFonts w:hint="eastAsia"/>
              </w:rPr>
            </w:pPr>
          </w:p>
          <w:p>
            <w:pPr>
              <w:spacing w:line="360" w:lineRule="auto"/>
              <w:rPr>
                <w:rFonts w:hint="eastAsia" w:ascii="Times New Roman" w:hAnsi="Times New Roman" w:eastAsia="宋体" w:cs="Times New Roman"/>
                <w:kern w:val="2"/>
                <w:sz w:val="21"/>
                <w:lang w:val="en-US" w:eastAsia="zh-CN" w:bidi="ar-SA"/>
              </w:rPr>
            </w:pPr>
            <w:r>
              <w:rPr>
                <w:rFonts w:hint="eastAsia"/>
              </w:rPr>
              <w:t>组织的角色、职责的权限</w:t>
            </w:r>
          </w:p>
        </w:tc>
        <w:tc>
          <w:tcPr>
            <w:tcW w:w="960" w:type="dxa"/>
            <w:vAlign w:val="top"/>
          </w:tcPr>
          <w:p>
            <w:pPr>
              <w:spacing w:line="360" w:lineRule="auto"/>
            </w:pPr>
          </w:p>
          <w:p>
            <w:pPr>
              <w:spacing w:line="360" w:lineRule="auto"/>
              <w:rPr>
                <w:rFonts w:ascii="Times New Roman" w:hAnsi="Times New Roman" w:eastAsia="宋体" w:cs="Times New Roman"/>
                <w:kern w:val="2"/>
                <w:sz w:val="21"/>
                <w:lang w:val="en-US" w:eastAsia="zh-CN" w:bidi="ar-SA"/>
              </w:rPr>
            </w:pPr>
            <w:r>
              <w:t>5.3</w:t>
            </w:r>
          </w:p>
        </w:tc>
        <w:tc>
          <w:tcPr>
            <w:tcW w:w="10004" w:type="dxa"/>
            <w:vAlign w:val="top"/>
          </w:tcPr>
          <w:p>
            <w:pPr>
              <w:spacing w:line="360" w:lineRule="auto"/>
              <w:ind w:firstLine="420" w:firstLineChars="200"/>
              <w:rPr>
                <w:rFonts w:hint="eastAsia" w:ascii="Times New Roman" w:hAnsi="Times New Roman" w:eastAsia="宋体" w:cs="Times New Roman"/>
                <w:kern w:val="2"/>
                <w:sz w:val="21"/>
                <w:lang w:val="en-US" w:eastAsia="zh-CN" w:bidi="ar-SA"/>
              </w:rPr>
            </w:pPr>
            <w:r>
              <w:rPr>
                <w:rFonts w:hint="eastAsia"/>
              </w:rPr>
              <w:t>公司确定了公司机构并规定了各岗位人员职责、权限和相互关系，并在公司内对各级员工进行了必要的传达。对从事与公司生产有关的管理、执行和验证人员规定其职责、权限及其相互关系，以实现公司管理方针和管理目标。建立、实施和保持公司管理体系所需的过程，公司任命</w:t>
            </w:r>
            <w:r>
              <w:rPr>
                <w:rFonts w:hint="eastAsia"/>
                <w:lang w:eastAsia="zh-CN"/>
              </w:rPr>
              <w:t>李</w:t>
            </w:r>
            <w:r>
              <w:rPr>
                <w:rFonts w:hint="eastAsia"/>
                <w:lang w:val="en-US" w:eastAsia="zh-CN"/>
              </w:rPr>
              <w:t>琪琪</w:t>
            </w:r>
            <w:r>
              <w:rPr>
                <w:rFonts w:hint="eastAsia"/>
              </w:rPr>
              <w:t>为管理体系的管理者代表。其职责和权限规定如下：确保本公司管理体系所需的过程得到建立、实施和保持，代表总经理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2160" w:type="dxa"/>
            <w:vAlign w:val="top"/>
          </w:tcPr>
          <w:p>
            <w:pPr>
              <w:spacing w:line="360" w:lineRule="auto"/>
              <w:rPr>
                <w:rFonts w:hint="eastAsia"/>
              </w:rPr>
            </w:pPr>
          </w:p>
          <w:p>
            <w:pPr>
              <w:spacing w:line="360" w:lineRule="auto"/>
            </w:pPr>
            <w:r>
              <w:rPr>
                <w:rFonts w:hint="eastAsia"/>
              </w:rPr>
              <w:t>策划</w:t>
            </w:r>
          </w:p>
          <w:p>
            <w:pPr>
              <w:spacing w:line="360" w:lineRule="auto"/>
              <w:rPr>
                <w:rFonts w:hint="eastAsia" w:ascii="Times New Roman" w:hAnsi="Times New Roman" w:eastAsia="宋体" w:cs="Times New Roman"/>
                <w:kern w:val="2"/>
                <w:sz w:val="21"/>
                <w:lang w:val="en-US" w:eastAsia="zh-CN" w:bidi="ar-SA"/>
              </w:rPr>
            </w:pPr>
            <w:r>
              <w:rPr>
                <w:rFonts w:hint="eastAsia"/>
              </w:rPr>
              <w:t>应对风险和机遇的措施</w:t>
            </w:r>
          </w:p>
        </w:tc>
        <w:tc>
          <w:tcPr>
            <w:tcW w:w="960" w:type="dxa"/>
            <w:vAlign w:val="top"/>
          </w:tcPr>
          <w:p>
            <w:pPr>
              <w:spacing w:line="360" w:lineRule="auto"/>
            </w:pPr>
          </w:p>
          <w:p>
            <w:pPr>
              <w:spacing w:line="360" w:lineRule="auto"/>
              <w:rPr>
                <w:rFonts w:ascii="Times New Roman" w:hAnsi="Times New Roman" w:eastAsia="宋体" w:cs="Times New Roman"/>
                <w:kern w:val="2"/>
                <w:sz w:val="21"/>
                <w:lang w:val="en-US" w:eastAsia="zh-CN" w:bidi="ar-SA"/>
              </w:rPr>
            </w:pPr>
            <w:r>
              <w:t>6.1</w:t>
            </w:r>
          </w:p>
        </w:tc>
        <w:tc>
          <w:tcPr>
            <w:tcW w:w="10004" w:type="dxa"/>
            <w:vAlign w:val="top"/>
          </w:tcPr>
          <w:p>
            <w:pPr>
              <w:spacing w:line="360" w:lineRule="auto"/>
              <w:ind w:firstLine="420" w:firstLineChars="200"/>
            </w:pPr>
            <w:r>
              <w:rPr>
                <w:rFonts w:hint="eastAsia"/>
              </w:rPr>
              <w:t>公司编制了《风险和机遇控制程序》，通过识别与评价对公司目标和战略方向相关影响其实现质量管理体系预期结果的各种内外部环境因素，有效应对风险和机遇。</w:t>
            </w:r>
          </w:p>
          <w:p>
            <w:pPr>
              <w:spacing w:line="360" w:lineRule="auto"/>
            </w:pPr>
            <w:r>
              <w:rPr>
                <w:rFonts w:hint="eastAsia"/>
              </w:rPr>
              <w:t>评估内容：机遇：</w:t>
            </w:r>
          </w:p>
          <w:p>
            <w:pPr>
              <w:spacing w:line="360" w:lineRule="auto"/>
            </w:pPr>
            <w:r>
              <w:t>1</w:t>
            </w:r>
            <w:r>
              <w:rPr>
                <w:rFonts w:hint="eastAsia"/>
              </w:rPr>
              <w:t>、工艺成熟，质量稳定，满足客户需求；</w:t>
            </w:r>
          </w:p>
          <w:p>
            <w:pPr>
              <w:spacing w:line="360" w:lineRule="auto"/>
            </w:pPr>
            <w:r>
              <w:t>2</w:t>
            </w:r>
            <w:r>
              <w:rPr>
                <w:rFonts w:hint="eastAsia"/>
              </w:rPr>
              <w:t>、人员稳定，对</w:t>
            </w:r>
            <w:r>
              <w:t>ISO</w:t>
            </w:r>
            <w:r>
              <w:rPr>
                <w:rFonts w:hint="eastAsia"/>
              </w:rPr>
              <w:t>体系管理要求的执行到位</w:t>
            </w:r>
          </w:p>
          <w:p>
            <w:pPr>
              <w:spacing w:line="360" w:lineRule="auto"/>
            </w:pPr>
            <w:r>
              <w:t>3</w:t>
            </w:r>
            <w:r>
              <w:rPr>
                <w:rFonts w:hint="eastAsia"/>
              </w:rPr>
              <w:t>、有固定的客户</w:t>
            </w:r>
          </w:p>
          <w:p>
            <w:pPr>
              <w:spacing w:line="360" w:lineRule="auto"/>
            </w:pPr>
            <w:r>
              <w:rPr>
                <w:rFonts w:hint="eastAsia"/>
              </w:rPr>
              <w:t>风险：</w:t>
            </w:r>
          </w:p>
          <w:p>
            <w:pPr>
              <w:spacing w:line="360" w:lineRule="auto"/>
            </w:pPr>
            <w:r>
              <w:rPr>
                <w:rFonts w:hint="eastAsia"/>
              </w:rPr>
              <w:t>1</w:t>
            </w:r>
            <w:r>
              <w:t>.</w:t>
            </w:r>
            <w:r>
              <w:rPr>
                <w:rFonts w:hint="eastAsia"/>
                <w:lang w:val="en-US" w:eastAsia="zh-CN"/>
              </w:rPr>
              <w:t>市场竞争激烈，上游企业订货中断</w:t>
            </w:r>
            <w:r>
              <w:rPr>
                <w:rFonts w:hint="eastAsia"/>
              </w:rPr>
              <w:t>；</w:t>
            </w:r>
          </w:p>
          <w:p>
            <w:pPr>
              <w:spacing w:line="360" w:lineRule="auto"/>
            </w:pPr>
            <w:r>
              <w:rPr>
                <w:rFonts w:hint="eastAsia"/>
              </w:rPr>
              <w:t>针对质量风险与机遇，负责人组织人员对质量控制风险进行了识别、分析和评价。</w:t>
            </w:r>
          </w:p>
          <w:p>
            <w:pPr>
              <w:spacing w:line="360" w:lineRule="auto"/>
              <w:rPr>
                <w:rFonts w:hint="eastAsia" w:eastAsia="宋体"/>
                <w:lang w:eastAsia="zh-CN"/>
              </w:rPr>
            </w:pPr>
            <w:r>
              <w:rPr>
                <w:rFonts w:hint="eastAsia"/>
              </w:rPr>
              <w:t>通过</w:t>
            </w:r>
            <w:r>
              <w:rPr>
                <w:rFonts w:hint="eastAsia"/>
                <w:lang w:val="en-US" w:eastAsia="zh-CN"/>
              </w:rPr>
              <w:t>加强质量管理，提高行业知名度，通过</w:t>
            </w:r>
            <w:r>
              <w:rPr>
                <w:rFonts w:hint="eastAsia"/>
              </w:rPr>
              <w:t>内审、管评、目标考核等来评价风险和机遇应对</w:t>
            </w:r>
            <w:r>
              <w:rPr>
                <w:rFonts w:hint="eastAsia"/>
                <w:lang w:eastAsia="zh-CN"/>
              </w:rPr>
              <w:t>，</w:t>
            </w:r>
            <w:r>
              <w:rPr>
                <w:rFonts w:hint="eastAsia"/>
              </w:rPr>
              <w:t>措施有效</w:t>
            </w:r>
            <w:r>
              <w:rPr>
                <w:rFonts w:hint="eastAsia"/>
                <w:lang w:eastAsia="zh-CN"/>
              </w:rPr>
              <w:t>。</w:t>
            </w:r>
          </w:p>
          <w:p>
            <w:pPr>
              <w:spacing w:line="360" w:lineRule="auto"/>
              <w:rPr>
                <w:rFonts w:hint="eastAsia" w:ascii="Times New Roman" w:hAnsi="Times New Roman" w:eastAsia="宋体" w:cs="Times New Roman"/>
                <w:kern w:val="2"/>
                <w:sz w:val="21"/>
                <w:lang w:val="en-US" w:eastAsia="zh-CN" w:bidi="ar-SA"/>
              </w:rPr>
            </w:pPr>
            <w:r>
              <w:rPr>
                <w:rFonts w:hint="eastAsia"/>
              </w:rPr>
              <w:t>公司的风险和机遇识别、控制基本符合要求。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2160" w:type="dxa"/>
            <w:vAlign w:val="top"/>
          </w:tcPr>
          <w:p>
            <w:pPr>
              <w:spacing w:line="360" w:lineRule="auto"/>
              <w:rPr>
                <w:rFonts w:hint="eastAsia"/>
              </w:rPr>
            </w:pPr>
          </w:p>
          <w:p>
            <w:pPr>
              <w:spacing w:line="360" w:lineRule="auto"/>
              <w:rPr>
                <w:rFonts w:hint="eastAsia" w:ascii="Times New Roman" w:hAnsi="Times New Roman" w:eastAsia="宋体" w:cs="Times New Roman"/>
                <w:kern w:val="2"/>
                <w:sz w:val="21"/>
                <w:lang w:val="en-US" w:eastAsia="zh-CN" w:bidi="ar-SA"/>
              </w:rPr>
            </w:pPr>
            <w:r>
              <w:rPr>
                <w:rFonts w:hint="eastAsia"/>
              </w:rPr>
              <w:t>质量目标及其实现的策划</w:t>
            </w:r>
          </w:p>
        </w:tc>
        <w:tc>
          <w:tcPr>
            <w:tcW w:w="960" w:type="dxa"/>
            <w:vAlign w:val="top"/>
          </w:tcPr>
          <w:p>
            <w:pPr>
              <w:spacing w:line="360" w:lineRule="auto"/>
            </w:pPr>
          </w:p>
          <w:p>
            <w:pPr>
              <w:spacing w:line="360" w:lineRule="auto"/>
              <w:rPr>
                <w:rFonts w:ascii="Times New Roman" w:hAnsi="Times New Roman" w:eastAsia="宋体" w:cs="Times New Roman"/>
                <w:kern w:val="2"/>
                <w:sz w:val="21"/>
                <w:lang w:val="en-US" w:eastAsia="zh-CN" w:bidi="ar-SA"/>
              </w:rPr>
            </w:pPr>
            <w:r>
              <w:t>6.2</w:t>
            </w:r>
          </w:p>
        </w:tc>
        <w:tc>
          <w:tcPr>
            <w:tcW w:w="10004" w:type="dxa"/>
            <w:vAlign w:val="top"/>
          </w:tcPr>
          <w:p>
            <w:pPr>
              <w:spacing w:line="360" w:lineRule="auto"/>
              <w:ind w:firstLine="420" w:firstLineChars="200"/>
            </w:pPr>
            <w:r>
              <w:rPr>
                <w:rFonts w:hint="eastAsia"/>
              </w:rPr>
              <w:t>公司总的质量目标为：</w:t>
            </w:r>
          </w:p>
          <w:p>
            <w:pPr>
              <w:spacing w:line="360" w:lineRule="auto"/>
              <w:rPr>
                <w:rFonts w:ascii="宋体" w:hAnsi="宋体" w:cs="宋体"/>
                <w:szCs w:val="21"/>
              </w:rPr>
            </w:pPr>
            <w:r>
              <w:rPr>
                <w:rFonts w:hint="eastAsia" w:ascii="宋体" w:hAnsi="宋体" w:cs="宋体"/>
                <w:szCs w:val="21"/>
              </w:rPr>
              <w:t>产品一次交验合格率≥95%；</w:t>
            </w:r>
          </w:p>
          <w:p>
            <w:pPr>
              <w:spacing w:line="360" w:lineRule="auto"/>
              <w:rPr>
                <w:rFonts w:ascii="宋体" w:hAnsi="宋体" w:cs="宋体"/>
                <w:szCs w:val="21"/>
              </w:rPr>
            </w:pPr>
            <w:r>
              <w:rPr>
                <w:rFonts w:hint="eastAsia" w:ascii="宋体" w:hAnsi="宋体" w:cs="宋体"/>
                <w:szCs w:val="21"/>
              </w:rPr>
              <w:t>顾客反馈信息及时处理率100%；</w:t>
            </w:r>
          </w:p>
          <w:p>
            <w:pPr>
              <w:spacing w:line="360" w:lineRule="auto"/>
              <w:rPr>
                <w:rFonts w:ascii="宋体" w:hAnsi="宋体" w:cs="宋体"/>
                <w:szCs w:val="21"/>
              </w:rPr>
            </w:pPr>
            <w:r>
              <w:rPr>
                <w:rFonts w:hint="eastAsia" w:ascii="宋体" w:hAnsi="宋体" w:cs="宋体"/>
                <w:szCs w:val="21"/>
              </w:rPr>
              <w:t>顾客满意度90%，三年内每年递增1%。</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rPr>
                <w:rFonts w:hint="eastAsia" w:ascii="Times New Roman" w:hAnsi="Times New Roman" w:eastAsia="宋体" w:cs="Times New Roman"/>
                <w:kern w:val="2"/>
                <w:sz w:val="21"/>
                <w:lang w:val="en-US" w:eastAsia="zh-CN" w:bidi="ar-SA"/>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2160" w:type="dxa"/>
            <w:vAlign w:val="top"/>
          </w:tcPr>
          <w:p>
            <w:pPr>
              <w:spacing w:line="360" w:lineRule="auto"/>
              <w:rPr>
                <w:rFonts w:hint="eastAsia" w:ascii="Times New Roman" w:hAnsi="Times New Roman" w:eastAsia="宋体" w:cs="Times New Roman"/>
                <w:kern w:val="2"/>
                <w:sz w:val="21"/>
                <w:lang w:val="en-US" w:eastAsia="zh-CN" w:bidi="ar-SA"/>
              </w:rPr>
            </w:pPr>
            <w:r>
              <w:rPr>
                <w:rFonts w:hint="eastAsia"/>
              </w:rPr>
              <w:t>变更的策划</w:t>
            </w:r>
          </w:p>
        </w:tc>
        <w:tc>
          <w:tcPr>
            <w:tcW w:w="960" w:type="dxa"/>
            <w:vAlign w:val="top"/>
          </w:tcPr>
          <w:p>
            <w:pPr>
              <w:spacing w:line="360" w:lineRule="auto"/>
              <w:rPr>
                <w:rFonts w:ascii="Times New Roman" w:hAnsi="Times New Roman" w:eastAsia="宋体" w:cs="Times New Roman"/>
                <w:kern w:val="2"/>
                <w:sz w:val="21"/>
                <w:lang w:val="en-US" w:eastAsia="zh-CN" w:bidi="ar-SA"/>
              </w:rPr>
            </w:pPr>
            <w:r>
              <w:t>6.3</w:t>
            </w:r>
          </w:p>
        </w:tc>
        <w:tc>
          <w:tcPr>
            <w:tcW w:w="10004" w:type="dxa"/>
            <w:vAlign w:val="top"/>
          </w:tcPr>
          <w:p>
            <w:pPr>
              <w:spacing w:line="360" w:lineRule="auto"/>
              <w:ind w:firstLine="420" w:firstLineChars="200"/>
            </w:pPr>
            <w:r>
              <w:rPr>
                <w:rFonts w:hint="eastAsia"/>
              </w:rPr>
              <w:t>质量手册中对质量管理体系的变更需求及时机、内容、影响方面进行了策划，变更的时机包括了：质量管理体系的建立和实施的初始阶段；组织机构、环境发生变化；利益相关方的需求和期望方面的任何变化等。</w:t>
            </w:r>
          </w:p>
          <w:p>
            <w:pPr>
              <w:spacing w:line="360" w:lineRule="auto"/>
            </w:pPr>
            <w:r>
              <w:rPr>
                <w:rFonts w:hint="eastAsia"/>
              </w:rPr>
              <w:t>对变更的影响方面进行了识别并制定了对策：</w:t>
            </w:r>
          </w:p>
          <w:p>
            <w:pPr>
              <w:spacing w:line="360" w:lineRule="auto"/>
            </w:pPr>
            <w:r>
              <w:t>1</w:t>
            </w:r>
            <w:r>
              <w:rPr>
                <w:rFonts w:hint="eastAsia"/>
              </w:rPr>
              <w:t>）变更的目的和任何潜在的后果，变更有可能带来好的结果，也可能带来风险和挑战，如产品质量差而导致交付后不能如期达标，所以，进行变更的策划时，应考虑充分，未雨绸缪。</w:t>
            </w:r>
          </w:p>
          <w:p>
            <w:pPr>
              <w:spacing w:line="360" w:lineRule="auto"/>
            </w:pPr>
            <w:r>
              <w:t>2</w:t>
            </w:r>
            <w:r>
              <w:rPr>
                <w:rFonts w:hint="eastAsia"/>
              </w:rPr>
              <w:t>）在对质量管理体系的变更进行策划和实施时，保持质量管理体系的完整性</w:t>
            </w:r>
            <w:r>
              <w:t>:</w:t>
            </w:r>
            <w:r>
              <w:rPr>
                <w:rFonts w:hint="eastAsia"/>
              </w:rPr>
              <w:t>体系变更的策划应充分，如服务方式变更后，作业文件要发生变更，需对员工进行培训，这都需要系统考虑，这样才能保持体系的完整。</w:t>
            </w:r>
          </w:p>
          <w:p>
            <w:pPr>
              <w:spacing w:line="360" w:lineRule="auto"/>
            </w:pPr>
            <w:r>
              <w:t>3</w:t>
            </w:r>
            <w:r>
              <w:rPr>
                <w:rFonts w:hint="eastAsia"/>
              </w:rPr>
              <w:t>）资源的可获取性：体系变更后，如增加新产品时，策划了资源的配置，如人员能力等方面。</w:t>
            </w:r>
          </w:p>
          <w:p>
            <w:pPr>
              <w:spacing w:line="360" w:lineRule="auto"/>
            </w:pPr>
            <w:r>
              <w:t>4</w:t>
            </w:r>
            <w:r>
              <w:rPr>
                <w:rFonts w:hint="eastAsia"/>
              </w:rPr>
              <w:t>）职责和权限的分配或调整：公司职能和权限进行重大调整时，应确保相应文件的变更，同时确保员工能够进行文件的沟通和学习，以确保体系的完整性。</w:t>
            </w:r>
          </w:p>
          <w:p>
            <w:pPr>
              <w:spacing w:line="360" w:lineRule="auto"/>
            </w:pPr>
            <w:r>
              <w:rPr>
                <w:rFonts w:hint="eastAsia"/>
              </w:rPr>
              <w:t>在实施变更时，公司考虑了其对目前质量管理体系范围的影响。</w:t>
            </w:r>
          </w:p>
          <w:p>
            <w:pPr>
              <w:spacing w:line="360" w:lineRule="auto"/>
              <w:rPr>
                <w:rFonts w:hint="eastAsia" w:ascii="Times New Roman" w:hAnsi="Times New Roman" w:eastAsia="宋体" w:cs="Times New Roman"/>
                <w:kern w:val="2"/>
                <w:sz w:val="21"/>
                <w:lang w:val="en-US" w:eastAsia="zh-CN" w:bidi="ar-SA"/>
              </w:rPr>
            </w:pPr>
            <w:r>
              <w:rPr>
                <w:rFonts w:hint="eastAsia"/>
              </w:rPr>
              <w:t>目前企业无变更情况。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2160" w:type="dxa"/>
            <w:vAlign w:val="top"/>
          </w:tcPr>
          <w:p>
            <w:pPr>
              <w:spacing w:line="360" w:lineRule="auto"/>
              <w:rPr>
                <w:rFonts w:hint="eastAsia" w:ascii="Times New Roman" w:hAnsi="Times New Roman" w:eastAsia="宋体" w:cs="Times New Roman"/>
                <w:kern w:val="2"/>
                <w:sz w:val="21"/>
                <w:lang w:val="en-US" w:eastAsia="zh-CN" w:bidi="ar-SA"/>
              </w:rPr>
            </w:pPr>
            <w:r>
              <w:rPr>
                <w:rFonts w:hint="eastAsia"/>
              </w:rPr>
              <w:t>资源总则</w:t>
            </w:r>
          </w:p>
        </w:tc>
        <w:tc>
          <w:tcPr>
            <w:tcW w:w="960" w:type="dxa"/>
            <w:vAlign w:val="top"/>
          </w:tcPr>
          <w:p>
            <w:pPr>
              <w:spacing w:line="360" w:lineRule="auto"/>
              <w:rPr>
                <w:rFonts w:ascii="Times New Roman" w:hAnsi="Times New Roman" w:eastAsia="宋体" w:cs="Times New Roman"/>
                <w:kern w:val="2"/>
                <w:sz w:val="21"/>
                <w:lang w:val="en-US" w:eastAsia="zh-CN" w:bidi="ar-SA"/>
              </w:rPr>
            </w:pPr>
            <w:r>
              <w:t>7.1.1</w:t>
            </w:r>
          </w:p>
        </w:tc>
        <w:tc>
          <w:tcPr>
            <w:tcW w:w="10004" w:type="dxa"/>
            <w:vAlign w:val="top"/>
          </w:tcPr>
          <w:p>
            <w:pPr>
              <w:spacing w:line="360" w:lineRule="auto"/>
            </w:pPr>
            <w:r>
              <w:rPr>
                <w:rFonts w:hint="eastAsia"/>
              </w:rPr>
              <w:t>查问总经理，公司运行质量管理体系在策划资源需求。</w:t>
            </w:r>
          </w:p>
          <w:p>
            <w:pPr>
              <w:spacing w:line="360" w:lineRule="auto"/>
              <w:rPr>
                <w:rFonts w:hint="eastAsia" w:ascii="Times New Roman" w:hAnsi="Times New Roman" w:eastAsia="宋体" w:cs="Times New Roman"/>
                <w:kern w:val="2"/>
                <w:sz w:val="21"/>
                <w:lang w:val="en-US" w:eastAsia="zh-CN" w:bidi="ar-SA"/>
              </w:rPr>
            </w:pPr>
            <w:r>
              <w:rPr>
                <w:rFonts w:hint="eastAsia"/>
              </w:rPr>
              <w:t>在提供资源方面充分考虑了内部资源的实际情况，存在的不足将通过从外部引进相应的人力、硬件等资源进行补充。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2160" w:type="dxa"/>
            <w:vAlign w:val="top"/>
          </w:tcPr>
          <w:p>
            <w:pPr>
              <w:spacing w:line="360" w:lineRule="auto"/>
              <w:rPr>
                <w:rFonts w:hint="eastAsia"/>
              </w:rPr>
            </w:pPr>
          </w:p>
          <w:p>
            <w:pPr>
              <w:spacing w:line="360" w:lineRule="auto"/>
              <w:rPr>
                <w:rFonts w:hint="eastAsia" w:ascii="Times New Roman" w:hAnsi="Times New Roman" w:eastAsia="宋体" w:cs="Times New Roman"/>
                <w:kern w:val="2"/>
                <w:sz w:val="21"/>
                <w:lang w:val="en-US" w:eastAsia="zh-CN" w:bidi="ar-SA"/>
              </w:rPr>
            </w:pPr>
            <w:r>
              <w:rPr>
                <w:rFonts w:hint="eastAsia"/>
              </w:rPr>
              <w:t>沟通</w:t>
            </w:r>
          </w:p>
        </w:tc>
        <w:tc>
          <w:tcPr>
            <w:tcW w:w="960" w:type="dxa"/>
            <w:vAlign w:val="top"/>
          </w:tcPr>
          <w:p>
            <w:pPr>
              <w:spacing w:line="360" w:lineRule="auto"/>
              <w:rPr>
                <w:rFonts w:hint="eastAsia"/>
              </w:rPr>
            </w:pPr>
          </w:p>
          <w:p>
            <w:pPr>
              <w:spacing w:line="360" w:lineRule="auto"/>
              <w:rPr>
                <w:rFonts w:ascii="Times New Roman" w:hAnsi="Times New Roman" w:eastAsia="宋体" w:cs="Times New Roman"/>
                <w:kern w:val="2"/>
                <w:sz w:val="21"/>
                <w:lang w:val="en-US" w:eastAsia="zh-CN" w:bidi="ar-SA"/>
              </w:rPr>
            </w:pPr>
            <w:r>
              <w:rPr>
                <w:rFonts w:hint="eastAsia"/>
              </w:rPr>
              <w:t>7.4</w:t>
            </w:r>
          </w:p>
        </w:tc>
        <w:tc>
          <w:tcPr>
            <w:tcW w:w="10004" w:type="dxa"/>
            <w:vAlign w:val="top"/>
          </w:tcPr>
          <w:p>
            <w:pPr>
              <w:spacing w:line="360" w:lineRule="auto"/>
            </w:pPr>
            <w:r>
              <w:rPr>
                <w:rFonts w:hint="eastAsia"/>
              </w:rPr>
              <w:t>在公司内部主要采用口头、电话、会议、面谈等形式就与产品质量、服务有关问题及与质量管理体系有关问题进行沟通，基本有效。未发生由于沟通不到位而影响工作的情况。</w:t>
            </w:r>
          </w:p>
          <w:p>
            <w:pPr>
              <w:spacing w:line="360" w:lineRule="auto"/>
            </w:pPr>
            <w:r>
              <w:rPr>
                <w:rFonts w:hint="eastAsia"/>
              </w:rPr>
              <w:t>相关方的沟通主要体现在和顾客的沟通方面，经常性的对顾客进行走访，了解顾客的意见。</w:t>
            </w:r>
          </w:p>
          <w:p>
            <w:pPr>
              <w:spacing w:line="360" w:lineRule="auto"/>
            </w:pPr>
            <w:r>
              <w:rPr>
                <w:rFonts w:hint="eastAsia"/>
              </w:rPr>
              <w:t>售前：走访用户、电话沟通、了解相关信息等，与顾客签订合同或订单，或接受顾客口头订单。</w:t>
            </w:r>
          </w:p>
          <w:p>
            <w:pPr>
              <w:spacing w:line="360" w:lineRule="auto"/>
            </w:pPr>
            <w:r>
              <w:rPr>
                <w:rFonts w:hint="eastAsia"/>
              </w:rPr>
              <w:t>售中：组织供方按期交付，解决用户对进度、质量、运输等关切问题；</w:t>
            </w:r>
          </w:p>
          <w:p>
            <w:pPr>
              <w:spacing w:line="360" w:lineRule="auto"/>
            </w:pPr>
            <w:r>
              <w:rPr>
                <w:rFonts w:hint="eastAsia"/>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pPr>
            <w:r>
              <w:rPr>
                <w:rFonts w:hint="eastAsia"/>
              </w:rPr>
              <w:t>对顾客一般提出的问题，由售后人员负责解决，或公司派人到现场去查看，确属公司产品质量问题的，给与处理，采取退、换措施。</w:t>
            </w:r>
          </w:p>
          <w:p>
            <w:pPr>
              <w:spacing w:line="360" w:lineRule="auto"/>
              <w:rPr>
                <w:rFonts w:hint="eastAsia" w:ascii="Times New Roman" w:hAnsi="Times New Roman" w:eastAsia="宋体" w:cs="Times New Roman"/>
                <w:kern w:val="2"/>
                <w:sz w:val="21"/>
                <w:lang w:val="en-US" w:eastAsia="zh-CN" w:bidi="ar-SA"/>
              </w:rPr>
            </w:pPr>
            <w:r>
              <w:rPr>
                <w:rFonts w:hint="eastAsia"/>
              </w:rPr>
              <w:t>自体系运行以来，没有发生严重的顾客投诉事件。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2160" w:type="dxa"/>
            <w:vAlign w:val="top"/>
          </w:tcPr>
          <w:p>
            <w:pPr>
              <w:spacing w:line="360" w:lineRule="auto"/>
              <w:rPr>
                <w:rFonts w:hint="eastAsia"/>
              </w:rPr>
            </w:pPr>
          </w:p>
          <w:p>
            <w:pPr>
              <w:spacing w:line="360" w:lineRule="auto"/>
            </w:pPr>
            <w:r>
              <w:rPr>
                <w:rFonts w:hint="eastAsia"/>
              </w:rPr>
              <w:t>监测总则</w:t>
            </w:r>
          </w:p>
          <w:p>
            <w:pPr>
              <w:spacing w:line="360" w:lineRule="auto"/>
              <w:rPr>
                <w:rFonts w:hint="eastAsia" w:ascii="Times New Roman" w:hAnsi="Times New Roman" w:eastAsia="宋体" w:cs="Times New Roman"/>
                <w:kern w:val="2"/>
                <w:sz w:val="21"/>
                <w:lang w:val="en-US" w:eastAsia="zh-CN" w:bidi="ar-SA"/>
              </w:rPr>
            </w:pPr>
            <w:r>
              <w:rPr>
                <w:rFonts w:hint="eastAsia"/>
              </w:rPr>
              <w:t>分析与评价</w:t>
            </w:r>
          </w:p>
        </w:tc>
        <w:tc>
          <w:tcPr>
            <w:tcW w:w="960" w:type="dxa"/>
            <w:vAlign w:val="top"/>
          </w:tcPr>
          <w:p>
            <w:pPr>
              <w:spacing w:line="360" w:lineRule="auto"/>
            </w:pPr>
          </w:p>
          <w:p>
            <w:pPr>
              <w:spacing w:line="360" w:lineRule="auto"/>
              <w:rPr>
                <w:rFonts w:hint="eastAsia" w:ascii="Times New Roman" w:hAnsi="Times New Roman" w:eastAsia="宋体" w:cs="Times New Roman"/>
                <w:kern w:val="2"/>
                <w:sz w:val="21"/>
                <w:lang w:val="en-US" w:eastAsia="zh-CN" w:bidi="ar-SA"/>
              </w:rPr>
            </w:pPr>
            <w:r>
              <w:t>9.1.1</w:t>
            </w:r>
          </w:p>
        </w:tc>
        <w:tc>
          <w:tcPr>
            <w:tcW w:w="10004" w:type="dxa"/>
            <w:vAlign w:val="top"/>
          </w:tcPr>
          <w:p>
            <w:pPr>
              <w:spacing w:line="360" w:lineRule="auto"/>
              <w:ind w:firstLine="420" w:firstLineChars="200"/>
            </w:pPr>
            <w:r>
              <w:rPr>
                <w:rFonts w:hint="eastAsia"/>
              </w:rPr>
              <w:t>公司通过质量目标考核、内审、管理评审等对体系的有效性进行评价。</w:t>
            </w:r>
          </w:p>
          <w:p>
            <w:pPr>
              <w:spacing w:line="360" w:lineRule="auto"/>
            </w:pPr>
            <w:r>
              <w:t>1</w:t>
            </w:r>
            <w:r>
              <w:rPr>
                <w:rFonts w:hint="eastAsia"/>
              </w:rPr>
              <w:t>）提供了顾客满意调查表，并进行了分析。</w:t>
            </w:r>
          </w:p>
          <w:p>
            <w:pPr>
              <w:spacing w:line="360" w:lineRule="auto"/>
            </w:pPr>
            <w:r>
              <w:t>2</w:t>
            </w:r>
            <w:r>
              <w:rPr>
                <w:rFonts w:hint="eastAsia"/>
              </w:rPr>
              <w:t>）对过程产品质量进行了统计分析。</w:t>
            </w:r>
          </w:p>
          <w:p>
            <w:pPr>
              <w:spacing w:line="360" w:lineRule="auto"/>
            </w:pPr>
            <w:r>
              <w:t>3</w:t>
            </w:r>
            <w:r>
              <w:rPr>
                <w:rFonts w:hint="eastAsia"/>
              </w:rPr>
              <w:t>）对采购物资进行验证。根据验收结果，证明供方提供的产品质量是稳定的</w:t>
            </w:r>
            <w:r>
              <w:t>.</w:t>
            </w:r>
            <w:r>
              <w:rPr>
                <w:rFonts w:hint="eastAsia"/>
              </w:rPr>
              <w:t>。</w:t>
            </w:r>
          </w:p>
          <w:p>
            <w:pPr>
              <w:spacing w:line="360" w:lineRule="auto"/>
            </w:pPr>
            <w:r>
              <w:t>4</w:t>
            </w:r>
            <w:r>
              <w:rPr>
                <w:rFonts w:hint="eastAsia"/>
              </w:rPr>
              <w:t>）通过内审中发现的不符合，确定改进措施并实施。</w:t>
            </w:r>
          </w:p>
          <w:p>
            <w:pPr>
              <w:spacing w:line="360" w:lineRule="auto"/>
              <w:rPr>
                <w:rFonts w:hint="eastAsia" w:ascii="Times New Roman" w:hAnsi="Times New Roman" w:eastAsia="宋体" w:cs="Times New Roman"/>
                <w:kern w:val="2"/>
                <w:sz w:val="21"/>
                <w:lang w:val="en-US" w:eastAsia="zh-CN" w:bidi="ar-SA"/>
              </w:rPr>
            </w:pPr>
            <w:r>
              <w:t>5</w:t>
            </w:r>
            <w:r>
              <w:rPr>
                <w:rFonts w:hint="eastAsia"/>
              </w:rPr>
              <w:t>）通过管理评审，提出改进措施，以便发现改进方向。</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2160" w:type="dxa"/>
            <w:vAlign w:val="top"/>
          </w:tcPr>
          <w:p>
            <w:pPr>
              <w:spacing w:line="360" w:lineRule="auto"/>
              <w:rPr>
                <w:rFonts w:hint="eastAsia"/>
              </w:rPr>
            </w:pPr>
          </w:p>
          <w:p>
            <w:pPr>
              <w:spacing w:line="360" w:lineRule="auto"/>
              <w:ind w:firstLine="210" w:firstLineChars="100"/>
              <w:rPr>
                <w:rFonts w:hint="eastAsia" w:ascii="Times New Roman" w:hAnsi="Times New Roman" w:eastAsia="宋体" w:cs="Times New Roman"/>
                <w:kern w:val="2"/>
                <w:sz w:val="21"/>
                <w:lang w:val="en-US" w:eastAsia="zh-CN" w:bidi="ar-SA"/>
              </w:rPr>
            </w:pPr>
            <w:r>
              <w:rPr>
                <w:rFonts w:hint="eastAsia"/>
              </w:rPr>
              <w:t>管理评审</w:t>
            </w:r>
          </w:p>
        </w:tc>
        <w:tc>
          <w:tcPr>
            <w:tcW w:w="960" w:type="dxa"/>
            <w:vAlign w:val="top"/>
          </w:tcPr>
          <w:p>
            <w:pPr>
              <w:spacing w:line="360" w:lineRule="auto"/>
            </w:pPr>
          </w:p>
          <w:p>
            <w:pPr>
              <w:spacing w:line="360" w:lineRule="auto"/>
              <w:rPr>
                <w:rFonts w:ascii="Times New Roman" w:hAnsi="Times New Roman" w:eastAsia="宋体" w:cs="Times New Roman"/>
                <w:kern w:val="2"/>
                <w:sz w:val="21"/>
                <w:lang w:val="en-US" w:eastAsia="zh-CN" w:bidi="ar-SA"/>
              </w:rPr>
            </w:pPr>
            <w:r>
              <w:t>9.3</w:t>
            </w:r>
          </w:p>
        </w:tc>
        <w:tc>
          <w:tcPr>
            <w:tcW w:w="10004" w:type="dxa"/>
            <w:vAlign w:val="top"/>
          </w:tcPr>
          <w:p>
            <w:pPr>
              <w:spacing w:line="360" w:lineRule="auto"/>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pPr>
            <w:r>
              <w:rPr>
                <w:rFonts w:hint="eastAsia"/>
              </w:rPr>
              <w:t>总经理组织于2020年</w:t>
            </w:r>
            <w:r>
              <w:rPr>
                <w:rFonts w:hint="eastAsia"/>
                <w:lang w:val="en-US" w:eastAsia="zh-CN"/>
              </w:rPr>
              <w:t>7</w:t>
            </w:r>
            <w:r>
              <w:rPr>
                <w:rFonts w:hint="eastAsia"/>
              </w:rPr>
              <w:t>月</w:t>
            </w:r>
            <w:r>
              <w:rPr>
                <w:rFonts w:hint="eastAsia"/>
                <w:lang w:val="en-US" w:eastAsia="zh-CN"/>
              </w:rPr>
              <w:t>20日</w:t>
            </w:r>
            <w:r>
              <w:rPr>
                <w:rFonts w:hint="eastAsia"/>
              </w:rPr>
              <w:t>组织进行了管理评审。</w:t>
            </w:r>
          </w:p>
          <w:p>
            <w:pPr>
              <w:spacing w:line="360" w:lineRule="auto"/>
              <w:ind w:firstLine="420" w:firstLineChars="200"/>
            </w:pPr>
            <w:r>
              <w:rPr>
                <w:rFonts w:hint="eastAsia"/>
              </w:rPr>
              <w:t>查《管理评审计划》确定了评审时间、地点、参加人员。规定了评审目的，提出了评审准备工作要求，评审以会议的方式进行，总经理批准。</w:t>
            </w:r>
          </w:p>
          <w:p>
            <w:pPr>
              <w:spacing w:line="360" w:lineRule="auto"/>
              <w:ind w:firstLine="420" w:firstLineChars="200"/>
            </w:pPr>
            <w:r>
              <w:rPr>
                <w:rFonts w:hint="eastAsia"/>
              </w:rPr>
              <w:t>管理评审输入由管代和各部门收集并提供相关材料，内容基本涵盖：质量方针和目标及实施情况、质量目标的实现程度、体系策划和运行情况、可能的变更、外部供方的绩效、内审情况、顾客满意情况及纠正措施完成情况，应对风险和机遇所采取措施的有效性以及改进的建议等等。</w:t>
            </w:r>
          </w:p>
          <w:p>
            <w:pPr>
              <w:spacing w:line="360" w:lineRule="auto"/>
            </w:pPr>
            <w:r>
              <w:rPr>
                <w:rFonts w:hint="eastAsia"/>
              </w:rPr>
              <w:t>提供《管理评审报告》，对评审情况进行了总结，各部门对各过程和活动进行了总结和讨论。</w:t>
            </w:r>
          </w:p>
          <w:p>
            <w:pPr>
              <w:spacing w:line="360" w:lineRule="auto"/>
            </w:pPr>
            <w:r>
              <w:rPr>
                <w:rFonts w:hint="eastAsia"/>
              </w:rPr>
              <w:t>评审结论：</w:t>
            </w:r>
            <w:r>
              <w:rPr>
                <w:rFonts w:hint="eastAsia"/>
                <w:szCs w:val="21"/>
              </w:rPr>
              <w:t>自体系建立以来，</w:t>
            </w:r>
            <w:r>
              <w:rPr>
                <w:rFonts w:hint="eastAsia"/>
              </w:rPr>
              <w:t>质量体系基本是适宜、充分和有效的，基本上达到了预期的效果，具有自我完善的能力，质量管理体系的过程基本上包含了公司质量管理的方方面面，质量方针和质量目标也是适宜的，产品质量在逐步提高，产品一次交验率到达98%，顾客满意度达到95%，顾客反馈信息及时处理率达到100%，人力资源和设备的配备基本上能满足产品要求</w:t>
            </w:r>
            <w:r>
              <w:t>,</w:t>
            </w:r>
            <w:r>
              <w:rPr>
                <w:rFonts w:hint="eastAsia"/>
              </w:rPr>
              <w:t>在人力资源管理方面还需加强。</w:t>
            </w:r>
          </w:p>
          <w:p>
            <w:pPr>
              <w:spacing w:line="360" w:lineRule="auto"/>
            </w:pPr>
            <w:r>
              <w:rPr>
                <w:rFonts w:hint="eastAsia"/>
              </w:rPr>
              <w:t>改进措施：</w:t>
            </w:r>
          </w:p>
          <w:p>
            <w:pPr>
              <w:spacing w:line="360" w:lineRule="auto"/>
              <w:ind w:left="149" w:leftChars="71" w:firstLine="210" w:firstLineChars="100"/>
              <w:rPr>
                <w:rFonts w:ascii="Times New Roman" w:hAnsi="Times New Roman" w:eastAsia="宋体" w:cs="Times New Roman"/>
                <w:kern w:val="2"/>
                <w:sz w:val="21"/>
                <w:lang w:val="en-US" w:eastAsia="zh-CN" w:bidi="ar-SA"/>
              </w:rPr>
            </w:pPr>
            <w:r>
              <w:rPr>
                <w:rFonts w:hint="eastAsia"/>
              </w:rPr>
              <w:t>进一步加强全员学习，提高员工素质，重点是加强对GB/T19001-2016标准学习,提高意识,并正确应运于实际工作中。</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2160" w:type="dxa"/>
            <w:vAlign w:val="top"/>
          </w:tcPr>
          <w:p>
            <w:pPr>
              <w:spacing w:line="360" w:lineRule="auto"/>
              <w:rPr>
                <w:rFonts w:hint="eastAsia" w:ascii="Times New Roman" w:hAnsi="Times New Roman" w:eastAsia="宋体" w:cs="Times New Roman"/>
                <w:kern w:val="2"/>
                <w:sz w:val="21"/>
                <w:lang w:val="en-US" w:eastAsia="zh-CN" w:bidi="ar-SA"/>
              </w:rPr>
            </w:pPr>
            <w:r>
              <w:rPr>
                <w:rFonts w:hint="eastAsia"/>
              </w:rPr>
              <w:t>改进总则</w:t>
            </w:r>
          </w:p>
        </w:tc>
        <w:tc>
          <w:tcPr>
            <w:tcW w:w="960" w:type="dxa"/>
            <w:vAlign w:val="top"/>
          </w:tcPr>
          <w:p>
            <w:pPr>
              <w:spacing w:line="360" w:lineRule="auto"/>
              <w:rPr>
                <w:rFonts w:ascii="Times New Roman" w:hAnsi="Times New Roman" w:eastAsia="宋体" w:cs="Times New Roman"/>
                <w:kern w:val="2"/>
                <w:sz w:val="21"/>
                <w:lang w:val="en-US" w:eastAsia="zh-CN" w:bidi="ar-SA"/>
              </w:rPr>
            </w:pPr>
            <w:r>
              <w:t>10.1</w:t>
            </w:r>
          </w:p>
        </w:tc>
        <w:tc>
          <w:tcPr>
            <w:tcW w:w="10004" w:type="dxa"/>
            <w:vAlign w:val="top"/>
          </w:tcPr>
          <w:p>
            <w:pPr>
              <w:spacing w:line="360" w:lineRule="auto"/>
              <w:ind w:firstLine="420" w:firstLineChars="200"/>
            </w:pPr>
            <w:r>
              <w:rPr>
                <w:rFonts w:hint="eastAsia"/>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spacing w:line="360" w:lineRule="auto"/>
            </w:pPr>
            <w:r>
              <w:rPr>
                <w:rFonts w:hint="eastAsia"/>
              </w:rPr>
              <w:t>企业有充分识别和评价存在的改进机会，以持续满足顾客和相关方要求改进的方法措施包括：</w:t>
            </w:r>
          </w:p>
          <w:p>
            <w:pPr>
              <w:spacing w:line="360" w:lineRule="auto"/>
            </w:pPr>
            <w:r>
              <w:t>1</w:t>
            </w:r>
            <w:r>
              <w:rPr>
                <w:rFonts w:hint="eastAsia"/>
              </w:rPr>
              <w:t>）引导创新、修改和改进现有过程或实施新过程的突破项目；</w:t>
            </w:r>
          </w:p>
          <w:p>
            <w:pPr>
              <w:spacing w:line="360" w:lineRule="auto"/>
            </w:pPr>
            <w:r>
              <w:t>2</w:t>
            </w:r>
            <w:r>
              <w:rPr>
                <w:rFonts w:hint="eastAsia"/>
              </w:rPr>
              <w:t>）在现有过程中开展渐进、持续的改进活动；</w:t>
            </w:r>
          </w:p>
          <w:p>
            <w:pPr>
              <w:spacing w:line="360" w:lineRule="auto"/>
              <w:rPr>
                <w:rFonts w:hint="eastAsia" w:ascii="Times New Roman" w:hAnsi="Times New Roman" w:eastAsia="宋体" w:cs="Times New Roman"/>
                <w:kern w:val="2"/>
                <w:sz w:val="21"/>
                <w:lang w:val="en-US" w:eastAsia="zh-CN" w:bidi="ar-SA"/>
              </w:rPr>
            </w:pPr>
            <w:r>
              <w:t>3</w:t>
            </w:r>
            <w:r>
              <w:rPr>
                <w:rFonts w:hint="eastAsia"/>
              </w:rPr>
              <w:t>）纠正所存在不符合的原因等。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2160" w:type="dxa"/>
            <w:vAlign w:val="top"/>
          </w:tcPr>
          <w:p>
            <w:pPr>
              <w:spacing w:line="360" w:lineRule="auto"/>
              <w:rPr>
                <w:rFonts w:hint="eastAsia" w:ascii="Times New Roman" w:hAnsi="Times New Roman" w:eastAsia="宋体" w:cs="Times New Roman"/>
                <w:kern w:val="2"/>
                <w:sz w:val="21"/>
                <w:lang w:val="en-US" w:eastAsia="zh-CN" w:bidi="ar-SA"/>
              </w:rPr>
            </w:pPr>
            <w:r>
              <w:rPr>
                <w:rFonts w:hint="eastAsia"/>
              </w:rPr>
              <w:t>改进</w:t>
            </w:r>
          </w:p>
        </w:tc>
        <w:tc>
          <w:tcPr>
            <w:tcW w:w="960" w:type="dxa"/>
            <w:vAlign w:val="top"/>
          </w:tcPr>
          <w:p>
            <w:pPr>
              <w:spacing w:line="360" w:lineRule="auto"/>
              <w:rPr>
                <w:rFonts w:ascii="Times New Roman" w:hAnsi="Times New Roman" w:eastAsia="宋体" w:cs="Times New Roman"/>
                <w:kern w:val="2"/>
                <w:sz w:val="21"/>
                <w:lang w:val="en-US" w:eastAsia="zh-CN" w:bidi="ar-SA"/>
              </w:rPr>
            </w:pPr>
            <w:r>
              <w:t>10.3</w:t>
            </w:r>
          </w:p>
        </w:tc>
        <w:tc>
          <w:tcPr>
            <w:tcW w:w="10004" w:type="dxa"/>
            <w:vAlign w:val="top"/>
          </w:tcPr>
          <w:p>
            <w:pPr>
              <w:spacing w:line="360" w:lineRule="auto"/>
              <w:ind w:firstLine="420" w:firstLineChars="200"/>
            </w:pPr>
            <w:r>
              <w:rPr>
                <w:rFonts w:hint="eastAsia"/>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p>
          <w:p>
            <w:pPr>
              <w:spacing w:line="360" w:lineRule="auto"/>
              <w:rPr>
                <w:rFonts w:ascii="Times New Roman" w:hAnsi="Times New Roman" w:eastAsia="宋体" w:cs="Times New Roman"/>
                <w:kern w:val="2"/>
                <w:sz w:val="21"/>
                <w:lang w:val="en-US" w:eastAsia="zh-CN" w:bidi="ar-SA"/>
              </w:rPr>
            </w:pPr>
            <w:r>
              <w:rPr>
                <w:rFonts w:hint="eastAsia"/>
              </w:rPr>
              <w:t>日常监视和测量过程中发现的不合格、不符合要求相关责任部门及时制定相应的改进、纠正和纠正措施，以实管理体系的持续改进。</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2160" w:type="dxa"/>
            <w:vAlign w:val="top"/>
          </w:tcPr>
          <w:p>
            <w:pPr>
              <w:spacing w:line="360" w:lineRule="auto"/>
              <w:rPr>
                <w:rFonts w:hint="eastAsia" w:cs="Times New Roman" w:asciiTheme="minorEastAsia" w:hAnsiTheme="minorEastAsia" w:eastAsiaTheme="minorEastAsia"/>
                <w:color w:val="000000" w:themeColor="text1"/>
                <w:kern w:val="2"/>
                <w:sz w:val="21"/>
                <w:szCs w:val="24"/>
                <w:lang w:val="en-US" w:eastAsia="zh-CN" w:bidi="ar-SA"/>
              </w:rPr>
            </w:pPr>
            <w:r>
              <w:rPr>
                <w:rFonts w:hint="eastAsia" w:asciiTheme="minorEastAsia" w:hAnsiTheme="minorEastAsia" w:eastAsiaTheme="minorEastAsia"/>
                <w:color w:val="000000" w:themeColor="text1"/>
                <w:szCs w:val="24"/>
              </w:rPr>
              <w:t>国家/地方抽查、顾客满意、相关方投诉处理</w:t>
            </w:r>
          </w:p>
        </w:tc>
        <w:tc>
          <w:tcPr>
            <w:tcW w:w="960" w:type="dxa"/>
            <w:vAlign w:val="top"/>
          </w:tcPr>
          <w:p>
            <w:pPr>
              <w:spacing w:line="360" w:lineRule="auto"/>
              <w:ind w:firstLine="420" w:firstLineChars="200"/>
              <w:rPr>
                <w:rFonts w:hint="eastAsia" w:cs="Times New Roman" w:asciiTheme="minorEastAsia" w:hAnsiTheme="minorEastAsia" w:eastAsiaTheme="minorEastAsia"/>
                <w:color w:val="000000" w:themeColor="text1"/>
                <w:kern w:val="2"/>
                <w:sz w:val="21"/>
                <w:szCs w:val="24"/>
                <w:lang w:val="en-US" w:eastAsia="zh-CN" w:bidi="ar-SA"/>
              </w:rPr>
            </w:pPr>
          </w:p>
        </w:tc>
        <w:tc>
          <w:tcPr>
            <w:tcW w:w="10004" w:type="dxa"/>
            <w:vAlign w:val="top"/>
          </w:tcPr>
          <w:p>
            <w:pPr>
              <w:spacing w:line="360" w:lineRule="auto"/>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自公司成立以来，未受到上级主管部门有关环境问题的行政处罚。未发生相关方的投诉。</w:t>
            </w:r>
          </w:p>
          <w:p>
            <w:pPr>
              <w:spacing w:line="360" w:lineRule="auto"/>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暂没有国家/地方抽查情况。</w:t>
            </w:r>
          </w:p>
          <w:p>
            <w:pPr>
              <w:spacing w:line="360" w:lineRule="auto"/>
              <w:rPr>
                <w:rFonts w:hint="eastAsia" w:cs="Times New Roman" w:asciiTheme="minorEastAsia" w:hAnsiTheme="minorEastAsia" w:eastAsiaTheme="minorEastAsia"/>
                <w:color w:val="000000" w:themeColor="text1"/>
                <w:kern w:val="2"/>
                <w:sz w:val="21"/>
                <w:szCs w:val="24"/>
                <w:lang w:val="en-US" w:eastAsia="zh-CN" w:bidi="ar-SA"/>
              </w:rPr>
            </w:pPr>
            <w:r>
              <w:rPr>
                <w:rFonts w:hint="eastAsia" w:asciiTheme="minorEastAsia" w:hAnsiTheme="minorEastAsia" w:eastAsiaTheme="minorEastAsia"/>
                <w:color w:val="000000" w:themeColor="text1"/>
                <w:szCs w:val="24"/>
              </w:rPr>
              <w:t>目前没有相关行政主管部门的检查处罚，在审核时也未发现抽查、相关方投诉等情况。</w:t>
            </w:r>
          </w:p>
        </w:tc>
        <w:tc>
          <w:tcPr>
            <w:tcW w:w="1585" w:type="dxa"/>
            <w:vAlign w:val="top"/>
          </w:tcPr>
          <w:p>
            <w:pPr>
              <w:rPr>
                <w:rFonts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160" w:type="dxa"/>
            <w:vAlign w:val="top"/>
          </w:tcPr>
          <w:p>
            <w:pPr>
              <w:spacing w:line="360" w:lineRule="auto"/>
              <w:ind w:firstLine="420" w:firstLineChars="200"/>
              <w:rPr>
                <w:rFonts w:hint="eastAsia" w:cs="Times New Roman" w:asciiTheme="minorEastAsia" w:hAnsiTheme="minorEastAsia" w:eastAsiaTheme="minorEastAsia"/>
                <w:color w:val="000000" w:themeColor="text1"/>
                <w:kern w:val="2"/>
                <w:sz w:val="21"/>
                <w:szCs w:val="24"/>
                <w:lang w:val="en-US" w:eastAsia="zh-CN" w:bidi="ar-SA"/>
              </w:rPr>
            </w:pPr>
            <w:r>
              <w:rPr>
                <w:rFonts w:hint="eastAsia" w:asciiTheme="minorEastAsia" w:hAnsiTheme="minorEastAsia" w:eastAsiaTheme="minorEastAsia"/>
                <w:color w:val="000000" w:themeColor="text1"/>
                <w:szCs w:val="24"/>
              </w:rPr>
              <w:t>验证资质</w:t>
            </w:r>
          </w:p>
        </w:tc>
        <w:tc>
          <w:tcPr>
            <w:tcW w:w="960" w:type="dxa"/>
            <w:vAlign w:val="top"/>
          </w:tcPr>
          <w:p>
            <w:pPr>
              <w:spacing w:line="360" w:lineRule="auto"/>
              <w:ind w:firstLine="420" w:firstLineChars="200"/>
              <w:rPr>
                <w:rFonts w:cs="Times New Roman" w:asciiTheme="minorEastAsia" w:hAnsiTheme="minorEastAsia" w:eastAsiaTheme="minorEastAsia"/>
                <w:color w:val="000000" w:themeColor="text1"/>
                <w:kern w:val="2"/>
                <w:sz w:val="21"/>
                <w:szCs w:val="24"/>
                <w:lang w:val="en-US" w:eastAsia="zh-CN" w:bidi="ar-SA"/>
              </w:rPr>
            </w:pPr>
          </w:p>
        </w:tc>
        <w:tc>
          <w:tcPr>
            <w:tcW w:w="10004" w:type="dxa"/>
            <w:vAlign w:val="top"/>
          </w:tcPr>
          <w:p>
            <w:pPr>
              <w:spacing w:line="360" w:lineRule="auto"/>
              <w:rPr>
                <w:rFonts w:hint="eastAsia" w:cs="Times New Roman" w:asciiTheme="minorEastAsia" w:hAnsiTheme="minorEastAsia" w:eastAsiaTheme="minorEastAsia"/>
                <w:color w:val="000000" w:themeColor="text1"/>
                <w:kern w:val="2"/>
                <w:sz w:val="21"/>
                <w:szCs w:val="24"/>
                <w:lang w:val="en-US" w:eastAsia="zh-CN" w:bidi="ar-SA"/>
              </w:rPr>
            </w:pPr>
            <w:r>
              <w:rPr>
                <w:rFonts w:hint="eastAsia" w:asciiTheme="minorEastAsia" w:hAnsiTheme="minorEastAsia" w:eastAsiaTheme="minorEastAsia"/>
                <w:color w:val="000000" w:themeColor="text1"/>
                <w:szCs w:val="24"/>
              </w:rPr>
              <w:t>提供了组织营业执照均为有效。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2160" w:type="dxa"/>
            <w:vAlign w:val="top"/>
          </w:tcPr>
          <w:p>
            <w:pPr>
              <w:rPr>
                <w:rFonts w:hint="eastAsia" w:ascii="宋体" w:hAnsi="宋体" w:eastAsia="宋体" w:cs="Times New Roman"/>
                <w:color w:val="000000" w:themeColor="text1"/>
                <w:kern w:val="2"/>
                <w:sz w:val="21"/>
                <w:szCs w:val="21"/>
                <w:lang w:val="en-US" w:eastAsia="zh-CN" w:bidi="ar-SA"/>
              </w:rPr>
            </w:pPr>
            <w:r>
              <w:rPr>
                <w:rFonts w:hint="eastAsia" w:ascii="宋体" w:hAnsi="宋体"/>
                <w:color w:val="000000" w:themeColor="text1"/>
                <w:szCs w:val="21"/>
              </w:rPr>
              <w:t>上次问题验证</w:t>
            </w:r>
          </w:p>
        </w:tc>
        <w:tc>
          <w:tcPr>
            <w:tcW w:w="960" w:type="dxa"/>
            <w:vAlign w:val="top"/>
          </w:tcPr>
          <w:p>
            <w:pPr>
              <w:rPr>
                <w:rFonts w:ascii="宋体" w:hAnsi="宋体" w:eastAsia="宋体" w:cs="Times New Roman"/>
                <w:color w:val="000000" w:themeColor="text1"/>
                <w:kern w:val="2"/>
                <w:sz w:val="21"/>
                <w:szCs w:val="21"/>
                <w:lang w:val="en-US" w:eastAsia="zh-CN" w:bidi="ar-SA"/>
              </w:rPr>
            </w:pPr>
          </w:p>
        </w:tc>
        <w:tc>
          <w:tcPr>
            <w:tcW w:w="10004" w:type="dxa"/>
            <w:vAlign w:val="top"/>
          </w:tcPr>
          <w:p>
            <w:pPr>
              <w:rPr>
                <w:rFonts w:hint="eastAsia" w:ascii="宋体" w:hAnsi="宋体" w:eastAsia="宋体" w:cs="Times New Roman"/>
                <w:color w:val="000000" w:themeColor="text1"/>
                <w:kern w:val="2"/>
                <w:sz w:val="21"/>
                <w:szCs w:val="21"/>
                <w:lang w:val="en-US" w:eastAsia="zh-CN" w:bidi="ar-SA"/>
              </w:rPr>
            </w:pPr>
            <w:r>
              <w:rPr>
                <w:rFonts w:hint="eastAsia" w:ascii="宋体" w:hAnsi="宋体"/>
                <w:color w:val="000000" w:themeColor="text1"/>
                <w:szCs w:val="21"/>
              </w:rPr>
              <w:t>一阶段审核时发现的问题，经验证已关闭，整改措施有效。</w:t>
            </w:r>
          </w:p>
        </w:tc>
        <w:tc>
          <w:tcPr>
            <w:tcW w:w="1585" w:type="dxa"/>
          </w:tcPr>
          <w:p/>
        </w:tc>
      </w:tr>
    </w:tbl>
    <w:p>
      <w:r>
        <w:ptab w:relativeTo="margin" w:alignment="center" w:leader="none"/>
      </w:r>
    </w:p>
    <w:p>
      <w:pPr>
        <w:pStyle w:val="6"/>
        <w:rPr>
          <w:rFonts w:hint="eastAsia"/>
        </w:rPr>
      </w:pPr>
      <w:r>
        <w:rPr>
          <w:rFonts w:hint="eastAsia"/>
        </w:rPr>
        <w:t>说明：不符合标注N</w:t>
      </w:r>
    </w:p>
    <w:p>
      <w:pPr>
        <w:spacing w:line="480" w:lineRule="exact"/>
        <w:ind w:firstLine="5400" w:firstLineChars="1500"/>
        <w:rPr>
          <w:rFonts w:hint="eastAsia" w:ascii="隶书" w:hAnsi="宋体" w:eastAsia="隶书"/>
          <w:bCs/>
          <w:color w:val="000000"/>
          <w:sz w:val="36"/>
          <w:szCs w:val="36"/>
        </w:rPr>
      </w:pPr>
    </w:p>
    <w:p>
      <w:pPr>
        <w:spacing w:line="480" w:lineRule="exact"/>
        <w:ind w:firstLine="5400" w:firstLineChars="1500"/>
        <w:rPr>
          <w:rFonts w:hint="eastAsia" w:ascii="隶书" w:hAnsi="宋体" w:eastAsia="隶书"/>
          <w:bCs/>
          <w:color w:val="000000"/>
          <w:sz w:val="36"/>
          <w:szCs w:val="36"/>
        </w:rPr>
      </w:pPr>
    </w:p>
    <w:p>
      <w:pPr>
        <w:spacing w:line="480" w:lineRule="exact"/>
        <w:ind w:firstLine="5400" w:firstLineChars="1500"/>
        <w:rPr>
          <w:rFonts w:hint="eastAsia" w:ascii="隶书" w:hAnsi="宋体" w:eastAsia="隶书"/>
          <w:bCs/>
          <w:color w:val="000000"/>
          <w:sz w:val="36"/>
          <w:szCs w:val="36"/>
        </w:rPr>
      </w:pPr>
    </w:p>
    <w:p>
      <w:pPr>
        <w:spacing w:line="480" w:lineRule="exact"/>
        <w:ind w:firstLine="5400" w:firstLineChars="1500"/>
        <w:rPr>
          <w:rFonts w:hint="eastAsia" w:ascii="隶书" w:hAnsi="宋体" w:eastAsia="隶书"/>
          <w:bCs/>
          <w:color w:val="000000"/>
          <w:sz w:val="36"/>
          <w:szCs w:val="36"/>
        </w:rPr>
      </w:pPr>
    </w:p>
    <w:p>
      <w:pPr>
        <w:spacing w:line="480" w:lineRule="exact"/>
        <w:ind w:firstLine="5400" w:firstLineChars="1500"/>
        <w:rPr>
          <w:rFonts w:hint="eastAsia" w:ascii="隶书" w:hAnsi="宋体" w:eastAsia="隶书"/>
          <w:bCs/>
          <w:color w:val="000000"/>
          <w:sz w:val="36"/>
          <w:szCs w:val="36"/>
        </w:rPr>
      </w:pPr>
    </w:p>
    <w:p>
      <w:pPr>
        <w:spacing w:line="480" w:lineRule="exact"/>
        <w:ind w:firstLine="5400" w:firstLineChars="1500"/>
        <w:rPr>
          <w:rFonts w:hint="eastAsia" w:ascii="隶书" w:hAnsi="宋体" w:eastAsia="隶书"/>
          <w:bCs/>
          <w:color w:val="000000"/>
          <w:sz w:val="36"/>
          <w:szCs w:val="36"/>
        </w:rPr>
      </w:pPr>
    </w:p>
    <w:p>
      <w:pPr>
        <w:spacing w:line="480" w:lineRule="exact"/>
        <w:ind w:firstLine="5400" w:firstLineChars="1500"/>
        <w:rPr>
          <w:rFonts w:hint="eastAsia" w:ascii="隶书" w:hAnsi="宋体" w:eastAsia="隶书"/>
          <w:bCs/>
          <w:color w:val="000000"/>
          <w:sz w:val="36"/>
          <w:szCs w:val="36"/>
        </w:rPr>
      </w:pPr>
    </w:p>
    <w:p>
      <w:pPr>
        <w:spacing w:line="480" w:lineRule="exact"/>
        <w:ind w:firstLine="5400" w:firstLineChars="1500"/>
        <w:rPr>
          <w:rFonts w:hint="eastAsia" w:ascii="隶书" w:hAnsi="宋体" w:eastAsia="隶书"/>
          <w:bCs/>
          <w:color w:val="000000"/>
          <w:sz w:val="36"/>
          <w:szCs w:val="36"/>
        </w:rPr>
      </w:pPr>
    </w:p>
    <w:p>
      <w:pPr>
        <w:spacing w:line="480" w:lineRule="exact"/>
        <w:ind w:firstLine="5400" w:firstLineChars="1500"/>
        <w:rPr>
          <w:rFonts w:hint="eastAsia" w:ascii="隶书" w:hAnsi="宋体" w:eastAsia="隶书"/>
          <w:bCs/>
          <w:color w:val="000000"/>
          <w:sz w:val="36"/>
          <w:szCs w:val="36"/>
        </w:rPr>
      </w:pPr>
    </w:p>
    <w:p>
      <w:pPr>
        <w:widowControl/>
        <w:jc w:val="left"/>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3"/>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CBB3C0B"/>
    <w:rsid w:val="1EB40AEE"/>
    <w:rsid w:val="22365EB5"/>
    <w:rsid w:val="23834B51"/>
    <w:rsid w:val="2A006362"/>
    <w:rsid w:val="308D3B37"/>
    <w:rsid w:val="341C0B0F"/>
    <w:rsid w:val="3E096518"/>
    <w:rsid w:val="4A12685A"/>
    <w:rsid w:val="50E46454"/>
    <w:rsid w:val="5552531D"/>
    <w:rsid w:val="56E213BB"/>
    <w:rsid w:val="607F0823"/>
    <w:rsid w:val="734D0115"/>
    <w:rsid w:val="760658E5"/>
    <w:rsid w:val="77B108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5</TotalTime>
  <ScaleCrop>false</ScaleCrop>
  <LinksUpToDate>false</LinksUpToDate>
  <CharactersWithSpaces>101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2020-10-07T22:57:22Z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